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CF3BA2" w:rsidRPr="00CF3BA2">
        <w:rPr>
          <w:rFonts w:ascii="Arial" w:hAnsi="Arial" w:cs="Arial"/>
          <w:b/>
          <w:sz w:val="24"/>
          <w:lang w:val="en-US" w:eastAsia="zh-CN"/>
        </w:rPr>
        <w:t>R4-2102788</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92A92" w:rsidRPr="00192A92">
        <w:rPr>
          <w:rFonts w:ascii="Arial" w:eastAsia="宋体" w:hAnsi="Arial"/>
          <w:b/>
          <w:sz w:val="24"/>
          <w:lang w:val="en-US" w:eastAsia="zh-CN"/>
        </w:rPr>
        <w:t>Discussion on remaining issues in multiple SCell activation</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92A92">
        <w:rPr>
          <w:rFonts w:ascii="Arial" w:eastAsia="宋体" w:hAnsi="Arial"/>
          <w:b/>
          <w:sz w:val="24"/>
          <w:lang w:val="en-US" w:eastAsia="zh-CN"/>
        </w:rPr>
        <w:t>7.13.1.1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20EE0" w:rsidRDefault="00D20EE0"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RAN4#97, </w:t>
      </w:r>
      <w:r w:rsidR="0080299A">
        <w:rPr>
          <w:rFonts w:eastAsia="宋体"/>
          <w:lang w:eastAsia="zh-CN"/>
        </w:rPr>
        <w:t>the</w:t>
      </w:r>
      <w:r>
        <w:rPr>
          <w:rFonts w:eastAsia="宋体"/>
          <w:lang w:eastAsia="zh-CN"/>
        </w:rPr>
        <w:t xml:space="preserve"> </w:t>
      </w:r>
      <w:r w:rsidR="00192A92">
        <w:rPr>
          <w:rFonts w:eastAsia="宋体"/>
          <w:lang w:eastAsia="zh-CN"/>
        </w:rPr>
        <w:t>remaining issues for multiple SCell activation</w:t>
      </w:r>
      <w:r w:rsidR="00DC1B70">
        <w:rPr>
          <w:rFonts w:eastAsia="宋体"/>
          <w:lang w:eastAsia="zh-CN"/>
        </w:rPr>
        <w:t xml:space="preserve"> requirements</w:t>
      </w:r>
      <w:r>
        <w:rPr>
          <w:rFonts w:eastAsia="宋体"/>
          <w:lang w:eastAsia="zh-CN"/>
        </w:rPr>
        <w:t xml:space="preserve"> are discussed, and the outcomes are captured in [1]. </w:t>
      </w:r>
      <w:r w:rsidR="0080299A">
        <w:rPr>
          <w:rFonts w:eastAsia="宋体"/>
          <w:lang w:eastAsia="zh-CN"/>
        </w:rPr>
        <w:t>There are several issues to be further discussed:</w:t>
      </w:r>
    </w:p>
    <w:p w:rsidR="00511BD3" w:rsidRPr="0080299A" w:rsidRDefault="00192A92" w:rsidP="00192A92">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Parameter values in </w:t>
      </w:r>
      <w:r w:rsidRPr="00192A92">
        <w:rPr>
          <w:rFonts w:eastAsia="宋体"/>
          <w:lang w:val="en-GB" w:eastAsia="zh-CN"/>
        </w:rPr>
        <w:t>Tx beam assumption of FR1 intra-band contiguous CA</w:t>
      </w:r>
    </w:p>
    <w:p w:rsidR="0080299A" w:rsidRPr="00192A92" w:rsidRDefault="00192A92" w:rsidP="0094750D">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Extension of </w:t>
      </w:r>
      <w:r w:rsidRPr="00192A92">
        <w:rPr>
          <w:rFonts w:eastAsia="宋体"/>
          <w:lang w:val="en-GB" w:eastAsia="zh-CN"/>
        </w:rPr>
        <w:t>FR1 multiple SCells activation to single FR1 SCell activatio</w:t>
      </w:r>
      <w:r>
        <w:rPr>
          <w:rFonts w:eastAsia="宋体"/>
          <w:lang w:val="en-GB" w:eastAsia="zh-CN"/>
        </w:rPr>
        <w:t>n</w:t>
      </w:r>
    </w:p>
    <w:p w:rsidR="00192A92" w:rsidRDefault="00192A92" w:rsidP="00192A92">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192A92">
        <w:rPr>
          <w:rFonts w:eastAsia="宋体"/>
          <w:lang w:eastAsia="zh-CN"/>
        </w:rPr>
        <w:t>Requirement applicability on the other being-activated SCells during the FR1 multiple SCells activation</w:t>
      </w:r>
    </w:p>
    <w:p w:rsidR="00DC1B70" w:rsidRDefault="00192A92" w:rsidP="00192A92">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192A92">
        <w:rPr>
          <w:rFonts w:eastAsia="宋体"/>
          <w:lang w:eastAsia="zh-CN"/>
        </w:rPr>
        <w:t>Condition of SMTC configuration to apply multiple SCell activation requirement</w:t>
      </w:r>
    </w:p>
    <w:p w:rsidR="00192A92" w:rsidRDefault="00192A92" w:rsidP="00192A9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Besides, we identified two other issues:</w:t>
      </w:r>
    </w:p>
    <w:p w:rsidR="00192A92" w:rsidRPr="00C00009" w:rsidRDefault="00192A92" w:rsidP="00192A92">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Determination of </w:t>
      </w:r>
      <w:r w:rsidRPr="00192A92">
        <w:rPr>
          <w:rFonts w:eastAsia="宋体"/>
          <w:lang w:eastAsia="zh-CN"/>
        </w:rPr>
        <w:t>SSB</w:t>
      </w:r>
      <w:r w:rsidR="00C00009">
        <w:rPr>
          <w:rFonts w:eastAsia="宋体"/>
          <w:lang w:eastAsia="zh-CN"/>
        </w:rPr>
        <w:t xml:space="preserve"> offset</w:t>
      </w:r>
      <w:r w:rsidRPr="00192A92">
        <w:rPr>
          <w:rFonts w:eastAsia="宋体"/>
          <w:lang w:eastAsia="zh-CN"/>
        </w:rPr>
        <w:t xml:space="preserve"> </w:t>
      </w:r>
      <w:r w:rsidR="00C00009">
        <w:rPr>
          <w:rFonts w:eastAsia="宋体"/>
          <w:lang w:eastAsia="zh-CN"/>
        </w:rPr>
        <w:t>in case where SCell detection is not performed</w:t>
      </w:r>
    </w:p>
    <w:p w:rsidR="00C00009" w:rsidRPr="00192A92" w:rsidRDefault="00C00009" w:rsidP="00192A92">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Determination of Rx beam in case of </w:t>
      </w:r>
      <w:r w:rsidRPr="00192A92">
        <w:rPr>
          <w:rFonts w:eastAsia="宋体"/>
          <w:lang w:val="en-GB" w:eastAsia="zh-CN"/>
        </w:rPr>
        <w:t>FR</w:t>
      </w:r>
      <w:r>
        <w:rPr>
          <w:rFonts w:eastAsia="宋体"/>
          <w:lang w:val="en-GB" w:eastAsia="zh-CN"/>
        </w:rPr>
        <w:t>2</w:t>
      </w:r>
      <w:r w:rsidRPr="00192A92">
        <w:rPr>
          <w:rFonts w:eastAsia="宋体"/>
          <w:lang w:val="en-GB" w:eastAsia="zh-CN"/>
        </w:rPr>
        <w:t xml:space="preserve"> </w:t>
      </w:r>
      <w:r>
        <w:rPr>
          <w:rFonts w:eastAsia="宋体"/>
          <w:lang w:val="en-GB" w:eastAsia="zh-CN"/>
        </w:rPr>
        <w:t>unknown SCell</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views on </w:t>
      </w:r>
      <w:r w:rsidR="0080299A">
        <w:rPr>
          <w:rFonts w:eastAsia="宋体"/>
          <w:lang w:eastAsia="zh-CN"/>
        </w:rPr>
        <w:t>the</w:t>
      </w:r>
      <w:r w:rsidR="00DC1B70">
        <w:rPr>
          <w:rFonts w:eastAsia="宋体"/>
          <w:lang w:eastAsia="zh-CN"/>
        </w:rPr>
        <w:t xml:space="preserve"> </w:t>
      </w:r>
      <w:r w:rsidR="00C00009">
        <w:rPr>
          <w:rFonts w:eastAsia="宋体"/>
          <w:lang w:eastAsia="zh-CN"/>
        </w:rPr>
        <w:t>remaining issues is multiple SCell activation</w:t>
      </w:r>
      <w:r>
        <w:rPr>
          <w:rFonts w:eastAsia="宋体"/>
          <w:lang w:eastAsia="zh-CN"/>
        </w:rPr>
        <w:t>.</w:t>
      </w:r>
    </w:p>
    <w:p w:rsidR="00754DE9" w:rsidRDefault="00B06084" w:rsidP="00754DE9">
      <w:pPr>
        <w:pStyle w:val="1"/>
        <w:jc w:val="both"/>
        <w:rPr>
          <w:lang w:val="en-US"/>
        </w:rPr>
      </w:pPr>
      <w:r>
        <w:rPr>
          <w:lang w:val="en-US"/>
        </w:rPr>
        <w:t>Discussion</w:t>
      </w:r>
    </w:p>
    <w:p w:rsidR="00511BD3" w:rsidRPr="00511BD3" w:rsidRDefault="00C00009" w:rsidP="00C00009">
      <w:pPr>
        <w:pStyle w:val="2"/>
        <w:rPr>
          <w:lang w:eastAsia="zh-CN"/>
        </w:rPr>
      </w:pPr>
      <w:r w:rsidRPr="00C00009">
        <w:rPr>
          <w:lang w:eastAsia="zh-CN"/>
        </w:rPr>
        <w:t xml:space="preserve">Parameter values in Tx beam assumption </w:t>
      </w:r>
    </w:p>
    <w:tbl>
      <w:tblPr>
        <w:tblStyle w:val="af4"/>
        <w:tblW w:w="0" w:type="auto"/>
        <w:tblLook w:val="04A0" w:firstRow="1" w:lastRow="0" w:firstColumn="1" w:lastColumn="0" w:noHBand="0" w:noVBand="1"/>
      </w:tblPr>
      <w:tblGrid>
        <w:gridCol w:w="9621"/>
      </w:tblGrid>
      <w:tr w:rsidR="00511BD3" w:rsidTr="00511BD3">
        <w:tc>
          <w:tcPr>
            <w:tcW w:w="9621" w:type="dxa"/>
          </w:tcPr>
          <w:p w:rsidR="00254959" w:rsidRPr="00C00009" w:rsidRDefault="00254959" w:rsidP="00C00009">
            <w:pPr>
              <w:numPr>
                <w:ilvl w:val="0"/>
                <w:numId w:val="25"/>
              </w:numPr>
              <w:spacing w:before="120" w:after="120"/>
              <w:rPr>
                <w:rFonts w:eastAsiaTheme="minorEastAsia"/>
                <w:sz w:val="20"/>
                <w:lang w:val="en-US" w:eastAsia="zh-CN"/>
              </w:rPr>
            </w:pPr>
            <w:r w:rsidRPr="00C00009">
              <w:rPr>
                <w:rFonts w:eastAsiaTheme="minorEastAsia"/>
                <w:sz w:val="20"/>
                <w:lang w:val="en-US" w:eastAsia="zh-CN"/>
              </w:rPr>
              <w:t xml:space="preserve">1) Replace </w:t>
            </w:r>
          </w:p>
          <w:p w:rsidR="00254959" w:rsidRPr="00C00009" w:rsidRDefault="00254959" w:rsidP="00C00009">
            <w:pPr>
              <w:numPr>
                <w:ilvl w:val="1"/>
                <w:numId w:val="25"/>
              </w:numPr>
              <w:spacing w:before="120" w:after="120"/>
              <w:rPr>
                <w:rFonts w:eastAsiaTheme="minorEastAsia"/>
                <w:sz w:val="20"/>
                <w:lang w:val="en-US" w:eastAsia="zh-CN"/>
              </w:rPr>
            </w:pPr>
            <w:r w:rsidRPr="00C00009">
              <w:rPr>
                <w:rFonts w:eastAsiaTheme="minorEastAsia"/>
                <w:sz w:val="20"/>
                <w:lang w:val="en-US" w:eastAsia="zh-CN"/>
              </w:rPr>
              <w:t xml:space="preserve">“its SSB DL Tx beam is same as the corresponding SSB DL Tx beam at the same SSB position of contiguous FR1 known cell or contiguous FR1 active serving cell” with </w:t>
            </w:r>
          </w:p>
          <w:p w:rsidR="00511BD3" w:rsidRPr="00254959" w:rsidRDefault="00254959" w:rsidP="00254959">
            <w:pPr>
              <w:numPr>
                <w:ilvl w:val="1"/>
                <w:numId w:val="25"/>
              </w:numPr>
              <w:spacing w:before="120" w:after="120"/>
              <w:rPr>
                <w:rFonts w:eastAsiaTheme="minorEastAsia"/>
                <w:sz w:val="20"/>
                <w:lang w:val="en-US" w:eastAsia="zh-CN"/>
              </w:rPr>
            </w:pPr>
            <w:r w:rsidRPr="00C00009">
              <w:rPr>
                <w:rFonts w:eastAsiaTheme="minorEastAsia"/>
                <w:sz w:val="20"/>
                <w:lang w:val="en-US" w:eastAsia="zh-CN"/>
              </w:rPr>
              <w:t>“its RTD with contiguous FR1 known cell or contiguous FR1 active serving cell is smaller than or equal to [CP duration] with respect to the to-be-activated SCell’s SSB numerology and its reception power difference with contiguous FR1 known cell or contiguous FR1 active serving cell is smaller than or equal to XdB”, X is FFS.</w:t>
            </w:r>
          </w:p>
        </w:tc>
      </w:tr>
    </w:tbl>
    <w:p w:rsidR="00486307" w:rsidRDefault="00486307" w:rsidP="00511BD3">
      <w:pPr>
        <w:spacing w:before="120" w:after="120"/>
        <w:rPr>
          <w:rFonts w:eastAsiaTheme="minorEastAsia"/>
          <w:lang w:val="en-US" w:eastAsia="zh-CN"/>
        </w:rPr>
      </w:pPr>
      <w:r>
        <w:rPr>
          <w:rFonts w:eastAsiaTheme="minorEastAsia"/>
          <w:lang w:val="en-US" w:eastAsia="zh-CN"/>
        </w:rPr>
        <w:t xml:space="preserve">For multiple SCell activation in case of FR1 intra-band contiguous CA, UE is assumed to skip target SCell detection and reuse the timing from the active or known serving cell that is contiguous to the target SCell. One condition for this requirement to apply is that the SCell and the active or known serving cell have common Tx beam. In RAN4#97, it is agreed to replace the “common Tx beam” condition with </w:t>
      </w:r>
    </w:p>
    <w:p w:rsidR="00486307" w:rsidRDefault="00486307" w:rsidP="00486307">
      <w:pPr>
        <w:pStyle w:val="af8"/>
        <w:numPr>
          <w:ilvl w:val="0"/>
          <w:numId w:val="10"/>
        </w:numPr>
        <w:spacing w:before="120" w:after="120"/>
        <w:rPr>
          <w:rFonts w:eastAsiaTheme="minorEastAsia"/>
          <w:lang w:eastAsia="zh-CN"/>
        </w:rPr>
      </w:pPr>
      <w:r>
        <w:rPr>
          <w:rFonts w:eastAsiaTheme="minorEastAsia"/>
          <w:lang w:eastAsia="zh-CN"/>
        </w:rPr>
        <w:t>RTD between the target SCell and the active or known serving cell &lt;= [CP]</w:t>
      </w:r>
    </w:p>
    <w:p w:rsidR="00486307" w:rsidRPr="00486307" w:rsidRDefault="00486307" w:rsidP="00486307">
      <w:pPr>
        <w:pStyle w:val="af8"/>
        <w:numPr>
          <w:ilvl w:val="0"/>
          <w:numId w:val="10"/>
        </w:numPr>
        <w:spacing w:before="120" w:after="120"/>
        <w:rPr>
          <w:rFonts w:eastAsiaTheme="minorEastAsia"/>
          <w:lang w:eastAsia="zh-CN"/>
        </w:rPr>
      </w:pPr>
      <w:r>
        <w:rPr>
          <w:rFonts w:eastAsiaTheme="minorEastAsia"/>
          <w:lang w:eastAsia="zh-CN"/>
        </w:rPr>
        <w:t>Power difference between the target SCell and the active or known serving cell &lt;= XdB</w:t>
      </w:r>
    </w:p>
    <w:p w:rsidR="00486307" w:rsidRDefault="00486307" w:rsidP="00511BD3">
      <w:pPr>
        <w:spacing w:before="120" w:after="120"/>
        <w:rPr>
          <w:rFonts w:eastAsiaTheme="minorEastAsia"/>
          <w:lang w:val="en-US" w:eastAsia="zh-CN"/>
        </w:rPr>
      </w:pPr>
      <w:r>
        <w:rPr>
          <w:rFonts w:eastAsiaTheme="minorEastAsia"/>
          <w:lang w:val="en-US" w:eastAsia="zh-CN"/>
        </w:rPr>
        <w:t xml:space="preserve">On the RTD, we suggest to use CP/2 as the threshold. It is noted that in </w:t>
      </w:r>
      <w:r w:rsidR="00254959">
        <w:rPr>
          <w:rFonts w:eastAsiaTheme="minorEastAsia"/>
          <w:lang w:val="en-US" w:eastAsia="zh-CN"/>
        </w:rPr>
        <w:t xml:space="preserve">RAN4#93 when the UE behavior (skipping cell detection for the target SCell) was agreed, the assumption on the RTD is 260ns [2]. </w:t>
      </w:r>
      <w:r w:rsidR="00254AC0">
        <w:rPr>
          <w:rFonts w:eastAsiaTheme="minorEastAsia"/>
          <w:lang w:val="en-US" w:eastAsia="zh-CN"/>
        </w:rPr>
        <w:t>The intention is to minimize the timing error fed into the SCell tracking loops. While UE may be able to work with a larger RTD, to make sure the SCell activation and the following CSI/demodulation on the SCell are stable, it is more safe to use CP/2 as the threshold.</w:t>
      </w:r>
    </w:p>
    <w:p w:rsidR="00254AC0" w:rsidRDefault="00254AC0" w:rsidP="00511BD3">
      <w:pPr>
        <w:spacing w:before="120" w:after="120"/>
        <w:rPr>
          <w:rFonts w:eastAsiaTheme="minorEastAsia"/>
          <w:lang w:val="en-US" w:eastAsia="zh-CN"/>
        </w:rPr>
      </w:pPr>
      <w:r>
        <w:rPr>
          <w:rFonts w:eastAsiaTheme="minorEastAsia"/>
          <w:lang w:val="en-US" w:eastAsia="zh-CN"/>
        </w:rPr>
        <w:t>On the power difference, we suggest to use 6dB as the threshold, which should enable proper work of AGC on the target SCell.</w:t>
      </w:r>
    </w:p>
    <w:p w:rsidR="00254AC0" w:rsidRPr="00254AC0" w:rsidRDefault="00254AC0" w:rsidP="00511BD3">
      <w:pPr>
        <w:spacing w:before="120" w:after="120"/>
        <w:rPr>
          <w:rFonts w:eastAsiaTheme="minorEastAsia"/>
          <w:b/>
          <w:lang w:val="en-US" w:eastAsia="zh-CN"/>
        </w:rPr>
      </w:pPr>
      <w:r w:rsidRPr="00254AC0">
        <w:rPr>
          <w:rFonts w:eastAsiaTheme="minorEastAsia"/>
          <w:b/>
          <w:lang w:val="en-US" w:eastAsia="zh-CN"/>
        </w:rPr>
        <w:lastRenderedPageBreak/>
        <w:t>Proposal 1: Use “RTD &lt;= CP/2” and “power difference &lt;= 6dB” as the condition for multiple SCell activation requirements in FR1 intra-band contiguous CA.</w:t>
      </w:r>
    </w:p>
    <w:p w:rsidR="00D03C15" w:rsidRDefault="00254AC0" w:rsidP="00D03C15">
      <w:pPr>
        <w:pStyle w:val="2"/>
        <w:rPr>
          <w:lang w:eastAsia="zh-CN"/>
        </w:rPr>
      </w:pPr>
      <w:r>
        <w:rPr>
          <w:rFonts w:eastAsia="宋体"/>
          <w:lang w:eastAsia="zh-CN"/>
        </w:rPr>
        <w:t>S</w:t>
      </w:r>
      <w:r w:rsidRPr="00192A92">
        <w:rPr>
          <w:rFonts w:eastAsia="宋体"/>
          <w:lang w:eastAsia="zh-CN"/>
        </w:rPr>
        <w:t>ingle FR1 SCell activatio</w:t>
      </w:r>
      <w:r>
        <w:rPr>
          <w:rFonts w:eastAsia="宋体"/>
          <w:lang w:eastAsia="zh-CN"/>
        </w:rPr>
        <w:t>n</w:t>
      </w:r>
    </w:p>
    <w:tbl>
      <w:tblPr>
        <w:tblStyle w:val="af4"/>
        <w:tblW w:w="0" w:type="auto"/>
        <w:tblLook w:val="04A0" w:firstRow="1" w:lastRow="0" w:firstColumn="1" w:lastColumn="0" w:noHBand="0" w:noVBand="1"/>
      </w:tblPr>
      <w:tblGrid>
        <w:gridCol w:w="9621"/>
      </w:tblGrid>
      <w:tr w:rsidR="0080299A" w:rsidTr="0080299A">
        <w:tc>
          <w:tcPr>
            <w:tcW w:w="9621" w:type="dxa"/>
          </w:tcPr>
          <w:p w:rsidR="006F3BC7" w:rsidRPr="00254AC0" w:rsidRDefault="006F3BC7" w:rsidP="00254AC0">
            <w:pPr>
              <w:numPr>
                <w:ilvl w:val="0"/>
                <w:numId w:val="26"/>
              </w:numPr>
              <w:spacing w:beforeLines="0" w:before="0" w:afterLines="0" w:after="0"/>
              <w:ind w:hanging="357"/>
              <w:rPr>
                <w:rFonts w:eastAsiaTheme="minorEastAsia"/>
                <w:lang w:val="en-US" w:eastAsia="zh-CN"/>
              </w:rPr>
            </w:pPr>
            <w:r w:rsidRPr="00254AC0">
              <w:rPr>
                <w:rFonts w:eastAsiaTheme="minorEastAsia"/>
                <w:lang w:val="en-US" w:eastAsia="zh-CN"/>
              </w:rPr>
              <w:t>Issue 2-2-1: Extend the assumption in FR1 multiple SCells activation to single FR1 SCell activation</w:t>
            </w:r>
          </w:p>
          <w:p w:rsidR="006F3BC7" w:rsidRPr="00254AC0" w:rsidRDefault="006F3BC7" w:rsidP="00254AC0">
            <w:pPr>
              <w:numPr>
                <w:ilvl w:val="1"/>
                <w:numId w:val="26"/>
              </w:numPr>
              <w:spacing w:beforeLines="0" w:before="0" w:afterLines="0" w:after="0"/>
              <w:ind w:hanging="357"/>
              <w:rPr>
                <w:rFonts w:eastAsiaTheme="minorEastAsia"/>
                <w:lang w:val="en-US" w:eastAsia="zh-CN"/>
              </w:rPr>
            </w:pPr>
            <w:r w:rsidRPr="00254AC0">
              <w:rPr>
                <w:rFonts w:eastAsiaTheme="minorEastAsia"/>
                <w:lang w:val="en-US" w:eastAsia="zh-CN"/>
              </w:rPr>
              <w:t>FFS</w:t>
            </w:r>
            <w:r w:rsidRPr="00254AC0">
              <w:rPr>
                <w:rFonts w:eastAsiaTheme="minorEastAsia" w:hint="eastAsia"/>
                <w:lang w:val="en-US" w:eastAsia="zh-CN"/>
              </w:rPr>
              <w:t>：</w:t>
            </w:r>
          </w:p>
          <w:p w:rsidR="006F3BC7" w:rsidRPr="00254AC0" w:rsidRDefault="006F3BC7" w:rsidP="00254AC0">
            <w:pPr>
              <w:numPr>
                <w:ilvl w:val="2"/>
                <w:numId w:val="26"/>
              </w:numPr>
              <w:spacing w:beforeLines="0" w:before="0" w:afterLines="0" w:after="0"/>
              <w:ind w:hanging="357"/>
              <w:rPr>
                <w:rFonts w:eastAsiaTheme="minorEastAsia"/>
                <w:lang w:val="en-US" w:eastAsia="zh-CN"/>
              </w:rPr>
            </w:pPr>
            <w:r w:rsidRPr="00254AC0">
              <w:rPr>
                <w:rFonts w:eastAsiaTheme="minorEastAsia"/>
                <w:lang w:eastAsia="zh-CN"/>
              </w:rPr>
              <w:t>Option 1 (HW, Ericsson, Apple, ZTE, Nokia)</w:t>
            </w:r>
            <w:r w:rsidRPr="00254AC0">
              <w:rPr>
                <w:rFonts w:eastAsiaTheme="minorEastAsia"/>
                <w:lang w:val="en-US" w:eastAsia="zh-CN"/>
              </w:rPr>
              <w:t xml:space="preserve">: </w:t>
            </w:r>
          </w:p>
          <w:p w:rsidR="006F3BC7" w:rsidRPr="00254AC0" w:rsidRDefault="006F3BC7" w:rsidP="00254AC0">
            <w:pPr>
              <w:numPr>
                <w:ilvl w:val="3"/>
                <w:numId w:val="26"/>
              </w:numPr>
              <w:spacing w:beforeLines="0" w:before="0" w:afterLines="0" w:after="0"/>
              <w:ind w:hanging="357"/>
              <w:rPr>
                <w:rFonts w:eastAsiaTheme="minorEastAsia"/>
                <w:lang w:val="en-US" w:eastAsia="zh-CN"/>
              </w:rPr>
            </w:pPr>
            <w:r w:rsidRPr="00254AC0">
              <w:rPr>
                <w:rFonts w:eastAsiaTheme="minorEastAsia"/>
                <w:lang w:val="en-US" w:eastAsia="zh-CN"/>
              </w:rPr>
              <w:t>Extend the UE requirement (to skip cell detection for unknown FR1 SCell that is intra-band contiguous to active serving cell) to single SCell activation, from Rel-16 onwards.</w:t>
            </w:r>
          </w:p>
          <w:p w:rsidR="006F3BC7" w:rsidRPr="00254AC0" w:rsidRDefault="006F3BC7" w:rsidP="00254AC0">
            <w:pPr>
              <w:numPr>
                <w:ilvl w:val="2"/>
                <w:numId w:val="26"/>
              </w:numPr>
              <w:spacing w:beforeLines="0" w:before="0" w:afterLines="0" w:after="0"/>
              <w:ind w:hanging="357"/>
              <w:rPr>
                <w:rFonts w:eastAsiaTheme="minorEastAsia"/>
                <w:lang w:val="en-US" w:eastAsia="zh-CN"/>
              </w:rPr>
            </w:pPr>
            <w:r w:rsidRPr="00254AC0">
              <w:rPr>
                <w:rFonts w:eastAsiaTheme="minorEastAsia"/>
                <w:lang w:eastAsia="zh-CN"/>
              </w:rPr>
              <w:t>Option 2 (MTK, QC)</w:t>
            </w:r>
            <w:r w:rsidRPr="00254AC0">
              <w:rPr>
                <w:rFonts w:eastAsiaTheme="minorEastAsia"/>
                <w:lang w:val="en-US" w:eastAsia="zh-CN"/>
              </w:rPr>
              <w:t xml:space="preserve">: </w:t>
            </w:r>
          </w:p>
          <w:p w:rsidR="0080299A" w:rsidRPr="00254AC0" w:rsidRDefault="006F3BC7" w:rsidP="00254AC0">
            <w:pPr>
              <w:numPr>
                <w:ilvl w:val="3"/>
                <w:numId w:val="26"/>
              </w:numPr>
              <w:spacing w:beforeLines="0" w:before="0" w:afterLines="0" w:after="0"/>
              <w:ind w:hanging="357"/>
              <w:rPr>
                <w:rFonts w:eastAsiaTheme="minorEastAsia"/>
                <w:lang w:val="en-US" w:eastAsia="zh-CN"/>
              </w:rPr>
            </w:pPr>
            <w:r w:rsidRPr="00254AC0">
              <w:rPr>
                <w:rFonts w:eastAsiaTheme="minorEastAsia"/>
                <w:lang w:val="en-US" w:eastAsia="zh-CN"/>
              </w:rPr>
              <w:t>FFS on option 1.</w:t>
            </w:r>
          </w:p>
        </w:tc>
      </w:tr>
    </w:tbl>
    <w:p w:rsidR="00254AC0" w:rsidRDefault="00254AC0" w:rsidP="00254AC0">
      <w:pPr>
        <w:spacing w:before="120" w:after="120"/>
        <w:rPr>
          <w:rFonts w:eastAsiaTheme="minorEastAsia"/>
          <w:lang w:eastAsia="zh-CN"/>
        </w:rPr>
      </w:pPr>
      <w:r>
        <w:rPr>
          <w:rFonts w:eastAsiaTheme="minorEastAsia"/>
          <w:lang w:eastAsia="zh-CN"/>
        </w:rPr>
        <w:t>In clause 8.3.7 of 38.133, cell detection will be skipped for activation an FR1 unknown SCell if certain conditions are met. However, this requirement applies only when multiple SCells are activated together, e.g. if the following two SCells are activated by the same MAC CE:</w:t>
      </w:r>
    </w:p>
    <w:p w:rsidR="00254AC0" w:rsidRDefault="00254AC0" w:rsidP="00254AC0">
      <w:pPr>
        <w:pStyle w:val="af8"/>
        <w:numPr>
          <w:ilvl w:val="0"/>
          <w:numId w:val="27"/>
        </w:numPr>
        <w:spacing w:before="120" w:after="120"/>
        <w:ind w:left="1080"/>
        <w:rPr>
          <w:rFonts w:eastAsiaTheme="minorEastAsia"/>
          <w:lang w:eastAsia="zh-CN"/>
        </w:rPr>
      </w:pPr>
      <w:r>
        <w:rPr>
          <w:rFonts w:eastAsiaTheme="minorEastAsia"/>
          <w:lang w:eastAsia="zh-CN"/>
        </w:rPr>
        <w:t>SCell1: in band 1 and intra-band contiguous to PCell</w:t>
      </w:r>
    </w:p>
    <w:p w:rsidR="00254AC0" w:rsidRDefault="00254AC0" w:rsidP="00254AC0">
      <w:pPr>
        <w:pStyle w:val="af8"/>
        <w:numPr>
          <w:ilvl w:val="0"/>
          <w:numId w:val="27"/>
        </w:numPr>
        <w:spacing w:before="120" w:after="120"/>
        <w:ind w:left="1080"/>
        <w:rPr>
          <w:rFonts w:eastAsiaTheme="minorEastAsia"/>
          <w:lang w:eastAsia="zh-CN"/>
        </w:rPr>
      </w:pPr>
      <w:r>
        <w:rPr>
          <w:rFonts w:eastAsiaTheme="minorEastAsia"/>
          <w:lang w:eastAsia="zh-CN"/>
        </w:rPr>
        <w:t>SCell2: in band 2</w:t>
      </w:r>
    </w:p>
    <w:p w:rsidR="00254AC0" w:rsidRDefault="00254AC0" w:rsidP="00254AC0">
      <w:pPr>
        <w:spacing w:before="120" w:after="120"/>
        <w:rPr>
          <w:rFonts w:eastAsiaTheme="minorEastAsia"/>
          <w:lang w:eastAsia="zh-CN"/>
        </w:rPr>
      </w:pPr>
      <w:r>
        <w:rPr>
          <w:rFonts w:eastAsiaTheme="minorEastAsia"/>
          <w:lang w:eastAsia="zh-CN"/>
        </w:rPr>
        <w:t>Technically, UE can skip the cell detection for SCell1 because it is contiguous to an active serving cell, so the timing and beam information can be re-used from the PCell, but it has nothing to do with having SCell2 activated by the same MAC CE. Therefore, it is reasonable to extend the UE requirement (to skip cell detection for unknown FR1 SCell that is intra-band contiguous to active serving cell) to single SCell activation. This would align the UE assumption for single and multiple SCell activation, and help to reduce the single SCell activation delay when relevant conditions are met.</w:t>
      </w:r>
    </w:p>
    <w:p w:rsidR="00254AC0" w:rsidRDefault="00254AC0" w:rsidP="00254AC0">
      <w:pPr>
        <w:spacing w:before="120" w:after="120"/>
        <w:rPr>
          <w:rFonts w:eastAsiaTheme="minorEastAsia"/>
          <w:b/>
          <w:lang w:eastAsia="zh-CN"/>
        </w:rPr>
      </w:pPr>
      <w:r>
        <w:rPr>
          <w:rFonts w:eastAsiaTheme="minorEastAsia"/>
          <w:b/>
          <w:lang w:eastAsia="zh-CN"/>
        </w:rPr>
        <w:t>Proposal 2: Extend the UE requirement (to skip cell detection for unknown FR1 SCell that is intra-band contiguous to active</w:t>
      </w:r>
      <w:r w:rsidR="003F206C">
        <w:rPr>
          <w:rFonts w:eastAsiaTheme="minorEastAsia"/>
          <w:b/>
          <w:lang w:eastAsia="zh-CN"/>
        </w:rPr>
        <w:t xml:space="preserve"> or known</w:t>
      </w:r>
      <w:r>
        <w:rPr>
          <w:rFonts w:eastAsiaTheme="minorEastAsia"/>
          <w:b/>
          <w:lang w:eastAsia="zh-CN"/>
        </w:rPr>
        <w:t xml:space="preserve"> serving cell) to single SCell activation.</w:t>
      </w:r>
    </w:p>
    <w:p w:rsidR="00254AC0" w:rsidRPr="00254AC0" w:rsidRDefault="003F206C" w:rsidP="003F206C">
      <w:pPr>
        <w:pStyle w:val="2"/>
        <w:rPr>
          <w:rFonts w:eastAsiaTheme="minorEastAsia"/>
          <w:lang w:eastAsia="zh-CN"/>
        </w:rPr>
      </w:pPr>
      <w:r w:rsidRPr="00192A92">
        <w:rPr>
          <w:lang w:eastAsia="zh-CN"/>
        </w:rPr>
        <w:t>Requirement applicability</w:t>
      </w:r>
    </w:p>
    <w:tbl>
      <w:tblPr>
        <w:tblStyle w:val="af4"/>
        <w:tblW w:w="0" w:type="auto"/>
        <w:tblLook w:val="04A0" w:firstRow="1" w:lastRow="0" w:firstColumn="1" w:lastColumn="0" w:noHBand="0" w:noVBand="1"/>
      </w:tblPr>
      <w:tblGrid>
        <w:gridCol w:w="9621"/>
      </w:tblGrid>
      <w:tr w:rsidR="003F206C" w:rsidTr="003F206C">
        <w:tc>
          <w:tcPr>
            <w:tcW w:w="9621" w:type="dxa"/>
          </w:tcPr>
          <w:p w:rsidR="006F3BC7" w:rsidRPr="003F206C" w:rsidRDefault="006F3BC7" w:rsidP="003F206C">
            <w:pPr>
              <w:numPr>
                <w:ilvl w:val="0"/>
                <w:numId w:val="28"/>
              </w:numPr>
              <w:spacing w:beforeLines="0" w:before="0" w:afterLines="0" w:after="0"/>
              <w:ind w:hanging="357"/>
              <w:rPr>
                <w:rFonts w:eastAsiaTheme="minorEastAsia"/>
                <w:lang w:val="en-US" w:eastAsia="zh-CN"/>
              </w:rPr>
            </w:pPr>
            <w:r w:rsidRPr="003F206C">
              <w:rPr>
                <w:rFonts w:eastAsiaTheme="minorEastAsia"/>
                <w:lang w:val="en-US" w:eastAsia="zh-CN"/>
              </w:rPr>
              <w:t>Issue 2-2-2: Requirement applicability on the other being-activated SCells during the FR1 multiple SCells activation</w:t>
            </w:r>
          </w:p>
          <w:p w:rsidR="006F3BC7" w:rsidRPr="003F206C" w:rsidRDefault="006F3BC7" w:rsidP="003F206C">
            <w:pPr>
              <w:numPr>
                <w:ilvl w:val="1"/>
                <w:numId w:val="28"/>
              </w:numPr>
              <w:spacing w:beforeLines="0" w:before="0" w:afterLines="0" w:after="0"/>
              <w:ind w:hanging="357"/>
              <w:rPr>
                <w:rFonts w:eastAsiaTheme="minorEastAsia"/>
                <w:lang w:val="en-US" w:eastAsia="zh-CN"/>
              </w:rPr>
            </w:pPr>
            <w:r w:rsidRPr="003F206C">
              <w:rPr>
                <w:rFonts w:eastAsiaTheme="minorEastAsia"/>
                <w:lang w:val="en-US" w:eastAsia="zh-CN"/>
              </w:rPr>
              <w:t>FFS</w:t>
            </w:r>
            <w:r w:rsidRPr="003F206C">
              <w:rPr>
                <w:rFonts w:eastAsiaTheme="minorEastAsia" w:hint="eastAsia"/>
                <w:lang w:val="en-US" w:eastAsia="zh-CN"/>
              </w:rPr>
              <w:t>：</w:t>
            </w:r>
          </w:p>
          <w:p w:rsidR="006F3BC7" w:rsidRPr="003F206C" w:rsidRDefault="006F3BC7" w:rsidP="003F206C">
            <w:pPr>
              <w:numPr>
                <w:ilvl w:val="2"/>
                <w:numId w:val="28"/>
              </w:numPr>
              <w:spacing w:beforeLines="0" w:before="0" w:afterLines="0" w:after="0"/>
              <w:ind w:hanging="357"/>
              <w:rPr>
                <w:rFonts w:eastAsiaTheme="minorEastAsia"/>
                <w:lang w:val="en-US" w:eastAsia="zh-CN"/>
              </w:rPr>
            </w:pPr>
            <w:r w:rsidRPr="003F206C">
              <w:rPr>
                <w:rFonts w:eastAsiaTheme="minorEastAsia"/>
                <w:lang w:eastAsia="zh-CN"/>
              </w:rPr>
              <w:t>Option 1 (Huawei, Ericsson, Apple, QC, ZTE)</w:t>
            </w:r>
            <w:r w:rsidRPr="003F206C">
              <w:rPr>
                <w:rFonts w:eastAsiaTheme="minorEastAsia"/>
                <w:lang w:val="en-US" w:eastAsia="zh-CN"/>
              </w:rPr>
              <w:t xml:space="preserve">: </w:t>
            </w:r>
          </w:p>
          <w:p w:rsidR="006F3BC7" w:rsidRPr="003F206C" w:rsidRDefault="006F3BC7" w:rsidP="003F206C">
            <w:pPr>
              <w:numPr>
                <w:ilvl w:val="3"/>
                <w:numId w:val="28"/>
              </w:numPr>
              <w:spacing w:beforeLines="0" w:before="0" w:afterLines="0" w:after="0"/>
              <w:ind w:hanging="357"/>
              <w:rPr>
                <w:rFonts w:eastAsiaTheme="minorEastAsia"/>
                <w:lang w:val="en-US" w:eastAsia="zh-CN"/>
              </w:rPr>
            </w:pPr>
            <w:r w:rsidRPr="003F206C">
              <w:rPr>
                <w:rFonts w:eastAsiaTheme="minorEastAsia"/>
                <w:lang w:val="en-US" w:eastAsia="zh-CN"/>
              </w:rPr>
              <w:t>No requirement applies for other being-activated SCells, if no requirements apply for any of the FR1 unknown SCell activated with the same MAC CE</w:t>
            </w:r>
          </w:p>
          <w:p w:rsidR="006F3BC7" w:rsidRPr="003F206C" w:rsidRDefault="006F3BC7" w:rsidP="003F206C">
            <w:pPr>
              <w:numPr>
                <w:ilvl w:val="2"/>
                <w:numId w:val="28"/>
              </w:numPr>
              <w:spacing w:beforeLines="0" w:before="0" w:afterLines="0" w:after="0"/>
              <w:ind w:hanging="357"/>
              <w:rPr>
                <w:rFonts w:eastAsiaTheme="minorEastAsia"/>
                <w:lang w:val="en-US" w:eastAsia="zh-CN"/>
              </w:rPr>
            </w:pPr>
            <w:r w:rsidRPr="003F206C">
              <w:rPr>
                <w:rFonts w:eastAsiaTheme="minorEastAsia"/>
                <w:lang w:eastAsia="zh-CN"/>
              </w:rPr>
              <w:t>Option 2 (MTK, Nokia):</w:t>
            </w:r>
          </w:p>
          <w:p w:rsidR="003F206C" w:rsidRPr="003F206C" w:rsidRDefault="006F3BC7" w:rsidP="003F206C">
            <w:pPr>
              <w:numPr>
                <w:ilvl w:val="3"/>
                <w:numId w:val="28"/>
              </w:numPr>
              <w:spacing w:beforeLines="0" w:before="0" w:afterLines="0" w:after="0"/>
              <w:ind w:hanging="357"/>
              <w:rPr>
                <w:rFonts w:eastAsiaTheme="minorEastAsia"/>
                <w:lang w:val="en-US" w:eastAsia="zh-CN"/>
              </w:rPr>
            </w:pPr>
            <w:r w:rsidRPr="003F206C">
              <w:rPr>
                <w:rFonts w:eastAsiaTheme="minorEastAsia"/>
                <w:lang w:eastAsia="zh-CN"/>
              </w:rPr>
              <w:t>FFS on option 1.</w:t>
            </w:r>
          </w:p>
        </w:tc>
      </w:tr>
    </w:tbl>
    <w:p w:rsidR="003F206C" w:rsidRDefault="003F206C" w:rsidP="003F206C">
      <w:pPr>
        <w:spacing w:before="120" w:after="120"/>
        <w:rPr>
          <w:rFonts w:eastAsiaTheme="minorEastAsia"/>
          <w:lang w:eastAsia="zh-CN"/>
        </w:rPr>
      </w:pPr>
      <w:r>
        <w:rPr>
          <w:rFonts w:eastAsiaTheme="minorEastAsia"/>
          <w:lang w:eastAsia="zh-CN"/>
        </w:rPr>
        <w:t xml:space="preserve">Based on 38.133, </w:t>
      </w:r>
      <w:r w:rsidRPr="003F206C">
        <w:rPr>
          <w:rFonts w:eastAsiaTheme="minorEastAsia"/>
          <w:lang w:eastAsia="zh-CN"/>
        </w:rPr>
        <w:t>no activation requirement will be applied</w:t>
      </w:r>
      <w:r>
        <w:rPr>
          <w:rFonts w:eastAsiaTheme="minorEastAsia"/>
          <w:lang w:eastAsia="zh-CN"/>
        </w:rPr>
        <w:t xml:space="preserve"> for the target SCell under the </w:t>
      </w:r>
      <w:r w:rsidR="006F3BC7">
        <w:rPr>
          <w:rFonts w:eastAsiaTheme="minorEastAsia"/>
          <w:lang w:eastAsia="zh-CN"/>
        </w:rPr>
        <w:t>specified case</w:t>
      </w:r>
      <w:r>
        <w:rPr>
          <w:rFonts w:eastAsiaTheme="minorEastAsia"/>
          <w:lang w:eastAsia="zh-CN"/>
        </w:rPr>
        <w:t xml:space="preserve">. </w:t>
      </w:r>
    </w:p>
    <w:tbl>
      <w:tblPr>
        <w:tblStyle w:val="af4"/>
        <w:tblW w:w="0" w:type="auto"/>
        <w:tblLook w:val="04A0" w:firstRow="1" w:lastRow="0" w:firstColumn="1" w:lastColumn="0" w:noHBand="0" w:noVBand="1"/>
      </w:tblPr>
      <w:tblGrid>
        <w:gridCol w:w="9621"/>
      </w:tblGrid>
      <w:tr w:rsidR="003F206C" w:rsidTr="003F206C">
        <w:tc>
          <w:tcPr>
            <w:tcW w:w="9621" w:type="dxa"/>
            <w:tcBorders>
              <w:top w:val="single" w:sz="4" w:space="0" w:color="auto"/>
              <w:left w:val="single" w:sz="4" w:space="0" w:color="auto"/>
              <w:bottom w:val="single" w:sz="4" w:space="0" w:color="auto"/>
              <w:right w:val="single" w:sz="4" w:space="0" w:color="auto"/>
            </w:tcBorders>
            <w:hideMark/>
          </w:tcPr>
          <w:p w:rsidR="003F206C" w:rsidRPr="003F206C" w:rsidRDefault="003F206C" w:rsidP="003F206C">
            <w:pPr>
              <w:spacing w:beforeLines="0" w:before="0" w:afterLines="0" w:after="180"/>
              <w:ind w:leftChars="97" w:left="213"/>
              <w:rPr>
                <w:rFonts w:eastAsia="宋体"/>
                <w:sz w:val="20"/>
                <w:lang w:val="en-US" w:eastAsia="zh-CN"/>
              </w:rPr>
            </w:pPr>
            <w:r w:rsidRPr="003F206C">
              <w:rPr>
                <w:rFonts w:eastAsia="宋体"/>
                <w:sz w:val="20"/>
                <w:lang w:val="en-US" w:eastAsia="zh-CN"/>
              </w:rPr>
              <w:t>However, when the following conditions are fulfilled, </w:t>
            </w:r>
            <w:r w:rsidRPr="003F206C">
              <w:rPr>
                <w:rFonts w:eastAsia="宋体"/>
                <w:sz w:val="20"/>
                <w:highlight w:val="yellow"/>
                <w:lang w:val="en-US" w:eastAsia="zh-CN"/>
              </w:rPr>
              <w:t>no activation requirement will be applied for this unknown SCell</w:t>
            </w:r>
            <w:r w:rsidRPr="003F206C">
              <w:rPr>
                <w:rFonts w:eastAsia="宋体"/>
                <w:sz w:val="20"/>
                <w:lang w:val="en-US" w:eastAsia="zh-CN"/>
              </w:rPr>
              <w:t>:</w:t>
            </w:r>
          </w:p>
          <w:p w:rsidR="003F206C" w:rsidRPr="003F206C" w:rsidRDefault="003F206C" w:rsidP="003F206C">
            <w:pPr>
              <w:spacing w:beforeLines="0" w:before="0" w:afterLines="0" w:after="180"/>
              <w:ind w:leftChars="355" w:left="1063" w:hanging="282"/>
              <w:rPr>
                <w:rFonts w:eastAsia="宋体"/>
                <w:sz w:val="20"/>
                <w:lang w:val="en-US" w:eastAsia="zh-CN"/>
              </w:rPr>
            </w:pPr>
            <w:r w:rsidRPr="003F206C">
              <w:rPr>
                <w:rFonts w:eastAsia="宋体"/>
                <w:sz w:val="20"/>
                <w:lang w:val="en-US" w:eastAsia="zh-CN"/>
              </w:rPr>
              <w:t>-</w:t>
            </w:r>
            <w:r w:rsidRPr="003F206C">
              <w:rPr>
                <w:rFonts w:eastAsia="宋体"/>
                <w:sz w:val="20"/>
                <w:lang w:val="en-US" w:eastAsia="zh-CN"/>
              </w:rPr>
              <w:tab/>
              <w:t>contiguous to an active serving cell in the same band, or to a known SCell in the same band being activated by the same MAC PDU, and</w:t>
            </w:r>
          </w:p>
          <w:p w:rsidR="003F206C" w:rsidRPr="003F206C" w:rsidRDefault="003F206C" w:rsidP="003F206C">
            <w:pPr>
              <w:spacing w:beforeLines="0" w:before="0" w:afterLines="0" w:after="180"/>
              <w:ind w:leftChars="354" w:left="1063" w:hanging="284"/>
              <w:rPr>
                <w:rFonts w:eastAsia="宋体"/>
                <w:sz w:val="20"/>
                <w:lang w:val="en-US" w:eastAsia="zh-CN"/>
              </w:rPr>
            </w:pPr>
            <w:r w:rsidRPr="003F206C">
              <w:rPr>
                <w:rFonts w:eastAsia="宋体"/>
                <w:sz w:val="20"/>
                <w:lang w:val="en-US" w:eastAsia="zh-CN"/>
              </w:rPr>
              <w:t>-</w:t>
            </w:r>
            <w:r w:rsidRPr="003F206C">
              <w:rPr>
                <w:rFonts w:eastAsia="宋体"/>
                <w:sz w:val="20"/>
                <w:lang w:val="en-US" w:eastAsia="zh-CN"/>
              </w:rPr>
              <w:tab/>
              <w:t>A single SSB is used in the unknown SCell; or multiple SSBs are used in the unknown SCell and TCI state indication for PDCCH is provided by the same MAC PDU used for SCell activation; and</w:t>
            </w:r>
          </w:p>
          <w:p w:rsidR="003F206C" w:rsidRPr="003F206C" w:rsidRDefault="003F206C" w:rsidP="003F206C">
            <w:pPr>
              <w:spacing w:beforeLines="0" w:before="0" w:afterLines="0" w:after="180"/>
              <w:ind w:leftChars="354" w:left="1063" w:hanging="284"/>
              <w:rPr>
                <w:rFonts w:eastAsia="宋体"/>
                <w:sz w:val="20"/>
                <w:lang w:val="en-US" w:eastAsia="zh-CN"/>
              </w:rPr>
            </w:pPr>
            <w:r w:rsidRPr="003F206C">
              <w:rPr>
                <w:rFonts w:eastAsia="宋体"/>
                <w:sz w:val="20"/>
                <w:lang w:val="en-US" w:eastAsia="zh-CN"/>
              </w:rPr>
              <w:t>-</w:t>
            </w:r>
            <w:r w:rsidRPr="003F206C">
              <w:rPr>
                <w:rFonts w:eastAsia="宋体"/>
                <w:sz w:val="20"/>
                <w:lang w:val="en-US" w:eastAsia="zh-CN"/>
              </w:rPr>
              <w:tab/>
              <w:t xml:space="preserve">its </w:t>
            </w:r>
            <w:r w:rsidRPr="003F206C">
              <w:rPr>
                <w:rFonts w:eastAsia="宋体"/>
                <w:i/>
                <w:iCs/>
                <w:sz w:val="20"/>
                <w:lang w:val="en-US" w:eastAsia="zh-CN"/>
              </w:rPr>
              <w:t>ssb-PositionInBurst</w:t>
            </w:r>
            <w:r w:rsidRPr="003F206C">
              <w:rPr>
                <w:rFonts w:eastAsia="宋体"/>
                <w:sz w:val="20"/>
                <w:lang w:val="en-US" w:eastAsia="zh-CN"/>
              </w:rPr>
              <w:t xml:space="preserve"> is same as the one of FR1 known cell or FR1 active serving cell, and</w:t>
            </w:r>
          </w:p>
          <w:p w:rsidR="003F206C" w:rsidRPr="003F206C" w:rsidRDefault="003F206C" w:rsidP="003F206C">
            <w:pPr>
              <w:spacing w:beforeLines="0" w:before="0" w:afterLines="0" w:after="180"/>
              <w:ind w:leftChars="354" w:left="1063" w:hanging="284"/>
              <w:rPr>
                <w:rFonts w:eastAsia="宋体"/>
                <w:sz w:val="20"/>
                <w:lang w:val="en-US" w:eastAsia="zh-CN"/>
              </w:rPr>
            </w:pPr>
            <w:r w:rsidRPr="003F206C">
              <w:rPr>
                <w:rFonts w:eastAsia="宋体"/>
                <w:sz w:val="20"/>
                <w:lang w:val="en-US" w:eastAsia="zh-CN"/>
              </w:rPr>
              <w:t>-</w:t>
            </w:r>
            <w:r w:rsidRPr="003F206C">
              <w:rPr>
                <w:rFonts w:eastAsia="宋体"/>
                <w:sz w:val="20"/>
                <w:lang w:val="en-US" w:eastAsia="zh-CN"/>
              </w:rPr>
              <w:tab/>
              <w:t xml:space="preserve">its RTD with contiguous FR1 known cell or contiguous FR1 active serving cell is larger than [CP duration] with respect to the to-be-activated SCell’s SSB numerology or its reception power difference with contiguous FR1 known cell or contiguous FR1 active serving cell is larger than </w:t>
            </w:r>
            <w:r w:rsidRPr="003F206C">
              <w:rPr>
                <w:rFonts w:eastAsia="宋体"/>
                <w:i/>
                <w:iCs/>
                <w:sz w:val="20"/>
                <w:lang w:val="en-US" w:eastAsia="zh-CN"/>
              </w:rPr>
              <w:t>X</w:t>
            </w:r>
            <w:r w:rsidRPr="003F206C">
              <w:rPr>
                <w:rFonts w:eastAsia="宋体"/>
                <w:sz w:val="20"/>
                <w:lang w:val="en-US" w:eastAsia="zh-CN"/>
              </w:rPr>
              <w:t>dB, and</w:t>
            </w:r>
          </w:p>
          <w:p w:rsidR="003F206C" w:rsidRPr="003F206C" w:rsidRDefault="003F206C" w:rsidP="003F206C">
            <w:pPr>
              <w:spacing w:beforeLines="0" w:before="0" w:afterLines="0" w:after="180"/>
              <w:ind w:leftChars="354" w:left="1063" w:hanging="284"/>
              <w:rPr>
                <w:rFonts w:eastAsia="宋体"/>
                <w:sz w:val="20"/>
                <w:lang w:val="en-US" w:eastAsia="zh-CN"/>
              </w:rPr>
            </w:pPr>
            <w:r w:rsidRPr="003F206C">
              <w:rPr>
                <w:rFonts w:eastAsia="宋体"/>
                <w:sz w:val="20"/>
                <w:lang w:val="en-US" w:eastAsia="zh-CN"/>
              </w:rPr>
              <w:lastRenderedPageBreak/>
              <w:t>-</w:t>
            </w:r>
            <w:r w:rsidRPr="003F206C">
              <w:rPr>
                <w:rFonts w:eastAsia="宋体"/>
                <w:sz w:val="20"/>
                <w:lang w:val="en-US" w:eastAsia="zh-CN"/>
              </w:rPr>
              <w:tab/>
              <w:t>its SMTC offset is same as the one of FR1 known cell or FR1 active serving cell</w:t>
            </w:r>
          </w:p>
        </w:tc>
      </w:tr>
    </w:tbl>
    <w:p w:rsidR="003F206C" w:rsidRDefault="003F206C" w:rsidP="003F206C">
      <w:pPr>
        <w:spacing w:before="120" w:after="120"/>
        <w:rPr>
          <w:rFonts w:eastAsiaTheme="minorEastAsia"/>
          <w:lang w:eastAsia="zh-CN"/>
        </w:rPr>
      </w:pPr>
      <w:r>
        <w:rPr>
          <w:rFonts w:eastAsiaTheme="minorEastAsia"/>
          <w:lang w:eastAsia="zh-CN"/>
        </w:rPr>
        <w:lastRenderedPageBreak/>
        <w:t xml:space="preserve">However, the impact to other SCells that are activated together is currently not defined. As in this case the UE behaviour is left to UE implementation, we understand the N1 factor cannot be defined, and as a result no requirement can be defined for other SCells which requires cell detection for activation (SCells for which the requirement depends on N1). This should be also clarified in the requirement. </w:t>
      </w:r>
    </w:p>
    <w:p w:rsidR="003F206C" w:rsidRDefault="003F206C" w:rsidP="003F206C">
      <w:pPr>
        <w:spacing w:before="120" w:after="120"/>
        <w:rPr>
          <w:rFonts w:eastAsiaTheme="minorEastAsia"/>
          <w:lang w:eastAsia="zh-CN"/>
        </w:rPr>
      </w:pPr>
      <w:r>
        <w:rPr>
          <w:rFonts w:eastAsiaTheme="minorEastAsia"/>
          <w:lang w:eastAsia="zh-CN"/>
        </w:rPr>
        <w:t xml:space="preserve">In RAN4#97, some company commented that UE should still meet the current activation requirements for the other unknown SCells being activated together. </w:t>
      </w:r>
      <w:r w:rsidR="006F3BC7">
        <w:rPr>
          <w:rFonts w:eastAsiaTheme="minorEastAsia"/>
          <w:lang w:eastAsia="zh-CN"/>
        </w:rPr>
        <w:t xml:space="preserve">While this might be possible, it imposes limitations on UE implementation for this case. Considering the case should happen rarely in real deployment (otherwise UE should be always allowed cell detection time), we suggest to not define any requirement for it to avoid additional complexity on UE implementation. </w:t>
      </w:r>
    </w:p>
    <w:p w:rsidR="003F206C" w:rsidRDefault="003F206C" w:rsidP="003F206C">
      <w:pPr>
        <w:spacing w:before="120" w:after="120"/>
        <w:rPr>
          <w:rFonts w:eastAsiaTheme="minorEastAsia"/>
          <w:b/>
          <w:lang w:eastAsia="zh-CN"/>
        </w:rPr>
      </w:pPr>
      <w:r>
        <w:rPr>
          <w:rFonts w:eastAsiaTheme="minorEastAsia"/>
          <w:b/>
          <w:lang w:eastAsia="zh-CN"/>
        </w:rPr>
        <w:t>Proposal 3: No requirement apply for other SCells</w:t>
      </w:r>
      <w:r w:rsidR="006F3BC7">
        <w:rPr>
          <w:rFonts w:eastAsiaTheme="minorEastAsia"/>
          <w:b/>
          <w:lang w:eastAsia="zh-CN"/>
        </w:rPr>
        <w:t xml:space="preserve"> being activated</w:t>
      </w:r>
      <w:r>
        <w:rPr>
          <w:rFonts w:eastAsiaTheme="minorEastAsia"/>
          <w:b/>
          <w:lang w:eastAsia="zh-CN"/>
        </w:rPr>
        <w:t>, if no requirements apply for any of the FR1 unknown SCell activated with the same MAC CE.</w:t>
      </w:r>
    </w:p>
    <w:p w:rsidR="00254AC0" w:rsidRPr="003F206C" w:rsidRDefault="006F3BC7" w:rsidP="006F3BC7">
      <w:pPr>
        <w:pStyle w:val="2"/>
        <w:rPr>
          <w:rFonts w:eastAsiaTheme="minorEastAsia"/>
          <w:lang w:eastAsia="zh-CN"/>
        </w:rPr>
      </w:pPr>
      <w:r w:rsidRPr="00192A92">
        <w:rPr>
          <w:lang w:eastAsia="zh-CN"/>
        </w:rPr>
        <w:t>Condition of SMTC configuration</w:t>
      </w:r>
    </w:p>
    <w:tbl>
      <w:tblPr>
        <w:tblStyle w:val="af4"/>
        <w:tblW w:w="0" w:type="auto"/>
        <w:tblLook w:val="04A0" w:firstRow="1" w:lastRow="0" w:firstColumn="1" w:lastColumn="0" w:noHBand="0" w:noVBand="1"/>
      </w:tblPr>
      <w:tblGrid>
        <w:gridCol w:w="9621"/>
      </w:tblGrid>
      <w:tr w:rsidR="006F3BC7" w:rsidTr="006F3BC7">
        <w:tc>
          <w:tcPr>
            <w:tcW w:w="9621" w:type="dxa"/>
          </w:tcPr>
          <w:p w:rsidR="006F3BC7" w:rsidRPr="006F3BC7" w:rsidRDefault="006F3BC7" w:rsidP="006F3BC7">
            <w:pPr>
              <w:numPr>
                <w:ilvl w:val="0"/>
                <w:numId w:val="29"/>
              </w:numPr>
              <w:spacing w:beforeLines="0" w:before="0" w:afterLines="0" w:after="0"/>
              <w:ind w:hanging="357"/>
              <w:rPr>
                <w:rFonts w:eastAsiaTheme="minorEastAsia"/>
                <w:lang w:val="en-US" w:eastAsia="zh-CN"/>
              </w:rPr>
            </w:pPr>
            <w:r w:rsidRPr="006F3BC7">
              <w:rPr>
                <w:rFonts w:eastAsiaTheme="minorEastAsia"/>
                <w:lang w:val="en-US" w:eastAsia="zh-CN"/>
              </w:rPr>
              <w:t>Issue 2-2-3: Condition of SMTC configuration to apply multiple SCell activation requirement</w:t>
            </w:r>
          </w:p>
          <w:p w:rsidR="006F3BC7" w:rsidRPr="006F3BC7" w:rsidRDefault="006F3BC7" w:rsidP="006F3BC7">
            <w:pPr>
              <w:numPr>
                <w:ilvl w:val="1"/>
                <w:numId w:val="29"/>
              </w:numPr>
              <w:spacing w:beforeLines="0" w:before="0" w:afterLines="0" w:after="0"/>
              <w:ind w:hanging="357"/>
              <w:rPr>
                <w:rFonts w:eastAsiaTheme="minorEastAsia"/>
                <w:lang w:val="en-US" w:eastAsia="zh-CN"/>
              </w:rPr>
            </w:pPr>
            <w:r w:rsidRPr="006F3BC7">
              <w:rPr>
                <w:rFonts w:eastAsiaTheme="minorEastAsia"/>
                <w:lang w:eastAsia="zh-CN"/>
              </w:rPr>
              <w:t>FFS</w:t>
            </w:r>
          </w:p>
          <w:p w:rsidR="006F3BC7" w:rsidRPr="006F3BC7" w:rsidRDefault="006F3BC7" w:rsidP="006F3BC7">
            <w:pPr>
              <w:numPr>
                <w:ilvl w:val="2"/>
                <w:numId w:val="29"/>
              </w:numPr>
              <w:spacing w:beforeLines="0" w:before="0" w:afterLines="0" w:after="0"/>
              <w:ind w:hanging="357"/>
              <w:rPr>
                <w:rFonts w:eastAsiaTheme="minorEastAsia"/>
                <w:lang w:val="en-US" w:eastAsia="zh-CN"/>
              </w:rPr>
            </w:pPr>
            <w:r w:rsidRPr="006F3BC7">
              <w:rPr>
                <w:rFonts w:eastAsiaTheme="minorEastAsia"/>
                <w:lang w:eastAsia="zh-CN"/>
              </w:rPr>
              <w:t>Option 1 (Huawei, Apple, MTK, QC)</w:t>
            </w:r>
            <w:r w:rsidRPr="006F3BC7">
              <w:rPr>
                <w:rFonts w:eastAsiaTheme="minorEastAsia"/>
                <w:lang w:val="en-US" w:eastAsia="zh-CN"/>
              </w:rPr>
              <w:t xml:space="preserve">: </w:t>
            </w:r>
          </w:p>
          <w:p w:rsidR="006F3BC7" w:rsidRPr="006F3BC7" w:rsidRDefault="006F3BC7" w:rsidP="006F3BC7">
            <w:pPr>
              <w:numPr>
                <w:ilvl w:val="3"/>
                <w:numId w:val="29"/>
              </w:numPr>
              <w:spacing w:beforeLines="0" w:before="0" w:afterLines="0" w:after="0"/>
              <w:ind w:hanging="357"/>
              <w:rPr>
                <w:rFonts w:eastAsiaTheme="minorEastAsia"/>
                <w:lang w:val="en-US" w:eastAsia="zh-CN"/>
              </w:rPr>
            </w:pPr>
            <w:r w:rsidRPr="006F3BC7">
              <w:rPr>
                <w:rFonts w:eastAsiaTheme="minorEastAsia"/>
                <w:lang w:val="en-US" w:eastAsia="zh-CN"/>
              </w:rPr>
              <w:t>Multiple SCell activation requirements apply provided that SMTC offset and periodicity is same for all SCells activated by the same MAC CE</w:t>
            </w:r>
          </w:p>
          <w:p w:rsidR="006F3BC7" w:rsidRPr="006F3BC7" w:rsidRDefault="006F3BC7" w:rsidP="006F3BC7">
            <w:pPr>
              <w:numPr>
                <w:ilvl w:val="2"/>
                <w:numId w:val="29"/>
              </w:numPr>
              <w:spacing w:beforeLines="0" w:before="0" w:afterLines="0" w:after="0"/>
              <w:ind w:hanging="357"/>
              <w:rPr>
                <w:rFonts w:eastAsiaTheme="minorEastAsia"/>
                <w:lang w:val="en-US" w:eastAsia="zh-CN"/>
              </w:rPr>
            </w:pPr>
            <w:r w:rsidRPr="006F3BC7">
              <w:rPr>
                <w:rFonts w:eastAsiaTheme="minorEastAsia"/>
                <w:lang w:eastAsia="zh-CN"/>
              </w:rPr>
              <w:t>Option 2 (Ericsson, Nokia):</w:t>
            </w:r>
          </w:p>
          <w:p w:rsidR="006F3BC7" w:rsidRPr="006F3BC7" w:rsidRDefault="006F3BC7" w:rsidP="006F3BC7">
            <w:pPr>
              <w:numPr>
                <w:ilvl w:val="3"/>
                <w:numId w:val="29"/>
              </w:numPr>
              <w:spacing w:beforeLines="0" w:before="0" w:afterLines="0" w:after="0"/>
              <w:ind w:hanging="357"/>
              <w:rPr>
                <w:rFonts w:eastAsiaTheme="minorEastAsia"/>
                <w:lang w:val="en-US" w:eastAsia="zh-CN"/>
              </w:rPr>
            </w:pPr>
            <w:r w:rsidRPr="006F3BC7">
              <w:rPr>
                <w:rFonts w:eastAsiaTheme="minorEastAsia"/>
                <w:lang w:eastAsia="zh-CN"/>
              </w:rPr>
              <w:t>Disagree with option 1.</w:t>
            </w:r>
          </w:p>
        </w:tc>
      </w:tr>
    </w:tbl>
    <w:p w:rsidR="006F3BC7" w:rsidRDefault="006F3BC7" w:rsidP="006F3BC7">
      <w:pPr>
        <w:spacing w:before="120" w:after="120"/>
        <w:rPr>
          <w:rFonts w:eastAsiaTheme="minorEastAsia"/>
          <w:lang w:eastAsia="zh-CN"/>
        </w:rPr>
      </w:pPr>
      <w:r>
        <w:rPr>
          <w:rFonts w:eastAsiaTheme="minorEastAsia"/>
          <w:lang w:eastAsia="zh-CN"/>
        </w:rPr>
        <w:t>The assumption behind the current requirements for multiple SCell activation is that UE performs RF re-tuning for all SCells activated by the same MAC CE at the same time. The assumption is also a prerequisite to define deterministic activation delay because otherwise the RF re-tuning of one SCell could interrupt the SSB reception of another SCell and cause extension of the activation process of the latter SCell. Based on RAN4 earlier discussion, the exact extension cannot be really defined making it impossible to define deterministic activation delay requirement.</w:t>
      </w:r>
    </w:p>
    <w:p w:rsidR="006F3BC7" w:rsidRDefault="006F3BC7" w:rsidP="006F3BC7">
      <w:pPr>
        <w:spacing w:before="120" w:after="120"/>
        <w:rPr>
          <w:rFonts w:eastAsiaTheme="minorEastAsia"/>
          <w:lang w:eastAsia="zh-CN"/>
        </w:rPr>
      </w:pPr>
      <w:r>
        <w:rPr>
          <w:rFonts w:eastAsiaTheme="minorEastAsia"/>
          <w:lang w:eastAsia="zh-CN"/>
        </w:rPr>
        <w:t xml:space="preserve">However, this assumption may conflict with interruption requirements in some cases. For example, in Figure 1 below two SCells are activated with a single MAC CE, and the SSB offsets for them are misaligned. The RF re-tuning for the two SCells needs to be done before the first SSB of SCell1, as otherwise UE cannot meet the activation delay requirement for SCell1. This means the RF is also re-tuned for SCell2, and if there exists an active serving cell in the same band as SCell2, that serving cell would be interrupted during the time period of T-delta, due to improper gain setting and no opportunity for AGC. </w:t>
      </w:r>
    </w:p>
    <w:p w:rsidR="006F3BC7" w:rsidRDefault="006F3BC7" w:rsidP="006F3BC7">
      <w:pPr>
        <w:spacing w:before="120" w:after="120"/>
        <w:rPr>
          <w:rFonts w:eastAsiaTheme="minorEastAsia"/>
          <w:lang w:eastAsia="zh-CN"/>
        </w:rPr>
      </w:pPr>
      <w:r>
        <w:rPr>
          <w:rFonts w:eastAsiaTheme="minorEastAsia"/>
          <w:noProof/>
          <w:lang w:val="en-US" w:eastAsia="zh-CN"/>
        </w:rPr>
        <w:drawing>
          <wp:inline distT="0" distB="0" distL="0" distR="0">
            <wp:extent cx="6008370" cy="1524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08370" cy="1524000"/>
                    </a:xfrm>
                    <a:prstGeom prst="rect">
                      <a:avLst/>
                    </a:prstGeom>
                    <a:noFill/>
                    <a:ln>
                      <a:noFill/>
                    </a:ln>
                  </pic:spPr>
                </pic:pic>
              </a:graphicData>
            </a:graphic>
          </wp:inline>
        </w:drawing>
      </w:r>
    </w:p>
    <w:p w:rsidR="006F3BC7" w:rsidRDefault="006F3BC7" w:rsidP="006F3BC7">
      <w:pPr>
        <w:spacing w:before="120" w:after="120"/>
        <w:jc w:val="center"/>
        <w:rPr>
          <w:rFonts w:eastAsiaTheme="minorEastAsia"/>
          <w:b/>
          <w:lang w:eastAsia="zh-CN"/>
        </w:rPr>
      </w:pPr>
      <w:r>
        <w:rPr>
          <w:rFonts w:eastAsiaTheme="minorEastAsia"/>
          <w:b/>
          <w:lang w:eastAsia="zh-CN"/>
        </w:rPr>
        <w:t>Figure 1: Interruption due to multiple SCell activation</w:t>
      </w:r>
    </w:p>
    <w:p w:rsidR="006F3BC7" w:rsidRDefault="006F3BC7" w:rsidP="006F3BC7">
      <w:pPr>
        <w:spacing w:before="120" w:after="120"/>
        <w:rPr>
          <w:rFonts w:eastAsiaTheme="minorEastAsia"/>
          <w:lang w:eastAsia="zh-CN"/>
        </w:rPr>
      </w:pPr>
      <w:r>
        <w:rPr>
          <w:rFonts w:eastAsiaTheme="minorEastAsia"/>
          <w:lang w:eastAsia="zh-CN"/>
        </w:rPr>
        <w:t>Allowing such a long interruption is not desirable, and it also complicates the specification by having different interruption requirements based on SSB configuration and intra/inter-band relation between the active serving cell and SCells being activated. Our proposal is to define applicability condition for the multiple SCell activation requirements that the requirements apply provided that all SCells activated by the same MAC CE have same SMTC offset.</w:t>
      </w:r>
    </w:p>
    <w:p w:rsidR="006D1103" w:rsidRDefault="006D1103" w:rsidP="006D1103">
      <w:pPr>
        <w:spacing w:before="120" w:after="120"/>
        <w:rPr>
          <w:rFonts w:eastAsiaTheme="minorEastAsia"/>
          <w:lang w:eastAsia="zh-CN"/>
        </w:rPr>
      </w:pPr>
      <w:r>
        <w:rPr>
          <w:rFonts w:eastAsiaTheme="minorEastAsia"/>
          <w:b/>
          <w:lang w:eastAsia="zh-CN"/>
        </w:rPr>
        <w:t>Proposal 4: Multiple SCell activation requirements apply provided that SMTC offset is same for all SCells activated by the same MAC CE.</w:t>
      </w:r>
    </w:p>
    <w:p w:rsidR="006D1103" w:rsidRDefault="006D1103" w:rsidP="006F3BC7">
      <w:pPr>
        <w:spacing w:before="120" w:after="120"/>
        <w:rPr>
          <w:rFonts w:eastAsiaTheme="minorEastAsia"/>
          <w:lang w:eastAsia="zh-CN"/>
        </w:rPr>
      </w:pPr>
      <w:r>
        <w:rPr>
          <w:rFonts w:eastAsiaTheme="minorEastAsia"/>
          <w:lang w:eastAsia="zh-CN"/>
        </w:rPr>
        <w:lastRenderedPageBreak/>
        <w:t xml:space="preserve">In RAN4#97, some alternative solution are proposed by companies. </w:t>
      </w:r>
    </w:p>
    <w:tbl>
      <w:tblPr>
        <w:tblStyle w:val="af4"/>
        <w:tblW w:w="0" w:type="auto"/>
        <w:tblLook w:val="04A0" w:firstRow="1" w:lastRow="0" w:firstColumn="1" w:lastColumn="0" w:noHBand="0" w:noVBand="1"/>
      </w:tblPr>
      <w:tblGrid>
        <w:gridCol w:w="9621"/>
      </w:tblGrid>
      <w:tr w:rsidR="006D1103" w:rsidTr="006D1103">
        <w:tc>
          <w:tcPr>
            <w:tcW w:w="9621" w:type="dxa"/>
          </w:tcPr>
          <w:p w:rsidR="006D1103" w:rsidRDefault="006D1103" w:rsidP="006D1103">
            <w:pPr>
              <w:pStyle w:val="af8"/>
              <w:numPr>
                <w:ilvl w:val="0"/>
                <w:numId w:val="30"/>
              </w:numPr>
              <w:overflowPunct w:val="0"/>
              <w:autoSpaceDE w:val="0"/>
              <w:autoSpaceDN w:val="0"/>
              <w:adjustRightInd w:val="0"/>
              <w:spacing w:beforeLines="0" w:before="120" w:afterLines="0" w:after="120"/>
              <w:textAlignment w:val="baseline"/>
              <w:rPr>
                <w:color w:val="0070C0"/>
                <w:lang w:eastAsia="zh-CN"/>
              </w:rPr>
            </w:pPr>
            <w:r>
              <w:rPr>
                <w:color w:val="0070C0"/>
                <w:lang w:eastAsia="zh-CN"/>
              </w:rPr>
              <w:t>We may revert the interruption requirements, and allow one interruption per band where SCell is activated and there already is one active SCell, and one additional interruption covering all other bands (i.e. where is no serving cell).</w:t>
            </w:r>
          </w:p>
          <w:p w:rsidR="006D1103" w:rsidRPr="006D1103" w:rsidRDefault="006D1103" w:rsidP="006F3BC7">
            <w:pPr>
              <w:pStyle w:val="af8"/>
              <w:numPr>
                <w:ilvl w:val="0"/>
                <w:numId w:val="30"/>
              </w:numPr>
              <w:overflowPunct w:val="0"/>
              <w:autoSpaceDE w:val="0"/>
              <w:autoSpaceDN w:val="0"/>
              <w:adjustRightInd w:val="0"/>
              <w:spacing w:beforeLines="0" w:before="120" w:afterLines="0" w:after="120"/>
              <w:textAlignment w:val="baseline"/>
              <w:rPr>
                <w:color w:val="0070C0"/>
                <w:lang w:eastAsia="zh-CN"/>
              </w:rPr>
            </w:pPr>
            <w:r>
              <w:rPr>
                <w:color w:val="0070C0"/>
                <w:lang w:eastAsia="zh-CN"/>
              </w:rPr>
              <w:t>We may allow longer activation time for SCells activated in bands where there is no active serving for the case where first SMTC window of such SCell would come before “T_First_SSB” on another carrier.</w:t>
            </w:r>
          </w:p>
        </w:tc>
      </w:tr>
    </w:tbl>
    <w:p w:rsidR="006D1103" w:rsidRDefault="006D1103" w:rsidP="006D1103">
      <w:pPr>
        <w:spacing w:before="120" w:after="120"/>
        <w:rPr>
          <w:rFonts w:eastAsiaTheme="minorEastAsia"/>
          <w:lang w:val="en-US" w:eastAsia="zh-CN"/>
        </w:rPr>
      </w:pPr>
      <w:r>
        <w:rPr>
          <w:rFonts w:eastAsiaTheme="minorEastAsia"/>
          <w:lang w:val="en-US" w:eastAsia="zh-CN"/>
        </w:rPr>
        <w:t xml:space="preserve">While we understand the Proposal 4 is a bit restrictive, but there are also problems with the alternative solutions. </w:t>
      </w:r>
    </w:p>
    <w:p w:rsidR="006D1103" w:rsidRDefault="006D1103" w:rsidP="006D1103">
      <w:pPr>
        <w:pStyle w:val="af8"/>
        <w:numPr>
          <w:ilvl w:val="0"/>
          <w:numId w:val="27"/>
        </w:numPr>
        <w:spacing w:before="120" w:after="120"/>
        <w:rPr>
          <w:rFonts w:eastAsiaTheme="minorEastAsia"/>
          <w:lang w:eastAsia="zh-CN"/>
        </w:rPr>
      </w:pPr>
      <w:r w:rsidRPr="006D1103">
        <w:rPr>
          <w:rFonts w:eastAsiaTheme="minorEastAsia"/>
          <w:lang w:eastAsia="zh-CN"/>
        </w:rPr>
        <w:t>On solution 1, as mentioned above and discussed in earlier RAN4 meetings, it may be difficult to define deterministic activation delay requirements.</w:t>
      </w:r>
    </w:p>
    <w:p w:rsidR="006D1103" w:rsidRPr="006D1103" w:rsidRDefault="006D1103" w:rsidP="006D1103">
      <w:pPr>
        <w:pStyle w:val="af8"/>
        <w:numPr>
          <w:ilvl w:val="0"/>
          <w:numId w:val="27"/>
        </w:numPr>
        <w:spacing w:before="120" w:after="120"/>
        <w:rPr>
          <w:rFonts w:eastAsiaTheme="minorEastAsia"/>
          <w:lang w:eastAsia="zh-CN"/>
        </w:rPr>
      </w:pPr>
      <w:r w:rsidRPr="006D1103">
        <w:rPr>
          <w:rFonts w:eastAsiaTheme="minorEastAsia"/>
          <w:lang w:eastAsia="zh-CN"/>
        </w:rPr>
        <w:t>On solution 2, it requires some specification efforts to define the extension of the activation delay and its applicability. Moreover, it does not work for the case e.g. where 2 SCells are in different bands and each with an active serving cell in the same band, and the SMTC offset of the two SCells are different.</w:t>
      </w:r>
    </w:p>
    <w:p w:rsidR="006F3BC7" w:rsidRDefault="006D1103" w:rsidP="006F3BC7">
      <w:pPr>
        <w:spacing w:before="120" w:after="120"/>
        <w:rPr>
          <w:rFonts w:eastAsiaTheme="minorEastAsia"/>
          <w:lang w:eastAsia="zh-CN"/>
        </w:rPr>
      </w:pPr>
      <w:r>
        <w:rPr>
          <w:rFonts w:eastAsiaTheme="minorEastAsia"/>
          <w:lang w:eastAsia="zh-CN"/>
        </w:rPr>
        <w:t>It is a bit difficult to find a perfect solution for the issue, and our preference is to adopt Proposal 4 at least in Rel-16.</w:t>
      </w:r>
    </w:p>
    <w:p w:rsidR="006D1103" w:rsidRDefault="006D1103" w:rsidP="006D1103">
      <w:pPr>
        <w:pStyle w:val="2"/>
        <w:rPr>
          <w:lang w:eastAsia="zh-CN"/>
        </w:rPr>
      </w:pPr>
      <w:r>
        <w:rPr>
          <w:lang w:eastAsia="zh-CN"/>
        </w:rPr>
        <w:t xml:space="preserve">Determination of </w:t>
      </w:r>
      <w:r w:rsidRPr="00192A92">
        <w:rPr>
          <w:lang w:eastAsia="zh-CN"/>
        </w:rPr>
        <w:t>SSB</w:t>
      </w:r>
      <w:r>
        <w:rPr>
          <w:lang w:eastAsia="zh-CN"/>
        </w:rPr>
        <w:t xml:space="preserve"> offset</w:t>
      </w:r>
    </w:p>
    <w:p w:rsidR="006D1103" w:rsidRDefault="00761C19" w:rsidP="006D1103">
      <w:pPr>
        <w:spacing w:before="120" w:after="120"/>
        <w:rPr>
          <w:rFonts w:eastAsiaTheme="minorEastAsia"/>
          <w:lang w:eastAsia="zh-CN"/>
        </w:rPr>
      </w:pPr>
      <w:r>
        <w:rPr>
          <w:rFonts w:eastAsiaTheme="minorEastAsia"/>
          <w:lang w:eastAsia="zh-CN"/>
        </w:rPr>
        <w:t>The SCell activation requirements for some scenarios are defined assuming UE does not perform cell detection for the target SCell but uses the timing of other serving cells. Such scenarios include:</w:t>
      </w:r>
    </w:p>
    <w:p w:rsidR="006D1103" w:rsidRDefault="00761C19" w:rsidP="00761C19">
      <w:pPr>
        <w:pStyle w:val="af8"/>
        <w:numPr>
          <w:ilvl w:val="0"/>
          <w:numId w:val="27"/>
        </w:numPr>
        <w:spacing w:before="120" w:after="120"/>
        <w:rPr>
          <w:rFonts w:eastAsiaTheme="minorEastAsia"/>
          <w:lang w:eastAsia="zh-CN"/>
        </w:rPr>
      </w:pPr>
      <w:r w:rsidRPr="00761C19">
        <w:rPr>
          <w:rFonts w:eastAsiaTheme="minorEastAsia" w:hint="eastAsia"/>
          <w:lang w:eastAsia="zh-CN"/>
        </w:rPr>
        <w:t>F</w:t>
      </w:r>
      <w:r w:rsidRPr="00761C19">
        <w:rPr>
          <w:rFonts w:eastAsiaTheme="minorEastAsia"/>
          <w:lang w:eastAsia="zh-CN"/>
        </w:rPr>
        <w:t>R2</w:t>
      </w:r>
      <w:r>
        <w:rPr>
          <w:rFonts w:eastAsiaTheme="minorEastAsia"/>
          <w:lang w:eastAsia="zh-CN"/>
        </w:rPr>
        <w:t>, when there is active serving cell in the same band as the target SCell, for both cases where UE is provided SMTC or not, and for both single and multiple SCell activation</w:t>
      </w:r>
    </w:p>
    <w:p w:rsidR="00761C19" w:rsidRDefault="00761C19" w:rsidP="00761C19">
      <w:pPr>
        <w:pStyle w:val="af8"/>
        <w:numPr>
          <w:ilvl w:val="0"/>
          <w:numId w:val="27"/>
        </w:numPr>
        <w:spacing w:before="120" w:after="120"/>
        <w:rPr>
          <w:rFonts w:eastAsiaTheme="minorEastAsia"/>
          <w:lang w:eastAsia="zh-CN"/>
        </w:rPr>
      </w:pPr>
      <w:r>
        <w:rPr>
          <w:rFonts w:eastAsiaTheme="minorEastAsia" w:hint="eastAsia"/>
          <w:lang w:eastAsia="zh-CN"/>
        </w:rPr>
        <w:t>F</w:t>
      </w:r>
      <w:r>
        <w:rPr>
          <w:rFonts w:eastAsiaTheme="minorEastAsia"/>
          <w:lang w:eastAsia="zh-CN"/>
        </w:rPr>
        <w:t>R2, when there is no active but known serving cell in the same band as the target SCell, for multiple SCell activation</w:t>
      </w:r>
    </w:p>
    <w:p w:rsidR="00761C19" w:rsidRPr="00761C19" w:rsidRDefault="00761C19" w:rsidP="00761C19">
      <w:pPr>
        <w:pStyle w:val="af8"/>
        <w:numPr>
          <w:ilvl w:val="0"/>
          <w:numId w:val="27"/>
        </w:numPr>
        <w:spacing w:before="120" w:after="120"/>
        <w:rPr>
          <w:rFonts w:eastAsiaTheme="minorEastAsia"/>
          <w:lang w:eastAsia="zh-CN"/>
        </w:rPr>
      </w:pPr>
      <w:r>
        <w:rPr>
          <w:rFonts w:eastAsiaTheme="minorEastAsia"/>
          <w:lang w:eastAsia="zh-CN"/>
        </w:rPr>
        <w:t xml:space="preserve">FR1, when the target SCell is intra-band contiguous to active or known serving cell </w:t>
      </w:r>
    </w:p>
    <w:p w:rsidR="006D1103" w:rsidRDefault="00761C19" w:rsidP="006D1103">
      <w:pPr>
        <w:spacing w:before="120" w:after="120"/>
        <w:rPr>
          <w:rFonts w:eastAsiaTheme="minorEastAsia"/>
          <w:lang w:eastAsia="zh-CN"/>
        </w:rPr>
      </w:pPr>
      <w:r>
        <w:rPr>
          <w:rFonts w:eastAsiaTheme="minorEastAsia"/>
          <w:lang w:eastAsia="zh-CN"/>
        </w:rPr>
        <w:t xml:space="preserve">In these scenarios, there is a problem in determining the SSB offset on the target SCell. It is noted that when SCell is configured, the SSB periodicity is provided in </w:t>
      </w:r>
      <w:r w:rsidRPr="00761C19">
        <w:rPr>
          <w:i/>
        </w:rPr>
        <w:t>ssb-periodicityServingCell</w:t>
      </w:r>
      <w:r>
        <w:rPr>
          <w:rFonts w:eastAsiaTheme="minorEastAsia"/>
          <w:lang w:eastAsia="zh-CN"/>
        </w:rPr>
        <w:t xml:space="preserve">, but the SSB offset is not. As a result, UE cannot determine the </w:t>
      </w:r>
      <w:r w:rsidR="001E1F47">
        <w:rPr>
          <w:rFonts w:eastAsiaTheme="minorEastAsia"/>
          <w:lang w:eastAsia="zh-CN"/>
        </w:rPr>
        <w:t xml:space="preserve">SFN and half frame of the SSB on the target SCell. </w:t>
      </w:r>
    </w:p>
    <w:p w:rsidR="001E1F47" w:rsidRDefault="001E1F47" w:rsidP="006D1103">
      <w:pPr>
        <w:spacing w:before="120" w:after="120"/>
        <w:rPr>
          <w:rFonts w:eastAsiaTheme="minorEastAsia"/>
          <w:lang w:eastAsia="zh-CN"/>
        </w:rPr>
      </w:pPr>
      <w:r>
        <w:rPr>
          <w:rFonts w:eastAsiaTheme="minorEastAsia"/>
          <w:lang w:eastAsia="zh-CN"/>
        </w:rPr>
        <w:t xml:space="preserve">If SMTC is provided, UE may obtain the SSB offset from the SMTC offset. However, SMTC window can be configured across half-frames, e.g. SMTC offset is 3ms and SMTC duration is 5ms. In such cases, UE cannot determine whether SSB is the first or second half-frame in a radio frame. </w:t>
      </w:r>
    </w:p>
    <w:p w:rsidR="001E1F47" w:rsidRDefault="001E1F47" w:rsidP="006D1103">
      <w:pPr>
        <w:spacing w:before="120" w:after="120"/>
        <w:rPr>
          <w:rFonts w:eastAsiaTheme="minorEastAsia"/>
          <w:lang w:eastAsia="zh-CN"/>
        </w:rPr>
      </w:pPr>
      <w:r>
        <w:rPr>
          <w:rFonts w:eastAsiaTheme="minorEastAsia"/>
          <w:lang w:eastAsia="zh-CN"/>
        </w:rPr>
        <w:t xml:space="preserve">To resolve the problem for all the scenarios mentioned, we suggest to define an applicability condition that the SSB offset is same on the target SCell and the active or known serving cell. </w:t>
      </w:r>
      <w:r w:rsidR="006E264C">
        <w:rPr>
          <w:rFonts w:eastAsiaTheme="minorEastAsia"/>
          <w:lang w:eastAsia="zh-CN"/>
        </w:rPr>
        <w:t>This is also the typical case in real deployment for these intra-band scenarios.</w:t>
      </w:r>
    </w:p>
    <w:p w:rsidR="001E1F47" w:rsidRDefault="006E264C" w:rsidP="006D1103">
      <w:pPr>
        <w:spacing w:before="120" w:after="120"/>
        <w:rPr>
          <w:rFonts w:eastAsiaTheme="minorEastAsia"/>
          <w:b/>
          <w:lang w:eastAsia="zh-CN"/>
        </w:rPr>
      </w:pPr>
      <w:r w:rsidRPr="006E264C">
        <w:rPr>
          <w:rFonts w:eastAsiaTheme="minorEastAsia" w:hint="eastAsia"/>
          <w:b/>
          <w:lang w:eastAsia="zh-CN"/>
        </w:rPr>
        <w:t>P</w:t>
      </w:r>
      <w:r w:rsidRPr="006E264C">
        <w:rPr>
          <w:rFonts w:eastAsiaTheme="minorEastAsia"/>
          <w:b/>
          <w:lang w:eastAsia="zh-CN"/>
        </w:rPr>
        <w:t>roposal 5: For scenarios where UE is not assumed to perform cell detection on the target SCell, the SCell activation requirements apply provided that SSB offset is same on the target SCell and the active or known serving cell.</w:t>
      </w:r>
    </w:p>
    <w:p w:rsidR="006E264C" w:rsidRDefault="006E264C" w:rsidP="006E264C">
      <w:pPr>
        <w:pStyle w:val="2"/>
        <w:rPr>
          <w:lang w:eastAsia="zh-CN"/>
        </w:rPr>
      </w:pPr>
      <w:r>
        <w:rPr>
          <w:lang w:eastAsia="zh-CN"/>
        </w:rPr>
        <w:t>Determination of Rx beam</w:t>
      </w:r>
    </w:p>
    <w:p w:rsidR="006E264C" w:rsidRDefault="006E264C" w:rsidP="006E264C">
      <w:pPr>
        <w:spacing w:before="120" w:after="120"/>
        <w:rPr>
          <w:rFonts w:eastAsiaTheme="minorEastAsia"/>
          <w:lang w:eastAsia="zh-CN"/>
        </w:rPr>
      </w:pPr>
      <w:r>
        <w:rPr>
          <w:rFonts w:eastAsiaTheme="minorEastAsia"/>
          <w:lang w:eastAsia="zh-CN"/>
        </w:rPr>
        <w:t>The multiple SCell activation requirements for FR2 unknown SCells are defined under the condition that there is active or known serving cell in the same band.</w:t>
      </w:r>
    </w:p>
    <w:p w:rsidR="006E264C" w:rsidRDefault="006E264C" w:rsidP="006E264C">
      <w:pPr>
        <w:pStyle w:val="af8"/>
        <w:numPr>
          <w:ilvl w:val="0"/>
          <w:numId w:val="27"/>
        </w:numPr>
        <w:spacing w:before="120" w:after="120"/>
        <w:rPr>
          <w:rFonts w:eastAsiaTheme="minorEastAsia"/>
          <w:lang w:eastAsia="zh-CN"/>
        </w:rPr>
      </w:pPr>
      <w:r>
        <w:rPr>
          <w:rFonts w:eastAsiaTheme="minorEastAsia"/>
          <w:lang w:eastAsia="zh-CN"/>
        </w:rPr>
        <w:t>If there is active serving cell in the same band, the requirement is same as single SCell activation</w:t>
      </w:r>
      <w:r w:rsidR="00754ACC">
        <w:rPr>
          <w:rFonts w:eastAsiaTheme="minorEastAsia"/>
          <w:lang w:eastAsia="zh-CN"/>
        </w:rPr>
        <w:t xml:space="preserve"> which is copied below.</w:t>
      </w:r>
    </w:p>
    <w:tbl>
      <w:tblPr>
        <w:tblStyle w:val="af4"/>
        <w:tblW w:w="0" w:type="auto"/>
        <w:tblLook w:val="04A0" w:firstRow="1" w:lastRow="0" w:firstColumn="1" w:lastColumn="0" w:noHBand="0" w:noVBand="1"/>
      </w:tblPr>
      <w:tblGrid>
        <w:gridCol w:w="9621"/>
      </w:tblGrid>
      <w:tr w:rsidR="006E264C" w:rsidTr="006E264C">
        <w:tc>
          <w:tcPr>
            <w:tcW w:w="9621" w:type="dxa"/>
          </w:tcPr>
          <w:p w:rsidR="006E264C" w:rsidRPr="006E264C" w:rsidRDefault="006E264C" w:rsidP="006E264C">
            <w:pPr>
              <w:spacing w:beforeLines="0" w:before="0" w:afterLines="0" w:after="180"/>
              <w:ind w:left="851" w:hanging="284"/>
              <w:rPr>
                <w:rFonts w:eastAsia="宋体"/>
                <w:sz w:val="20"/>
                <w:lang w:eastAsia="zh-CN"/>
              </w:rPr>
            </w:pPr>
            <w:r w:rsidRPr="006E264C">
              <w:rPr>
                <w:rFonts w:eastAsia="宋体"/>
                <w:sz w:val="20"/>
              </w:rPr>
              <w:t>If the SCell</w:t>
            </w:r>
            <w:r w:rsidRPr="006E264C">
              <w:rPr>
                <w:rFonts w:eastAsia="宋体"/>
                <w:sz w:val="20"/>
                <w:lang w:eastAsia="zh-CN"/>
              </w:rPr>
              <w:t xml:space="preserve"> being activated</w:t>
            </w:r>
            <w:r w:rsidRPr="006E264C">
              <w:rPr>
                <w:rFonts w:eastAsia="宋体"/>
                <w:sz w:val="20"/>
              </w:rPr>
              <w:t xml:space="preserve"> belongs to FR2</w:t>
            </w:r>
            <w:r w:rsidRPr="006E264C">
              <w:rPr>
                <w:rFonts w:eastAsia="宋体"/>
                <w:sz w:val="20"/>
                <w:lang w:eastAsia="zh-CN"/>
              </w:rPr>
              <w:t xml:space="preserve"> and </w:t>
            </w:r>
            <w:r w:rsidRPr="006E264C">
              <w:rPr>
                <w:rFonts w:eastAsia="宋体"/>
                <w:sz w:val="20"/>
              </w:rPr>
              <w:t>if there is at least one active serving cell on that FR2 band</w:t>
            </w:r>
            <w:r w:rsidRPr="006E264C">
              <w:rPr>
                <w:rFonts w:eastAsia="宋体"/>
                <w:sz w:val="20"/>
                <w:lang w:eastAsia="zh-CN"/>
              </w:rPr>
              <w:t xml:space="preserve">, then </w:t>
            </w:r>
            <w:r w:rsidRPr="006E264C">
              <w:rPr>
                <w:rFonts w:eastAsia="宋体"/>
                <w:sz w:val="20"/>
              </w:rPr>
              <w:t>T</w:t>
            </w:r>
            <w:r w:rsidRPr="006E264C">
              <w:rPr>
                <w:rFonts w:eastAsia="宋体"/>
                <w:sz w:val="20"/>
                <w:vertAlign w:val="subscript"/>
              </w:rPr>
              <w:t>activation_time</w:t>
            </w:r>
            <w:r w:rsidRPr="006E264C">
              <w:rPr>
                <w:rFonts w:eastAsia="宋体"/>
                <w:sz w:val="20"/>
              </w:rPr>
              <w:t xml:space="preserve"> is</w:t>
            </w:r>
            <w:r w:rsidRPr="006E264C">
              <w:rPr>
                <w:rFonts w:eastAsia="宋体"/>
                <w:sz w:val="20"/>
                <w:lang w:eastAsia="zh-CN"/>
              </w:rPr>
              <w:t xml:space="preserve"> </w:t>
            </w:r>
            <w:r w:rsidRPr="006E264C">
              <w:rPr>
                <w:rFonts w:eastAsia="宋体"/>
                <w:sz w:val="20"/>
              </w:rPr>
              <w:t>T</w:t>
            </w:r>
            <w:r w:rsidRPr="006E264C">
              <w:rPr>
                <w:rFonts w:eastAsia="宋体"/>
                <w:sz w:val="20"/>
                <w:vertAlign w:val="subscript"/>
              </w:rPr>
              <w:t>FirstSSB</w:t>
            </w:r>
            <w:r w:rsidRPr="006E264C">
              <w:rPr>
                <w:rFonts w:eastAsia="宋体"/>
                <w:sz w:val="20"/>
                <w:lang w:eastAsia="zh-CN"/>
              </w:rPr>
              <w:t>+ 5ms provided:</w:t>
            </w:r>
          </w:p>
          <w:p w:rsidR="006E264C" w:rsidRPr="006E264C" w:rsidRDefault="006E264C" w:rsidP="006E264C">
            <w:pPr>
              <w:spacing w:beforeLines="0" w:before="0" w:afterLines="0" w:after="180"/>
              <w:ind w:left="1135" w:hanging="284"/>
              <w:rPr>
                <w:rFonts w:eastAsia="宋体"/>
                <w:sz w:val="20"/>
                <w:lang w:eastAsia="zh-CN"/>
              </w:rPr>
            </w:pPr>
            <w:r w:rsidRPr="006E264C">
              <w:rPr>
                <w:rFonts w:eastAsia="宋体"/>
                <w:sz w:val="20"/>
                <w:lang w:eastAsia="zh-CN"/>
              </w:rPr>
              <w:lastRenderedPageBreak/>
              <w:t>-</w:t>
            </w:r>
            <w:r w:rsidRPr="006E264C">
              <w:rPr>
                <w:rFonts w:eastAsia="宋体"/>
                <w:sz w:val="20"/>
                <w:lang w:eastAsia="zh-CN"/>
              </w:rPr>
              <w:tab/>
              <w:t xml:space="preserve">The UE is provided with SMTC for the target SCell, and  </w:t>
            </w:r>
          </w:p>
          <w:p w:rsidR="006E264C" w:rsidRDefault="006E264C" w:rsidP="006E264C">
            <w:pPr>
              <w:spacing w:beforeLines="0" w:before="0" w:afterLines="0" w:after="180"/>
              <w:ind w:left="1135" w:hanging="284"/>
              <w:rPr>
                <w:rFonts w:eastAsia="宋体"/>
                <w:sz w:val="20"/>
                <w:lang w:eastAsia="zh-CN"/>
              </w:rPr>
            </w:pPr>
            <w:r w:rsidRPr="006E264C">
              <w:rPr>
                <w:rFonts w:eastAsia="宋体"/>
                <w:sz w:val="20"/>
                <w:lang w:eastAsia="zh-CN"/>
              </w:rPr>
              <w:t>-</w:t>
            </w:r>
            <w:r w:rsidRPr="006E264C">
              <w:rPr>
                <w:rFonts w:eastAsia="宋体"/>
                <w:sz w:val="20"/>
                <w:lang w:eastAsia="zh-CN"/>
              </w:rPr>
              <w:tab/>
              <w:t xml:space="preserve">The SSBs in the serving cell(s) and the SSBs in the SCell fulfil the condition defined in </w:t>
            </w:r>
            <w:r w:rsidRPr="006E264C">
              <w:rPr>
                <w:rFonts w:eastAsia="宋体"/>
                <w:sz w:val="20"/>
                <w:lang w:val="en-US"/>
              </w:rPr>
              <w:t>clause </w:t>
            </w:r>
            <w:r w:rsidRPr="006E264C">
              <w:rPr>
                <w:rFonts w:eastAsia="宋体"/>
                <w:sz w:val="20"/>
                <w:lang w:eastAsia="zh-CN"/>
              </w:rPr>
              <w:t>3.6.3,</w:t>
            </w:r>
          </w:p>
          <w:p w:rsidR="006E264C" w:rsidRDefault="006E264C" w:rsidP="006E264C">
            <w:pPr>
              <w:spacing w:beforeLines="0" w:before="0" w:afterLines="0" w:after="180"/>
              <w:ind w:left="1135" w:hanging="284"/>
              <w:rPr>
                <w:rFonts w:eastAsiaTheme="minorEastAsia"/>
                <w:lang w:eastAsia="zh-CN"/>
              </w:rPr>
            </w:pPr>
            <w:r w:rsidRPr="00754ACC">
              <w:rPr>
                <w:rFonts w:eastAsia="宋体"/>
                <w:sz w:val="20"/>
                <w:highlight w:val="yellow"/>
              </w:rPr>
              <w:t>-</w:t>
            </w:r>
            <w:r w:rsidRPr="00754ACC">
              <w:rPr>
                <w:rFonts w:eastAsia="宋体"/>
                <w:sz w:val="20"/>
                <w:highlight w:val="yellow"/>
              </w:rPr>
              <w:tab/>
              <w:t xml:space="preserve">The parameter </w:t>
            </w:r>
            <w:r w:rsidRPr="00754ACC">
              <w:rPr>
                <w:rFonts w:eastAsia="宋体"/>
                <w:i/>
                <w:sz w:val="20"/>
                <w:highlight w:val="yellow"/>
              </w:rPr>
              <w:t>ssb-PositionsInBurst</w:t>
            </w:r>
            <w:r w:rsidRPr="00754ACC">
              <w:rPr>
                <w:rFonts w:eastAsia="宋体"/>
                <w:sz w:val="20"/>
                <w:highlight w:val="yellow"/>
              </w:rPr>
              <w:t xml:space="preserve"> is same </w:t>
            </w:r>
            <w:r w:rsidRPr="00754ACC">
              <w:rPr>
                <w:rFonts w:eastAsia="宋体"/>
                <w:sz w:val="20"/>
                <w:highlight w:val="yellow"/>
                <w:lang w:eastAsia="zh-CN"/>
              </w:rPr>
              <w:t>for the serving cell(s) and the SCell.</w:t>
            </w:r>
          </w:p>
        </w:tc>
      </w:tr>
    </w:tbl>
    <w:p w:rsidR="006E264C" w:rsidRDefault="006E264C" w:rsidP="006E264C">
      <w:pPr>
        <w:pStyle w:val="af8"/>
        <w:numPr>
          <w:ilvl w:val="0"/>
          <w:numId w:val="27"/>
        </w:numPr>
        <w:spacing w:before="120" w:after="120"/>
        <w:rPr>
          <w:rFonts w:eastAsiaTheme="minorEastAsia"/>
          <w:lang w:eastAsia="zh-CN"/>
        </w:rPr>
      </w:pPr>
      <w:r w:rsidRPr="006E264C">
        <w:rPr>
          <w:rFonts w:eastAsiaTheme="minorEastAsia"/>
          <w:lang w:eastAsia="zh-CN"/>
        </w:rPr>
        <w:lastRenderedPageBreak/>
        <w:t>If there is known serving cell in the same band, the requirement is resembling the above case</w:t>
      </w:r>
      <w:r>
        <w:rPr>
          <w:rFonts w:eastAsiaTheme="minorEastAsia"/>
          <w:lang w:eastAsia="zh-CN"/>
        </w:rPr>
        <w:t xml:space="preserve">, i.e. </w:t>
      </w:r>
      <w:r w:rsidRPr="006E264C">
        <w:rPr>
          <w:rFonts w:eastAsiaTheme="minorEastAsia"/>
          <w:lang w:eastAsia="zh-CN"/>
        </w:rPr>
        <w:t xml:space="preserve">UE </w:t>
      </w:r>
      <w:r>
        <w:rPr>
          <w:rFonts w:eastAsiaTheme="minorEastAsia"/>
          <w:lang w:eastAsia="zh-CN"/>
        </w:rPr>
        <w:t xml:space="preserve">is assumed </w:t>
      </w:r>
      <w:r w:rsidRPr="006E264C">
        <w:rPr>
          <w:rFonts w:eastAsiaTheme="minorEastAsia"/>
          <w:lang w:eastAsia="zh-CN"/>
        </w:rPr>
        <w:t xml:space="preserve">not </w:t>
      </w:r>
      <w:r>
        <w:rPr>
          <w:rFonts w:eastAsiaTheme="minorEastAsia"/>
          <w:lang w:eastAsia="zh-CN"/>
        </w:rPr>
        <w:t xml:space="preserve">to </w:t>
      </w:r>
      <w:r w:rsidRPr="006E264C">
        <w:rPr>
          <w:rFonts w:eastAsiaTheme="minorEastAsia"/>
          <w:lang w:eastAsia="zh-CN"/>
        </w:rPr>
        <w:t>perform AGC, cell detection or L1-RSRP measurement for the target SCell</w:t>
      </w:r>
      <w:r>
        <w:rPr>
          <w:rFonts w:eastAsiaTheme="minorEastAsia"/>
          <w:lang w:eastAsia="zh-CN"/>
        </w:rPr>
        <w:t>, but use the timing and Rx beam information from the known serving cell.</w:t>
      </w:r>
    </w:p>
    <w:p w:rsidR="006E264C" w:rsidRPr="006E264C" w:rsidRDefault="006E264C" w:rsidP="006E264C">
      <w:pPr>
        <w:spacing w:before="120" w:after="120"/>
        <w:rPr>
          <w:rFonts w:eastAsiaTheme="minorEastAsia"/>
          <w:lang w:eastAsia="zh-CN"/>
        </w:rPr>
      </w:pPr>
      <w:r>
        <w:rPr>
          <w:rFonts w:eastAsiaTheme="minorEastAsia"/>
          <w:lang w:eastAsia="zh-CN"/>
        </w:rPr>
        <w:t xml:space="preserve">The problem with the second case is how UE could determine </w:t>
      </w:r>
      <w:r w:rsidR="00754ACC">
        <w:rPr>
          <w:rFonts w:eastAsiaTheme="minorEastAsia"/>
          <w:lang w:eastAsia="zh-CN"/>
        </w:rPr>
        <w:t>the Rx beam to receive the SSB as indicated in the TCI. For the first case, the problem can be addressed by the highlighted condition – since all serving cells in an FR2 band have common Tx beam</w:t>
      </w:r>
      <w:r w:rsidR="009F2B56">
        <w:rPr>
          <w:rFonts w:eastAsiaTheme="minorEastAsia"/>
          <w:lang w:eastAsia="zh-CN"/>
        </w:rPr>
        <w:t xml:space="preserve"> on an OFDM symbol</w:t>
      </w:r>
      <w:r w:rsidR="00754ACC">
        <w:rPr>
          <w:rFonts w:eastAsiaTheme="minorEastAsia"/>
          <w:lang w:eastAsia="zh-CN"/>
        </w:rPr>
        <w:t xml:space="preserve">, UE can use the same Rx beam for </w:t>
      </w:r>
      <w:r w:rsidR="009F2B56">
        <w:rPr>
          <w:rFonts w:eastAsiaTheme="minorEastAsia"/>
          <w:lang w:eastAsia="zh-CN"/>
        </w:rPr>
        <w:t xml:space="preserve">the same SSB index on the target SCell and the active serving cell.  </w:t>
      </w:r>
    </w:p>
    <w:p w:rsidR="006E264C" w:rsidRDefault="009F2B56" w:rsidP="006E264C">
      <w:pPr>
        <w:spacing w:before="120" w:after="120"/>
        <w:rPr>
          <w:rFonts w:eastAsiaTheme="minorEastAsia"/>
          <w:lang w:eastAsia="zh-CN"/>
        </w:rPr>
      </w:pPr>
      <w:r>
        <w:rPr>
          <w:rFonts w:eastAsiaTheme="minorEastAsia"/>
          <w:lang w:eastAsia="zh-CN"/>
        </w:rPr>
        <w:t>To resolve the problem of Rx beam determination in the second case, we suggest to add the same condition as in the first case, i.e. the multiple SCell activation requirements for FR2 unknown SCells apply provided that the</w:t>
      </w:r>
      <w:r w:rsidRPr="009F2B56">
        <w:rPr>
          <w:rFonts w:eastAsiaTheme="minorEastAsia"/>
          <w:lang w:eastAsia="zh-CN"/>
        </w:rPr>
        <w:t xml:space="preserve"> parameter </w:t>
      </w:r>
      <w:r w:rsidRPr="009F2B56">
        <w:rPr>
          <w:rFonts w:eastAsiaTheme="minorEastAsia"/>
          <w:i/>
          <w:lang w:eastAsia="zh-CN"/>
        </w:rPr>
        <w:t>ssb-PositionsInBurst</w:t>
      </w:r>
      <w:r w:rsidRPr="009F2B56">
        <w:rPr>
          <w:rFonts w:eastAsiaTheme="minorEastAsia"/>
          <w:lang w:eastAsia="zh-CN"/>
        </w:rPr>
        <w:t xml:space="preserve"> is same for the </w:t>
      </w:r>
      <w:r>
        <w:rPr>
          <w:rFonts w:eastAsiaTheme="minorEastAsia"/>
          <w:lang w:eastAsia="zh-CN"/>
        </w:rPr>
        <w:t xml:space="preserve">known </w:t>
      </w:r>
      <w:r w:rsidRPr="009F2B56">
        <w:rPr>
          <w:rFonts w:eastAsiaTheme="minorEastAsia"/>
          <w:lang w:eastAsia="zh-CN"/>
        </w:rPr>
        <w:t>serving cell(s) and the</w:t>
      </w:r>
      <w:r>
        <w:rPr>
          <w:rFonts w:eastAsiaTheme="minorEastAsia"/>
          <w:lang w:eastAsia="zh-CN"/>
        </w:rPr>
        <w:t xml:space="preserve"> target </w:t>
      </w:r>
      <w:r w:rsidRPr="009F2B56">
        <w:rPr>
          <w:rFonts w:eastAsiaTheme="minorEastAsia"/>
          <w:lang w:eastAsia="zh-CN"/>
        </w:rPr>
        <w:t>SCell</w:t>
      </w:r>
      <w:r>
        <w:rPr>
          <w:rFonts w:eastAsiaTheme="minorEastAsia"/>
          <w:lang w:eastAsia="zh-CN"/>
        </w:rPr>
        <w:t>.</w:t>
      </w:r>
    </w:p>
    <w:p w:rsidR="009F2B56" w:rsidRPr="009F2B56" w:rsidRDefault="009F2B56" w:rsidP="006E264C">
      <w:pPr>
        <w:spacing w:before="120" w:after="120"/>
        <w:rPr>
          <w:rFonts w:eastAsiaTheme="minorEastAsia"/>
          <w:b/>
          <w:lang w:eastAsia="zh-CN"/>
        </w:rPr>
      </w:pPr>
      <w:r w:rsidRPr="009F2B56">
        <w:rPr>
          <w:rFonts w:eastAsiaTheme="minorEastAsia"/>
          <w:b/>
          <w:lang w:eastAsia="zh-CN"/>
        </w:rPr>
        <w:t xml:space="preserve">Proposal 6: Multiple SCell activation requirements for FR2 unknown SCells apply provided that the parameter </w:t>
      </w:r>
      <w:r w:rsidRPr="009F2B56">
        <w:rPr>
          <w:rFonts w:eastAsiaTheme="minorEastAsia"/>
          <w:b/>
          <w:i/>
          <w:lang w:eastAsia="zh-CN"/>
        </w:rPr>
        <w:t>ssb-PositionsInBurst</w:t>
      </w:r>
      <w:r w:rsidRPr="009F2B56">
        <w:rPr>
          <w:rFonts w:eastAsiaTheme="minorEastAsia"/>
          <w:b/>
          <w:lang w:eastAsia="zh-CN"/>
        </w:rPr>
        <w:t xml:space="preserve"> is same for the known serving cell(s) and the target SCell.</w:t>
      </w:r>
    </w:p>
    <w:p w:rsidR="00C3788F" w:rsidRDefault="00C3788F" w:rsidP="00C3788F">
      <w:pPr>
        <w:pStyle w:val="1"/>
        <w:jc w:val="both"/>
        <w:rPr>
          <w:lang w:val="en-US"/>
        </w:rPr>
      </w:pPr>
      <w:r>
        <w:rPr>
          <w:lang w:val="en-US"/>
        </w:rPr>
        <w:t>Conclusions</w:t>
      </w:r>
    </w:p>
    <w:p w:rsidR="009F2B56" w:rsidRPr="0004342E" w:rsidRDefault="009F2B56" w:rsidP="009F2B5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provided our views on the remaining issues is multiple SCell activation.</w:t>
      </w:r>
    </w:p>
    <w:p w:rsidR="009F2B56" w:rsidRPr="00254AC0" w:rsidRDefault="009F2B56" w:rsidP="009F2B56">
      <w:pPr>
        <w:spacing w:before="120" w:after="120"/>
        <w:rPr>
          <w:rFonts w:eastAsiaTheme="minorEastAsia"/>
          <w:b/>
          <w:lang w:val="en-US" w:eastAsia="zh-CN"/>
        </w:rPr>
      </w:pPr>
      <w:r w:rsidRPr="00254AC0">
        <w:rPr>
          <w:rFonts w:eastAsiaTheme="minorEastAsia"/>
          <w:b/>
          <w:lang w:val="en-US" w:eastAsia="zh-CN"/>
        </w:rPr>
        <w:t>Proposal 1: Use “RTD &lt;= CP/2” and “power difference &lt;= 6dB” as the condition for multiple SCell activation requirements in FR1 intra-band contiguous CA.</w:t>
      </w:r>
    </w:p>
    <w:p w:rsidR="009F2B56" w:rsidRDefault="009F2B56" w:rsidP="009F2B56">
      <w:pPr>
        <w:spacing w:before="120" w:after="120"/>
        <w:rPr>
          <w:rFonts w:eastAsiaTheme="minorEastAsia"/>
          <w:b/>
          <w:lang w:eastAsia="zh-CN"/>
        </w:rPr>
      </w:pPr>
      <w:r>
        <w:rPr>
          <w:rFonts w:eastAsiaTheme="minorEastAsia"/>
          <w:b/>
          <w:lang w:eastAsia="zh-CN"/>
        </w:rPr>
        <w:t>Proposal 2: Extend the UE requirement (to skip cell detection for unknown FR1 SCell that is intra-band contiguous to active or known serving cell) to single SCell activation.</w:t>
      </w:r>
    </w:p>
    <w:p w:rsidR="009F2B56" w:rsidRDefault="009F2B56" w:rsidP="009F2B56">
      <w:pPr>
        <w:spacing w:before="120" w:after="120"/>
        <w:rPr>
          <w:rFonts w:eastAsiaTheme="minorEastAsia"/>
          <w:b/>
          <w:lang w:eastAsia="zh-CN"/>
        </w:rPr>
      </w:pPr>
      <w:r>
        <w:rPr>
          <w:rFonts w:eastAsiaTheme="minorEastAsia"/>
          <w:b/>
          <w:lang w:eastAsia="zh-CN"/>
        </w:rPr>
        <w:t>Proposal 3: No requirement apply for other SCells being activated, if no requirements apply for any of the FR1 unknown SCell activated with the same MAC CE.</w:t>
      </w:r>
    </w:p>
    <w:p w:rsidR="009F2B56" w:rsidRDefault="009F2B56" w:rsidP="009F2B56">
      <w:pPr>
        <w:spacing w:before="120" w:after="120"/>
        <w:rPr>
          <w:rFonts w:eastAsiaTheme="minorEastAsia"/>
          <w:lang w:eastAsia="zh-CN"/>
        </w:rPr>
      </w:pPr>
      <w:r>
        <w:rPr>
          <w:rFonts w:eastAsiaTheme="minorEastAsia"/>
          <w:b/>
          <w:lang w:eastAsia="zh-CN"/>
        </w:rPr>
        <w:t>Proposal 4: Multiple SCell activation requirements apply provided that SMTC offset is same for all SCells activated by the same MAC CE.</w:t>
      </w:r>
    </w:p>
    <w:p w:rsidR="009F2B56" w:rsidRDefault="009F2B56" w:rsidP="009F2B56">
      <w:pPr>
        <w:spacing w:before="120" w:after="120"/>
        <w:rPr>
          <w:rFonts w:eastAsiaTheme="minorEastAsia"/>
          <w:b/>
          <w:lang w:eastAsia="zh-CN"/>
        </w:rPr>
      </w:pPr>
      <w:r w:rsidRPr="006E264C">
        <w:rPr>
          <w:rFonts w:eastAsiaTheme="minorEastAsia" w:hint="eastAsia"/>
          <w:b/>
          <w:lang w:eastAsia="zh-CN"/>
        </w:rPr>
        <w:t>P</w:t>
      </w:r>
      <w:r w:rsidRPr="006E264C">
        <w:rPr>
          <w:rFonts w:eastAsiaTheme="minorEastAsia"/>
          <w:b/>
          <w:lang w:eastAsia="zh-CN"/>
        </w:rPr>
        <w:t>roposal 5: For scenarios where UE is not assumed to perform cell detection on the target SCell, the SCell activation requirements apply provided that SSB offset is same on the target SCell and the active or known serving cell.</w:t>
      </w:r>
    </w:p>
    <w:p w:rsidR="008B10CB" w:rsidRPr="00AA2A84" w:rsidRDefault="009F2B56" w:rsidP="00EF01F0">
      <w:pPr>
        <w:spacing w:before="120" w:after="120"/>
        <w:rPr>
          <w:rFonts w:eastAsiaTheme="minorEastAsia"/>
          <w:b/>
          <w:lang w:eastAsia="zh-CN"/>
        </w:rPr>
      </w:pPr>
      <w:r w:rsidRPr="009F2B56">
        <w:rPr>
          <w:rFonts w:eastAsiaTheme="minorEastAsia"/>
          <w:b/>
          <w:lang w:eastAsia="zh-CN"/>
        </w:rPr>
        <w:t xml:space="preserve">Proposal 6: Multiple SCell activation requirements for FR2 unknown SCells apply provided that the parameter </w:t>
      </w:r>
      <w:r w:rsidRPr="009F2B56">
        <w:rPr>
          <w:rFonts w:eastAsiaTheme="minorEastAsia"/>
          <w:b/>
          <w:i/>
          <w:lang w:eastAsia="zh-CN"/>
        </w:rPr>
        <w:t>ssb-PositionsInBurst</w:t>
      </w:r>
      <w:r w:rsidRPr="009F2B56">
        <w:rPr>
          <w:rFonts w:eastAsiaTheme="minorEastAsia"/>
          <w:b/>
          <w:lang w:eastAsia="zh-CN"/>
        </w:rPr>
        <w:t xml:space="preserve"> is same for the known serving cell(s) and the target SCell.</w:t>
      </w:r>
    </w:p>
    <w:p w:rsidR="00C0754F" w:rsidRDefault="00C0754F" w:rsidP="00C0754F">
      <w:pPr>
        <w:pStyle w:val="1"/>
        <w:jc w:val="both"/>
        <w:rPr>
          <w:lang w:val="en-US"/>
        </w:rPr>
      </w:pPr>
      <w:r w:rsidRPr="00C0754F">
        <w:rPr>
          <w:lang w:val="en-US"/>
        </w:rPr>
        <w:t>Reference</w:t>
      </w:r>
    </w:p>
    <w:p w:rsidR="00511BD3" w:rsidRPr="00486307" w:rsidRDefault="006931DF" w:rsidP="00192A92">
      <w:pPr>
        <w:numPr>
          <w:ilvl w:val="0"/>
          <w:numId w:val="5"/>
        </w:numPr>
        <w:spacing w:before="120" w:after="120"/>
        <w:rPr>
          <w:rFonts w:eastAsia="宋体"/>
          <w:lang w:val="en-US" w:eastAsia="zh-CN"/>
        </w:rPr>
      </w:pPr>
      <w:r w:rsidRPr="006931DF">
        <w:rPr>
          <w:rFonts w:eastAsia="宋体"/>
          <w:lang w:eastAsia="zh-CN"/>
        </w:rPr>
        <w:t>RP-20</w:t>
      </w:r>
      <w:r w:rsidR="0080299A">
        <w:rPr>
          <w:rFonts w:eastAsia="宋体"/>
          <w:lang w:eastAsia="zh-CN"/>
        </w:rPr>
        <w:t>1</w:t>
      </w:r>
      <w:r w:rsidR="00192A92">
        <w:rPr>
          <w:rFonts w:eastAsia="宋体"/>
          <w:lang w:eastAsia="zh-CN"/>
        </w:rPr>
        <w:t>7202</w:t>
      </w:r>
      <w:r w:rsidR="00D57591">
        <w:rPr>
          <w:rFonts w:eastAsia="宋体"/>
          <w:lang w:eastAsia="zh-CN"/>
        </w:rPr>
        <w:t xml:space="preserve">, </w:t>
      </w:r>
      <w:r w:rsidR="00192A92" w:rsidRPr="00192A92">
        <w:rPr>
          <w:rFonts w:eastAsia="宋体"/>
          <w:lang w:val="en-US" w:eastAsia="zh-CN"/>
        </w:rPr>
        <w:t>WF on R16 RRM enhancement part 3 – Multiple SCell activation, UE specific CBW change and feature list 9-8/9-9/9-10</w:t>
      </w:r>
      <w:r w:rsidR="007E7A02" w:rsidRPr="0080299A">
        <w:rPr>
          <w:rFonts w:eastAsia="宋体"/>
          <w:lang w:eastAsia="zh-CN"/>
        </w:rPr>
        <w:t xml:space="preserve">, </w:t>
      </w:r>
      <w:r w:rsidR="00192A92">
        <w:rPr>
          <w:rFonts w:eastAsia="宋体"/>
          <w:lang w:eastAsia="zh-CN"/>
        </w:rPr>
        <w:t>Apple</w:t>
      </w:r>
    </w:p>
    <w:p w:rsidR="00486307" w:rsidRPr="00192A92" w:rsidRDefault="00486307" w:rsidP="00486307">
      <w:pPr>
        <w:numPr>
          <w:ilvl w:val="0"/>
          <w:numId w:val="5"/>
        </w:numPr>
        <w:spacing w:before="120" w:after="120"/>
        <w:rPr>
          <w:rFonts w:eastAsia="宋体"/>
          <w:lang w:val="en-US" w:eastAsia="zh-CN"/>
        </w:rPr>
      </w:pPr>
      <w:r w:rsidRPr="00486307">
        <w:rPr>
          <w:rFonts w:eastAsia="宋体"/>
          <w:lang w:val="en-US" w:eastAsia="zh-CN"/>
        </w:rPr>
        <w:t>R4-1915931</w:t>
      </w:r>
      <w:r>
        <w:rPr>
          <w:rFonts w:eastAsia="宋体"/>
          <w:lang w:val="en-US" w:eastAsia="zh-CN"/>
        </w:rPr>
        <w:t xml:space="preserve">, </w:t>
      </w:r>
      <w:r w:rsidRPr="00486307">
        <w:rPr>
          <w:rFonts w:eastAsia="宋体"/>
          <w:lang w:val="en-US" w:eastAsia="zh-CN"/>
        </w:rPr>
        <w:t>Way forward on activation delay extension due to multiple SCell activation</w:t>
      </w:r>
      <w:r w:rsidRPr="0080299A">
        <w:rPr>
          <w:rFonts w:eastAsia="宋体"/>
          <w:lang w:eastAsia="zh-CN"/>
        </w:rPr>
        <w:t xml:space="preserve">, </w:t>
      </w:r>
      <w:r>
        <w:rPr>
          <w:rFonts w:eastAsia="宋体"/>
          <w:lang w:eastAsia="zh-CN"/>
        </w:rPr>
        <w:t>Apple</w:t>
      </w:r>
    </w:p>
    <w:sectPr w:rsidR="00486307" w:rsidRPr="00192A92"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94E" w:rsidRDefault="0001694E">
      <w:pPr>
        <w:spacing w:before="120" w:after="120"/>
      </w:pPr>
      <w:r>
        <w:separator/>
      </w:r>
    </w:p>
  </w:endnote>
  <w:endnote w:type="continuationSeparator" w:id="0">
    <w:p w:rsidR="0001694E" w:rsidRDefault="0001694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64C" w:rsidRDefault="006E264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E264C" w:rsidRDefault="006E264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64C" w:rsidRDefault="006E264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F3BA2">
      <w:rPr>
        <w:rStyle w:val="af1"/>
      </w:rPr>
      <w:t>5</w:t>
    </w:r>
    <w:r>
      <w:rPr>
        <w:rStyle w:val="af1"/>
      </w:rPr>
      <w:fldChar w:fldCharType="end"/>
    </w:r>
  </w:p>
  <w:p w:rsidR="006E264C" w:rsidRDefault="006E264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94E" w:rsidRDefault="0001694E">
      <w:pPr>
        <w:spacing w:before="120" w:after="120"/>
      </w:pPr>
      <w:r>
        <w:separator/>
      </w:r>
    </w:p>
  </w:footnote>
  <w:footnote w:type="continuationSeparator" w:id="0">
    <w:p w:rsidR="0001694E" w:rsidRDefault="0001694E">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35053"/>
    <w:multiLevelType w:val="hybridMultilevel"/>
    <w:tmpl w:val="940C23AC"/>
    <w:lvl w:ilvl="0" w:tplc="EC0E60E8">
      <w:start w:val="1"/>
      <w:numFmt w:val="bullet"/>
      <w:lvlText w:val="•"/>
      <w:lvlJc w:val="left"/>
      <w:pPr>
        <w:tabs>
          <w:tab w:val="num" w:pos="720"/>
        </w:tabs>
        <w:ind w:left="720" w:hanging="360"/>
      </w:pPr>
      <w:rPr>
        <w:rFonts w:ascii="Arial" w:hAnsi="Arial" w:hint="default"/>
      </w:rPr>
    </w:lvl>
    <w:lvl w:ilvl="1" w:tplc="2286DDE2">
      <w:numFmt w:val="bullet"/>
      <w:lvlText w:val="–"/>
      <w:lvlJc w:val="left"/>
      <w:pPr>
        <w:tabs>
          <w:tab w:val="num" w:pos="1440"/>
        </w:tabs>
        <w:ind w:left="1440" w:hanging="360"/>
      </w:pPr>
      <w:rPr>
        <w:rFonts w:ascii="Arial" w:hAnsi="Arial" w:hint="default"/>
      </w:rPr>
    </w:lvl>
    <w:lvl w:ilvl="2" w:tplc="A8F653C4" w:tentative="1">
      <w:start w:val="1"/>
      <w:numFmt w:val="bullet"/>
      <w:lvlText w:val="•"/>
      <w:lvlJc w:val="left"/>
      <w:pPr>
        <w:tabs>
          <w:tab w:val="num" w:pos="2160"/>
        </w:tabs>
        <w:ind w:left="2160" w:hanging="360"/>
      </w:pPr>
      <w:rPr>
        <w:rFonts w:ascii="Arial" w:hAnsi="Arial" w:hint="default"/>
      </w:rPr>
    </w:lvl>
    <w:lvl w:ilvl="3" w:tplc="EBDE6194" w:tentative="1">
      <w:start w:val="1"/>
      <w:numFmt w:val="bullet"/>
      <w:lvlText w:val="•"/>
      <w:lvlJc w:val="left"/>
      <w:pPr>
        <w:tabs>
          <w:tab w:val="num" w:pos="2880"/>
        </w:tabs>
        <w:ind w:left="2880" w:hanging="360"/>
      </w:pPr>
      <w:rPr>
        <w:rFonts w:ascii="Arial" w:hAnsi="Arial" w:hint="default"/>
      </w:rPr>
    </w:lvl>
    <w:lvl w:ilvl="4" w:tplc="F32A1D4C" w:tentative="1">
      <w:start w:val="1"/>
      <w:numFmt w:val="bullet"/>
      <w:lvlText w:val="•"/>
      <w:lvlJc w:val="left"/>
      <w:pPr>
        <w:tabs>
          <w:tab w:val="num" w:pos="3600"/>
        </w:tabs>
        <w:ind w:left="3600" w:hanging="360"/>
      </w:pPr>
      <w:rPr>
        <w:rFonts w:ascii="Arial" w:hAnsi="Arial" w:hint="default"/>
      </w:rPr>
    </w:lvl>
    <w:lvl w:ilvl="5" w:tplc="74988AD4" w:tentative="1">
      <w:start w:val="1"/>
      <w:numFmt w:val="bullet"/>
      <w:lvlText w:val="•"/>
      <w:lvlJc w:val="left"/>
      <w:pPr>
        <w:tabs>
          <w:tab w:val="num" w:pos="4320"/>
        </w:tabs>
        <w:ind w:left="4320" w:hanging="360"/>
      </w:pPr>
      <w:rPr>
        <w:rFonts w:ascii="Arial" w:hAnsi="Arial" w:hint="default"/>
      </w:rPr>
    </w:lvl>
    <w:lvl w:ilvl="6" w:tplc="49CCA6A8" w:tentative="1">
      <w:start w:val="1"/>
      <w:numFmt w:val="bullet"/>
      <w:lvlText w:val="•"/>
      <w:lvlJc w:val="left"/>
      <w:pPr>
        <w:tabs>
          <w:tab w:val="num" w:pos="5040"/>
        </w:tabs>
        <w:ind w:left="5040" w:hanging="360"/>
      </w:pPr>
      <w:rPr>
        <w:rFonts w:ascii="Arial" w:hAnsi="Arial" w:hint="default"/>
      </w:rPr>
    </w:lvl>
    <w:lvl w:ilvl="7" w:tplc="F4E8EE60" w:tentative="1">
      <w:start w:val="1"/>
      <w:numFmt w:val="bullet"/>
      <w:lvlText w:val="•"/>
      <w:lvlJc w:val="left"/>
      <w:pPr>
        <w:tabs>
          <w:tab w:val="num" w:pos="5760"/>
        </w:tabs>
        <w:ind w:left="5760" w:hanging="360"/>
      </w:pPr>
      <w:rPr>
        <w:rFonts w:ascii="Arial" w:hAnsi="Arial" w:hint="default"/>
      </w:rPr>
    </w:lvl>
    <w:lvl w:ilvl="8" w:tplc="995E13D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C1862"/>
    <w:multiLevelType w:val="hybridMultilevel"/>
    <w:tmpl w:val="3E72EAE0"/>
    <w:lvl w:ilvl="0" w:tplc="3202D770">
      <w:start w:val="1"/>
      <w:numFmt w:val="bullet"/>
      <w:lvlText w:val="•"/>
      <w:lvlJc w:val="left"/>
      <w:pPr>
        <w:tabs>
          <w:tab w:val="num" w:pos="720"/>
        </w:tabs>
        <w:ind w:left="720" w:hanging="360"/>
      </w:pPr>
      <w:rPr>
        <w:rFonts w:ascii="Arial" w:hAnsi="Arial" w:hint="default"/>
      </w:rPr>
    </w:lvl>
    <w:lvl w:ilvl="1" w:tplc="A6BACC4C">
      <w:numFmt w:val="bullet"/>
      <w:lvlText w:val="–"/>
      <w:lvlJc w:val="left"/>
      <w:pPr>
        <w:tabs>
          <w:tab w:val="num" w:pos="1440"/>
        </w:tabs>
        <w:ind w:left="1440" w:hanging="360"/>
      </w:pPr>
      <w:rPr>
        <w:rFonts w:ascii="Arial" w:hAnsi="Arial" w:hint="default"/>
      </w:rPr>
    </w:lvl>
    <w:lvl w:ilvl="2" w:tplc="235CE5D8" w:tentative="1">
      <w:start w:val="1"/>
      <w:numFmt w:val="bullet"/>
      <w:lvlText w:val="•"/>
      <w:lvlJc w:val="left"/>
      <w:pPr>
        <w:tabs>
          <w:tab w:val="num" w:pos="2160"/>
        </w:tabs>
        <w:ind w:left="2160" w:hanging="360"/>
      </w:pPr>
      <w:rPr>
        <w:rFonts w:ascii="Arial" w:hAnsi="Arial" w:hint="default"/>
      </w:rPr>
    </w:lvl>
    <w:lvl w:ilvl="3" w:tplc="51E2C29E" w:tentative="1">
      <w:start w:val="1"/>
      <w:numFmt w:val="bullet"/>
      <w:lvlText w:val="•"/>
      <w:lvlJc w:val="left"/>
      <w:pPr>
        <w:tabs>
          <w:tab w:val="num" w:pos="2880"/>
        </w:tabs>
        <w:ind w:left="2880" w:hanging="360"/>
      </w:pPr>
      <w:rPr>
        <w:rFonts w:ascii="Arial" w:hAnsi="Arial" w:hint="default"/>
      </w:rPr>
    </w:lvl>
    <w:lvl w:ilvl="4" w:tplc="DB561D34" w:tentative="1">
      <w:start w:val="1"/>
      <w:numFmt w:val="bullet"/>
      <w:lvlText w:val="•"/>
      <w:lvlJc w:val="left"/>
      <w:pPr>
        <w:tabs>
          <w:tab w:val="num" w:pos="3600"/>
        </w:tabs>
        <w:ind w:left="3600" w:hanging="360"/>
      </w:pPr>
      <w:rPr>
        <w:rFonts w:ascii="Arial" w:hAnsi="Arial" w:hint="default"/>
      </w:rPr>
    </w:lvl>
    <w:lvl w:ilvl="5" w:tplc="B088FF0A" w:tentative="1">
      <w:start w:val="1"/>
      <w:numFmt w:val="bullet"/>
      <w:lvlText w:val="•"/>
      <w:lvlJc w:val="left"/>
      <w:pPr>
        <w:tabs>
          <w:tab w:val="num" w:pos="4320"/>
        </w:tabs>
        <w:ind w:left="4320" w:hanging="360"/>
      </w:pPr>
      <w:rPr>
        <w:rFonts w:ascii="Arial" w:hAnsi="Arial" w:hint="default"/>
      </w:rPr>
    </w:lvl>
    <w:lvl w:ilvl="6" w:tplc="BF744406" w:tentative="1">
      <w:start w:val="1"/>
      <w:numFmt w:val="bullet"/>
      <w:lvlText w:val="•"/>
      <w:lvlJc w:val="left"/>
      <w:pPr>
        <w:tabs>
          <w:tab w:val="num" w:pos="5040"/>
        </w:tabs>
        <w:ind w:left="5040" w:hanging="360"/>
      </w:pPr>
      <w:rPr>
        <w:rFonts w:ascii="Arial" w:hAnsi="Arial" w:hint="default"/>
      </w:rPr>
    </w:lvl>
    <w:lvl w:ilvl="7" w:tplc="23DC00AA" w:tentative="1">
      <w:start w:val="1"/>
      <w:numFmt w:val="bullet"/>
      <w:lvlText w:val="•"/>
      <w:lvlJc w:val="left"/>
      <w:pPr>
        <w:tabs>
          <w:tab w:val="num" w:pos="5760"/>
        </w:tabs>
        <w:ind w:left="5760" w:hanging="360"/>
      </w:pPr>
      <w:rPr>
        <w:rFonts w:ascii="Arial" w:hAnsi="Arial" w:hint="default"/>
      </w:rPr>
    </w:lvl>
    <w:lvl w:ilvl="8" w:tplc="F64A07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125F0D"/>
    <w:multiLevelType w:val="hybridMultilevel"/>
    <w:tmpl w:val="71A06742"/>
    <w:lvl w:ilvl="0" w:tplc="EBE441FA">
      <w:start w:val="1"/>
      <w:numFmt w:val="bullet"/>
      <w:lvlText w:val="•"/>
      <w:lvlJc w:val="left"/>
      <w:pPr>
        <w:tabs>
          <w:tab w:val="num" w:pos="720"/>
        </w:tabs>
        <w:ind w:left="720" w:hanging="360"/>
      </w:pPr>
      <w:rPr>
        <w:rFonts w:ascii="Arial" w:hAnsi="Arial" w:hint="default"/>
      </w:rPr>
    </w:lvl>
    <w:lvl w:ilvl="1" w:tplc="6D84DBAA">
      <w:numFmt w:val="bullet"/>
      <w:lvlText w:val="–"/>
      <w:lvlJc w:val="left"/>
      <w:pPr>
        <w:tabs>
          <w:tab w:val="num" w:pos="1440"/>
        </w:tabs>
        <w:ind w:left="1440" w:hanging="360"/>
      </w:pPr>
      <w:rPr>
        <w:rFonts w:ascii="Arial" w:hAnsi="Arial" w:hint="default"/>
      </w:rPr>
    </w:lvl>
    <w:lvl w:ilvl="2" w:tplc="8690E66A">
      <w:numFmt w:val="bullet"/>
      <w:lvlText w:val="•"/>
      <w:lvlJc w:val="left"/>
      <w:pPr>
        <w:tabs>
          <w:tab w:val="num" w:pos="2160"/>
        </w:tabs>
        <w:ind w:left="2160" w:hanging="360"/>
      </w:pPr>
      <w:rPr>
        <w:rFonts w:ascii="Arial" w:hAnsi="Arial" w:hint="default"/>
      </w:rPr>
    </w:lvl>
    <w:lvl w:ilvl="3" w:tplc="02F248DA">
      <w:start w:val="1"/>
      <w:numFmt w:val="bullet"/>
      <w:lvlText w:val="•"/>
      <w:lvlJc w:val="left"/>
      <w:pPr>
        <w:tabs>
          <w:tab w:val="num" w:pos="2880"/>
        </w:tabs>
        <w:ind w:left="2880" w:hanging="360"/>
      </w:pPr>
      <w:rPr>
        <w:rFonts w:ascii="Arial" w:hAnsi="Arial" w:hint="default"/>
      </w:rPr>
    </w:lvl>
    <w:lvl w:ilvl="4" w:tplc="548290BA" w:tentative="1">
      <w:start w:val="1"/>
      <w:numFmt w:val="bullet"/>
      <w:lvlText w:val="•"/>
      <w:lvlJc w:val="left"/>
      <w:pPr>
        <w:tabs>
          <w:tab w:val="num" w:pos="3600"/>
        </w:tabs>
        <w:ind w:left="3600" w:hanging="360"/>
      </w:pPr>
      <w:rPr>
        <w:rFonts w:ascii="Arial" w:hAnsi="Arial" w:hint="default"/>
      </w:rPr>
    </w:lvl>
    <w:lvl w:ilvl="5" w:tplc="9162CDFC" w:tentative="1">
      <w:start w:val="1"/>
      <w:numFmt w:val="bullet"/>
      <w:lvlText w:val="•"/>
      <w:lvlJc w:val="left"/>
      <w:pPr>
        <w:tabs>
          <w:tab w:val="num" w:pos="4320"/>
        </w:tabs>
        <w:ind w:left="4320" w:hanging="360"/>
      </w:pPr>
      <w:rPr>
        <w:rFonts w:ascii="Arial" w:hAnsi="Arial" w:hint="default"/>
      </w:rPr>
    </w:lvl>
    <w:lvl w:ilvl="6" w:tplc="D44A9902" w:tentative="1">
      <w:start w:val="1"/>
      <w:numFmt w:val="bullet"/>
      <w:lvlText w:val="•"/>
      <w:lvlJc w:val="left"/>
      <w:pPr>
        <w:tabs>
          <w:tab w:val="num" w:pos="5040"/>
        </w:tabs>
        <w:ind w:left="5040" w:hanging="360"/>
      </w:pPr>
      <w:rPr>
        <w:rFonts w:ascii="Arial" w:hAnsi="Arial" w:hint="default"/>
      </w:rPr>
    </w:lvl>
    <w:lvl w:ilvl="7" w:tplc="64C8D3C2" w:tentative="1">
      <w:start w:val="1"/>
      <w:numFmt w:val="bullet"/>
      <w:lvlText w:val="•"/>
      <w:lvlJc w:val="left"/>
      <w:pPr>
        <w:tabs>
          <w:tab w:val="num" w:pos="5760"/>
        </w:tabs>
        <w:ind w:left="5760" w:hanging="360"/>
      </w:pPr>
      <w:rPr>
        <w:rFonts w:ascii="Arial" w:hAnsi="Arial" w:hint="default"/>
      </w:rPr>
    </w:lvl>
    <w:lvl w:ilvl="8" w:tplc="3B48A2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322115"/>
    <w:multiLevelType w:val="hybridMultilevel"/>
    <w:tmpl w:val="ABA4602E"/>
    <w:lvl w:ilvl="0" w:tplc="2C90201E">
      <w:start w:val="1"/>
      <w:numFmt w:val="bullet"/>
      <w:lvlText w:val="•"/>
      <w:lvlJc w:val="left"/>
      <w:pPr>
        <w:tabs>
          <w:tab w:val="num" w:pos="720"/>
        </w:tabs>
        <w:ind w:left="720" w:hanging="360"/>
      </w:pPr>
      <w:rPr>
        <w:rFonts w:ascii="Arial" w:hAnsi="Arial" w:hint="default"/>
      </w:rPr>
    </w:lvl>
    <w:lvl w:ilvl="1" w:tplc="81A05876">
      <w:numFmt w:val="bullet"/>
      <w:lvlText w:val="–"/>
      <w:lvlJc w:val="left"/>
      <w:pPr>
        <w:tabs>
          <w:tab w:val="num" w:pos="1440"/>
        </w:tabs>
        <w:ind w:left="1440" w:hanging="360"/>
      </w:pPr>
      <w:rPr>
        <w:rFonts w:ascii="Arial" w:hAnsi="Arial" w:hint="default"/>
      </w:rPr>
    </w:lvl>
    <w:lvl w:ilvl="2" w:tplc="22CA0BBE">
      <w:numFmt w:val="bullet"/>
      <w:lvlText w:val="•"/>
      <w:lvlJc w:val="left"/>
      <w:pPr>
        <w:tabs>
          <w:tab w:val="num" w:pos="2160"/>
        </w:tabs>
        <w:ind w:left="2160" w:hanging="360"/>
      </w:pPr>
      <w:rPr>
        <w:rFonts w:ascii="Arial" w:hAnsi="Arial" w:hint="default"/>
      </w:rPr>
    </w:lvl>
    <w:lvl w:ilvl="3" w:tplc="EB465B64" w:tentative="1">
      <w:start w:val="1"/>
      <w:numFmt w:val="bullet"/>
      <w:lvlText w:val="•"/>
      <w:lvlJc w:val="left"/>
      <w:pPr>
        <w:tabs>
          <w:tab w:val="num" w:pos="2880"/>
        </w:tabs>
        <w:ind w:left="2880" w:hanging="360"/>
      </w:pPr>
      <w:rPr>
        <w:rFonts w:ascii="Arial" w:hAnsi="Arial" w:hint="default"/>
      </w:rPr>
    </w:lvl>
    <w:lvl w:ilvl="4" w:tplc="8CE0DF96" w:tentative="1">
      <w:start w:val="1"/>
      <w:numFmt w:val="bullet"/>
      <w:lvlText w:val="•"/>
      <w:lvlJc w:val="left"/>
      <w:pPr>
        <w:tabs>
          <w:tab w:val="num" w:pos="3600"/>
        </w:tabs>
        <w:ind w:left="3600" w:hanging="360"/>
      </w:pPr>
      <w:rPr>
        <w:rFonts w:ascii="Arial" w:hAnsi="Arial" w:hint="default"/>
      </w:rPr>
    </w:lvl>
    <w:lvl w:ilvl="5" w:tplc="192854C4" w:tentative="1">
      <w:start w:val="1"/>
      <w:numFmt w:val="bullet"/>
      <w:lvlText w:val="•"/>
      <w:lvlJc w:val="left"/>
      <w:pPr>
        <w:tabs>
          <w:tab w:val="num" w:pos="4320"/>
        </w:tabs>
        <w:ind w:left="4320" w:hanging="360"/>
      </w:pPr>
      <w:rPr>
        <w:rFonts w:ascii="Arial" w:hAnsi="Arial" w:hint="default"/>
      </w:rPr>
    </w:lvl>
    <w:lvl w:ilvl="6" w:tplc="7354F6E8" w:tentative="1">
      <w:start w:val="1"/>
      <w:numFmt w:val="bullet"/>
      <w:lvlText w:val="•"/>
      <w:lvlJc w:val="left"/>
      <w:pPr>
        <w:tabs>
          <w:tab w:val="num" w:pos="5040"/>
        </w:tabs>
        <w:ind w:left="5040" w:hanging="360"/>
      </w:pPr>
      <w:rPr>
        <w:rFonts w:ascii="Arial" w:hAnsi="Arial" w:hint="default"/>
      </w:rPr>
    </w:lvl>
    <w:lvl w:ilvl="7" w:tplc="D3E8FA56" w:tentative="1">
      <w:start w:val="1"/>
      <w:numFmt w:val="bullet"/>
      <w:lvlText w:val="•"/>
      <w:lvlJc w:val="left"/>
      <w:pPr>
        <w:tabs>
          <w:tab w:val="num" w:pos="5760"/>
        </w:tabs>
        <w:ind w:left="5760" w:hanging="360"/>
      </w:pPr>
      <w:rPr>
        <w:rFonts w:ascii="Arial" w:hAnsi="Arial" w:hint="default"/>
      </w:rPr>
    </w:lvl>
    <w:lvl w:ilvl="8" w:tplc="605C43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851BB6"/>
    <w:multiLevelType w:val="hybridMultilevel"/>
    <w:tmpl w:val="95D0D666"/>
    <w:lvl w:ilvl="0" w:tplc="C690260A">
      <w:start w:val="1"/>
      <w:numFmt w:val="bullet"/>
      <w:lvlText w:val="•"/>
      <w:lvlJc w:val="left"/>
      <w:pPr>
        <w:tabs>
          <w:tab w:val="num" w:pos="720"/>
        </w:tabs>
        <w:ind w:left="720" w:hanging="360"/>
      </w:pPr>
      <w:rPr>
        <w:rFonts w:ascii="Arial" w:hAnsi="Arial" w:hint="default"/>
      </w:rPr>
    </w:lvl>
    <w:lvl w:ilvl="1" w:tplc="B11AC2C2" w:tentative="1">
      <w:start w:val="1"/>
      <w:numFmt w:val="bullet"/>
      <w:lvlText w:val="•"/>
      <w:lvlJc w:val="left"/>
      <w:pPr>
        <w:tabs>
          <w:tab w:val="num" w:pos="1440"/>
        </w:tabs>
        <w:ind w:left="1440" w:hanging="360"/>
      </w:pPr>
      <w:rPr>
        <w:rFonts w:ascii="Arial" w:hAnsi="Arial" w:hint="default"/>
      </w:rPr>
    </w:lvl>
    <w:lvl w:ilvl="2" w:tplc="1740331A" w:tentative="1">
      <w:start w:val="1"/>
      <w:numFmt w:val="bullet"/>
      <w:lvlText w:val="•"/>
      <w:lvlJc w:val="left"/>
      <w:pPr>
        <w:tabs>
          <w:tab w:val="num" w:pos="2160"/>
        </w:tabs>
        <w:ind w:left="2160" w:hanging="360"/>
      </w:pPr>
      <w:rPr>
        <w:rFonts w:ascii="Arial" w:hAnsi="Arial" w:hint="default"/>
      </w:rPr>
    </w:lvl>
    <w:lvl w:ilvl="3" w:tplc="FB6E7258" w:tentative="1">
      <w:start w:val="1"/>
      <w:numFmt w:val="bullet"/>
      <w:lvlText w:val="•"/>
      <w:lvlJc w:val="left"/>
      <w:pPr>
        <w:tabs>
          <w:tab w:val="num" w:pos="2880"/>
        </w:tabs>
        <w:ind w:left="2880" w:hanging="360"/>
      </w:pPr>
      <w:rPr>
        <w:rFonts w:ascii="Arial" w:hAnsi="Arial" w:hint="default"/>
      </w:rPr>
    </w:lvl>
    <w:lvl w:ilvl="4" w:tplc="FBDEF7EA" w:tentative="1">
      <w:start w:val="1"/>
      <w:numFmt w:val="bullet"/>
      <w:lvlText w:val="•"/>
      <w:lvlJc w:val="left"/>
      <w:pPr>
        <w:tabs>
          <w:tab w:val="num" w:pos="3600"/>
        </w:tabs>
        <w:ind w:left="3600" w:hanging="360"/>
      </w:pPr>
      <w:rPr>
        <w:rFonts w:ascii="Arial" w:hAnsi="Arial" w:hint="default"/>
      </w:rPr>
    </w:lvl>
    <w:lvl w:ilvl="5" w:tplc="6F685452" w:tentative="1">
      <w:start w:val="1"/>
      <w:numFmt w:val="bullet"/>
      <w:lvlText w:val="•"/>
      <w:lvlJc w:val="left"/>
      <w:pPr>
        <w:tabs>
          <w:tab w:val="num" w:pos="4320"/>
        </w:tabs>
        <w:ind w:left="4320" w:hanging="360"/>
      </w:pPr>
      <w:rPr>
        <w:rFonts w:ascii="Arial" w:hAnsi="Arial" w:hint="default"/>
      </w:rPr>
    </w:lvl>
    <w:lvl w:ilvl="6" w:tplc="3C644DBE" w:tentative="1">
      <w:start w:val="1"/>
      <w:numFmt w:val="bullet"/>
      <w:lvlText w:val="•"/>
      <w:lvlJc w:val="left"/>
      <w:pPr>
        <w:tabs>
          <w:tab w:val="num" w:pos="5040"/>
        </w:tabs>
        <w:ind w:left="5040" w:hanging="360"/>
      </w:pPr>
      <w:rPr>
        <w:rFonts w:ascii="Arial" w:hAnsi="Arial" w:hint="default"/>
      </w:rPr>
    </w:lvl>
    <w:lvl w:ilvl="7" w:tplc="D2BC2720" w:tentative="1">
      <w:start w:val="1"/>
      <w:numFmt w:val="bullet"/>
      <w:lvlText w:val="•"/>
      <w:lvlJc w:val="left"/>
      <w:pPr>
        <w:tabs>
          <w:tab w:val="num" w:pos="5760"/>
        </w:tabs>
        <w:ind w:left="5760" w:hanging="360"/>
      </w:pPr>
      <w:rPr>
        <w:rFonts w:ascii="Arial" w:hAnsi="Arial" w:hint="default"/>
      </w:rPr>
    </w:lvl>
    <w:lvl w:ilvl="8" w:tplc="84D686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AC6BB9"/>
    <w:multiLevelType w:val="hybridMultilevel"/>
    <w:tmpl w:val="D86E7EA6"/>
    <w:lvl w:ilvl="0" w:tplc="3A320B76">
      <w:start w:val="1"/>
      <w:numFmt w:val="bullet"/>
      <w:lvlText w:val="•"/>
      <w:lvlJc w:val="left"/>
      <w:pPr>
        <w:tabs>
          <w:tab w:val="num" w:pos="720"/>
        </w:tabs>
        <w:ind w:left="720" w:hanging="360"/>
      </w:pPr>
      <w:rPr>
        <w:rFonts w:ascii="Arial" w:hAnsi="Arial" w:hint="default"/>
      </w:rPr>
    </w:lvl>
    <w:lvl w:ilvl="1" w:tplc="1C28B3BC">
      <w:numFmt w:val="bullet"/>
      <w:lvlText w:val="–"/>
      <w:lvlJc w:val="left"/>
      <w:pPr>
        <w:tabs>
          <w:tab w:val="num" w:pos="1440"/>
        </w:tabs>
        <w:ind w:left="1440" w:hanging="360"/>
      </w:pPr>
      <w:rPr>
        <w:rFonts w:ascii="Arial" w:hAnsi="Arial" w:hint="default"/>
      </w:rPr>
    </w:lvl>
    <w:lvl w:ilvl="2" w:tplc="D3A62B88" w:tentative="1">
      <w:start w:val="1"/>
      <w:numFmt w:val="bullet"/>
      <w:lvlText w:val="•"/>
      <w:lvlJc w:val="left"/>
      <w:pPr>
        <w:tabs>
          <w:tab w:val="num" w:pos="2160"/>
        </w:tabs>
        <w:ind w:left="2160" w:hanging="360"/>
      </w:pPr>
      <w:rPr>
        <w:rFonts w:ascii="Arial" w:hAnsi="Arial" w:hint="default"/>
      </w:rPr>
    </w:lvl>
    <w:lvl w:ilvl="3" w:tplc="514C40A6" w:tentative="1">
      <w:start w:val="1"/>
      <w:numFmt w:val="bullet"/>
      <w:lvlText w:val="•"/>
      <w:lvlJc w:val="left"/>
      <w:pPr>
        <w:tabs>
          <w:tab w:val="num" w:pos="2880"/>
        </w:tabs>
        <w:ind w:left="2880" w:hanging="360"/>
      </w:pPr>
      <w:rPr>
        <w:rFonts w:ascii="Arial" w:hAnsi="Arial" w:hint="default"/>
      </w:rPr>
    </w:lvl>
    <w:lvl w:ilvl="4" w:tplc="72E8B9F2" w:tentative="1">
      <w:start w:val="1"/>
      <w:numFmt w:val="bullet"/>
      <w:lvlText w:val="•"/>
      <w:lvlJc w:val="left"/>
      <w:pPr>
        <w:tabs>
          <w:tab w:val="num" w:pos="3600"/>
        </w:tabs>
        <w:ind w:left="3600" w:hanging="360"/>
      </w:pPr>
      <w:rPr>
        <w:rFonts w:ascii="Arial" w:hAnsi="Arial" w:hint="default"/>
      </w:rPr>
    </w:lvl>
    <w:lvl w:ilvl="5" w:tplc="22A21346" w:tentative="1">
      <w:start w:val="1"/>
      <w:numFmt w:val="bullet"/>
      <w:lvlText w:val="•"/>
      <w:lvlJc w:val="left"/>
      <w:pPr>
        <w:tabs>
          <w:tab w:val="num" w:pos="4320"/>
        </w:tabs>
        <w:ind w:left="4320" w:hanging="360"/>
      </w:pPr>
      <w:rPr>
        <w:rFonts w:ascii="Arial" w:hAnsi="Arial" w:hint="default"/>
      </w:rPr>
    </w:lvl>
    <w:lvl w:ilvl="6" w:tplc="ADCC0C32" w:tentative="1">
      <w:start w:val="1"/>
      <w:numFmt w:val="bullet"/>
      <w:lvlText w:val="•"/>
      <w:lvlJc w:val="left"/>
      <w:pPr>
        <w:tabs>
          <w:tab w:val="num" w:pos="5040"/>
        </w:tabs>
        <w:ind w:left="5040" w:hanging="360"/>
      </w:pPr>
      <w:rPr>
        <w:rFonts w:ascii="Arial" w:hAnsi="Arial" w:hint="default"/>
      </w:rPr>
    </w:lvl>
    <w:lvl w:ilvl="7" w:tplc="42426730" w:tentative="1">
      <w:start w:val="1"/>
      <w:numFmt w:val="bullet"/>
      <w:lvlText w:val="•"/>
      <w:lvlJc w:val="left"/>
      <w:pPr>
        <w:tabs>
          <w:tab w:val="num" w:pos="5760"/>
        </w:tabs>
        <w:ind w:left="5760" w:hanging="360"/>
      </w:pPr>
      <w:rPr>
        <w:rFonts w:ascii="Arial" w:hAnsi="Arial" w:hint="default"/>
      </w:rPr>
    </w:lvl>
    <w:lvl w:ilvl="8" w:tplc="0082DCB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384CD8"/>
    <w:multiLevelType w:val="hybridMultilevel"/>
    <w:tmpl w:val="7B1A1982"/>
    <w:lvl w:ilvl="0" w:tplc="F3522DC4">
      <w:start w:val="1"/>
      <w:numFmt w:val="bullet"/>
      <w:lvlText w:val="•"/>
      <w:lvlJc w:val="left"/>
      <w:pPr>
        <w:tabs>
          <w:tab w:val="num" w:pos="720"/>
        </w:tabs>
        <w:ind w:left="720" w:hanging="360"/>
      </w:pPr>
      <w:rPr>
        <w:rFonts w:ascii="Arial" w:hAnsi="Arial" w:hint="default"/>
      </w:rPr>
    </w:lvl>
    <w:lvl w:ilvl="1" w:tplc="2B082BC2">
      <w:numFmt w:val="bullet"/>
      <w:lvlText w:val="–"/>
      <w:lvlJc w:val="left"/>
      <w:pPr>
        <w:tabs>
          <w:tab w:val="num" w:pos="1440"/>
        </w:tabs>
        <w:ind w:left="1440" w:hanging="360"/>
      </w:pPr>
      <w:rPr>
        <w:rFonts w:ascii="Arial" w:hAnsi="Arial" w:hint="default"/>
      </w:rPr>
    </w:lvl>
    <w:lvl w:ilvl="2" w:tplc="1936ACE0" w:tentative="1">
      <w:start w:val="1"/>
      <w:numFmt w:val="bullet"/>
      <w:lvlText w:val="•"/>
      <w:lvlJc w:val="left"/>
      <w:pPr>
        <w:tabs>
          <w:tab w:val="num" w:pos="2160"/>
        </w:tabs>
        <w:ind w:left="2160" w:hanging="360"/>
      </w:pPr>
      <w:rPr>
        <w:rFonts w:ascii="Arial" w:hAnsi="Arial" w:hint="default"/>
      </w:rPr>
    </w:lvl>
    <w:lvl w:ilvl="3" w:tplc="B26EC330" w:tentative="1">
      <w:start w:val="1"/>
      <w:numFmt w:val="bullet"/>
      <w:lvlText w:val="•"/>
      <w:lvlJc w:val="left"/>
      <w:pPr>
        <w:tabs>
          <w:tab w:val="num" w:pos="2880"/>
        </w:tabs>
        <w:ind w:left="2880" w:hanging="360"/>
      </w:pPr>
      <w:rPr>
        <w:rFonts w:ascii="Arial" w:hAnsi="Arial" w:hint="default"/>
      </w:rPr>
    </w:lvl>
    <w:lvl w:ilvl="4" w:tplc="9B2A44A8" w:tentative="1">
      <w:start w:val="1"/>
      <w:numFmt w:val="bullet"/>
      <w:lvlText w:val="•"/>
      <w:lvlJc w:val="left"/>
      <w:pPr>
        <w:tabs>
          <w:tab w:val="num" w:pos="3600"/>
        </w:tabs>
        <w:ind w:left="3600" w:hanging="360"/>
      </w:pPr>
      <w:rPr>
        <w:rFonts w:ascii="Arial" w:hAnsi="Arial" w:hint="default"/>
      </w:rPr>
    </w:lvl>
    <w:lvl w:ilvl="5" w:tplc="580C3C88" w:tentative="1">
      <w:start w:val="1"/>
      <w:numFmt w:val="bullet"/>
      <w:lvlText w:val="•"/>
      <w:lvlJc w:val="left"/>
      <w:pPr>
        <w:tabs>
          <w:tab w:val="num" w:pos="4320"/>
        </w:tabs>
        <w:ind w:left="4320" w:hanging="360"/>
      </w:pPr>
      <w:rPr>
        <w:rFonts w:ascii="Arial" w:hAnsi="Arial" w:hint="default"/>
      </w:rPr>
    </w:lvl>
    <w:lvl w:ilvl="6" w:tplc="A34AD558" w:tentative="1">
      <w:start w:val="1"/>
      <w:numFmt w:val="bullet"/>
      <w:lvlText w:val="•"/>
      <w:lvlJc w:val="left"/>
      <w:pPr>
        <w:tabs>
          <w:tab w:val="num" w:pos="5040"/>
        </w:tabs>
        <w:ind w:left="5040" w:hanging="360"/>
      </w:pPr>
      <w:rPr>
        <w:rFonts w:ascii="Arial" w:hAnsi="Arial" w:hint="default"/>
      </w:rPr>
    </w:lvl>
    <w:lvl w:ilvl="7" w:tplc="3AAA04C6" w:tentative="1">
      <w:start w:val="1"/>
      <w:numFmt w:val="bullet"/>
      <w:lvlText w:val="•"/>
      <w:lvlJc w:val="left"/>
      <w:pPr>
        <w:tabs>
          <w:tab w:val="num" w:pos="5760"/>
        </w:tabs>
        <w:ind w:left="5760" w:hanging="360"/>
      </w:pPr>
      <w:rPr>
        <w:rFonts w:ascii="Arial" w:hAnsi="Arial" w:hint="default"/>
      </w:rPr>
    </w:lvl>
    <w:lvl w:ilvl="8" w:tplc="91EEEC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453B76"/>
    <w:multiLevelType w:val="hybridMultilevel"/>
    <w:tmpl w:val="C74C3DFC"/>
    <w:lvl w:ilvl="0" w:tplc="448AE702">
      <w:start w:val="1"/>
      <w:numFmt w:val="bullet"/>
      <w:lvlText w:val="•"/>
      <w:lvlJc w:val="left"/>
      <w:pPr>
        <w:tabs>
          <w:tab w:val="num" w:pos="720"/>
        </w:tabs>
        <w:ind w:left="720" w:hanging="360"/>
      </w:pPr>
      <w:rPr>
        <w:rFonts w:ascii="Arial" w:hAnsi="Arial" w:hint="default"/>
      </w:rPr>
    </w:lvl>
    <w:lvl w:ilvl="1" w:tplc="F202D0D4">
      <w:start w:val="1"/>
      <w:numFmt w:val="bullet"/>
      <w:lvlText w:val="•"/>
      <w:lvlJc w:val="left"/>
      <w:pPr>
        <w:tabs>
          <w:tab w:val="num" w:pos="1440"/>
        </w:tabs>
        <w:ind w:left="1440" w:hanging="360"/>
      </w:pPr>
      <w:rPr>
        <w:rFonts w:ascii="Arial" w:hAnsi="Arial" w:hint="default"/>
      </w:rPr>
    </w:lvl>
    <w:lvl w:ilvl="2" w:tplc="EAEAA68C" w:tentative="1">
      <w:start w:val="1"/>
      <w:numFmt w:val="bullet"/>
      <w:lvlText w:val="•"/>
      <w:lvlJc w:val="left"/>
      <w:pPr>
        <w:tabs>
          <w:tab w:val="num" w:pos="2160"/>
        </w:tabs>
        <w:ind w:left="2160" w:hanging="360"/>
      </w:pPr>
      <w:rPr>
        <w:rFonts w:ascii="Arial" w:hAnsi="Arial" w:hint="default"/>
      </w:rPr>
    </w:lvl>
    <w:lvl w:ilvl="3" w:tplc="E702BA10" w:tentative="1">
      <w:start w:val="1"/>
      <w:numFmt w:val="bullet"/>
      <w:lvlText w:val="•"/>
      <w:lvlJc w:val="left"/>
      <w:pPr>
        <w:tabs>
          <w:tab w:val="num" w:pos="2880"/>
        </w:tabs>
        <w:ind w:left="2880" w:hanging="360"/>
      </w:pPr>
      <w:rPr>
        <w:rFonts w:ascii="Arial" w:hAnsi="Arial" w:hint="default"/>
      </w:rPr>
    </w:lvl>
    <w:lvl w:ilvl="4" w:tplc="A810DBC8" w:tentative="1">
      <w:start w:val="1"/>
      <w:numFmt w:val="bullet"/>
      <w:lvlText w:val="•"/>
      <w:lvlJc w:val="left"/>
      <w:pPr>
        <w:tabs>
          <w:tab w:val="num" w:pos="3600"/>
        </w:tabs>
        <w:ind w:left="3600" w:hanging="360"/>
      </w:pPr>
      <w:rPr>
        <w:rFonts w:ascii="Arial" w:hAnsi="Arial" w:hint="default"/>
      </w:rPr>
    </w:lvl>
    <w:lvl w:ilvl="5" w:tplc="2AA41AB6" w:tentative="1">
      <w:start w:val="1"/>
      <w:numFmt w:val="bullet"/>
      <w:lvlText w:val="•"/>
      <w:lvlJc w:val="left"/>
      <w:pPr>
        <w:tabs>
          <w:tab w:val="num" w:pos="4320"/>
        </w:tabs>
        <w:ind w:left="4320" w:hanging="360"/>
      </w:pPr>
      <w:rPr>
        <w:rFonts w:ascii="Arial" w:hAnsi="Arial" w:hint="default"/>
      </w:rPr>
    </w:lvl>
    <w:lvl w:ilvl="6" w:tplc="2DC2D106" w:tentative="1">
      <w:start w:val="1"/>
      <w:numFmt w:val="bullet"/>
      <w:lvlText w:val="•"/>
      <w:lvlJc w:val="left"/>
      <w:pPr>
        <w:tabs>
          <w:tab w:val="num" w:pos="5040"/>
        </w:tabs>
        <w:ind w:left="5040" w:hanging="360"/>
      </w:pPr>
      <w:rPr>
        <w:rFonts w:ascii="Arial" w:hAnsi="Arial" w:hint="default"/>
      </w:rPr>
    </w:lvl>
    <w:lvl w:ilvl="7" w:tplc="4E5EF5CC" w:tentative="1">
      <w:start w:val="1"/>
      <w:numFmt w:val="bullet"/>
      <w:lvlText w:val="•"/>
      <w:lvlJc w:val="left"/>
      <w:pPr>
        <w:tabs>
          <w:tab w:val="num" w:pos="5760"/>
        </w:tabs>
        <w:ind w:left="5760" w:hanging="360"/>
      </w:pPr>
      <w:rPr>
        <w:rFonts w:ascii="Arial" w:hAnsi="Arial" w:hint="default"/>
      </w:rPr>
    </w:lvl>
    <w:lvl w:ilvl="8" w:tplc="33362F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DC3C5B"/>
    <w:multiLevelType w:val="hybridMultilevel"/>
    <w:tmpl w:val="2CB699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F5038A"/>
    <w:multiLevelType w:val="hybridMultilevel"/>
    <w:tmpl w:val="DAEC1B9E"/>
    <w:lvl w:ilvl="0" w:tplc="EDF43D78">
      <w:start w:val="1"/>
      <w:numFmt w:val="bullet"/>
      <w:lvlText w:val="•"/>
      <w:lvlJc w:val="left"/>
      <w:pPr>
        <w:tabs>
          <w:tab w:val="num" w:pos="720"/>
        </w:tabs>
        <w:ind w:left="720" w:hanging="360"/>
      </w:pPr>
      <w:rPr>
        <w:rFonts w:ascii="Arial" w:hAnsi="Arial" w:hint="default"/>
      </w:rPr>
    </w:lvl>
    <w:lvl w:ilvl="1" w:tplc="B538A344">
      <w:numFmt w:val="bullet"/>
      <w:lvlText w:val="–"/>
      <w:lvlJc w:val="left"/>
      <w:pPr>
        <w:tabs>
          <w:tab w:val="num" w:pos="1440"/>
        </w:tabs>
        <w:ind w:left="1440" w:hanging="360"/>
      </w:pPr>
      <w:rPr>
        <w:rFonts w:ascii="Arial" w:hAnsi="Arial" w:hint="default"/>
      </w:rPr>
    </w:lvl>
    <w:lvl w:ilvl="2" w:tplc="E208FFE6" w:tentative="1">
      <w:start w:val="1"/>
      <w:numFmt w:val="bullet"/>
      <w:lvlText w:val="•"/>
      <w:lvlJc w:val="left"/>
      <w:pPr>
        <w:tabs>
          <w:tab w:val="num" w:pos="2160"/>
        </w:tabs>
        <w:ind w:left="2160" w:hanging="360"/>
      </w:pPr>
      <w:rPr>
        <w:rFonts w:ascii="Arial" w:hAnsi="Arial" w:hint="default"/>
      </w:rPr>
    </w:lvl>
    <w:lvl w:ilvl="3" w:tplc="BED6873C" w:tentative="1">
      <w:start w:val="1"/>
      <w:numFmt w:val="bullet"/>
      <w:lvlText w:val="•"/>
      <w:lvlJc w:val="left"/>
      <w:pPr>
        <w:tabs>
          <w:tab w:val="num" w:pos="2880"/>
        </w:tabs>
        <w:ind w:left="2880" w:hanging="360"/>
      </w:pPr>
      <w:rPr>
        <w:rFonts w:ascii="Arial" w:hAnsi="Arial" w:hint="default"/>
      </w:rPr>
    </w:lvl>
    <w:lvl w:ilvl="4" w:tplc="940E88FC" w:tentative="1">
      <w:start w:val="1"/>
      <w:numFmt w:val="bullet"/>
      <w:lvlText w:val="•"/>
      <w:lvlJc w:val="left"/>
      <w:pPr>
        <w:tabs>
          <w:tab w:val="num" w:pos="3600"/>
        </w:tabs>
        <w:ind w:left="3600" w:hanging="360"/>
      </w:pPr>
      <w:rPr>
        <w:rFonts w:ascii="Arial" w:hAnsi="Arial" w:hint="default"/>
      </w:rPr>
    </w:lvl>
    <w:lvl w:ilvl="5" w:tplc="C0B0D5F4" w:tentative="1">
      <w:start w:val="1"/>
      <w:numFmt w:val="bullet"/>
      <w:lvlText w:val="•"/>
      <w:lvlJc w:val="left"/>
      <w:pPr>
        <w:tabs>
          <w:tab w:val="num" w:pos="4320"/>
        </w:tabs>
        <w:ind w:left="4320" w:hanging="360"/>
      </w:pPr>
      <w:rPr>
        <w:rFonts w:ascii="Arial" w:hAnsi="Arial" w:hint="default"/>
      </w:rPr>
    </w:lvl>
    <w:lvl w:ilvl="6" w:tplc="91667A00" w:tentative="1">
      <w:start w:val="1"/>
      <w:numFmt w:val="bullet"/>
      <w:lvlText w:val="•"/>
      <w:lvlJc w:val="left"/>
      <w:pPr>
        <w:tabs>
          <w:tab w:val="num" w:pos="5040"/>
        </w:tabs>
        <w:ind w:left="5040" w:hanging="360"/>
      </w:pPr>
      <w:rPr>
        <w:rFonts w:ascii="Arial" w:hAnsi="Arial" w:hint="default"/>
      </w:rPr>
    </w:lvl>
    <w:lvl w:ilvl="7" w:tplc="B82ADCDE" w:tentative="1">
      <w:start w:val="1"/>
      <w:numFmt w:val="bullet"/>
      <w:lvlText w:val="•"/>
      <w:lvlJc w:val="left"/>
      <w:pPr>
        <w:tabs>
          <w:tab w:val="num" w:pos="5760"/>
        </w:tabs>
        <w:ind w:left="5760" w:hanging="360"/>
      </w:pPr>
      <w:rPr>
        <w:rFonts w:ascii="Arial" w:hAnsi="Arial" w:hint="default"/>
      </w:rPr>
    </w:lvl>
    <w:lvl w:ilvl="8" w:tplc="B01CA7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D1624B"/>
    <w:multiLevelType w:val="hybridMultilevel"/>
    <w:tmpl w:val="427E28F6"/>
    <w:lvl w:ilvl="0" w:tplc="AD2CEC00">
      <w:start w:val="1"/>
      <w:numFmt w:val="bullet"/>
      <w:lvlText w:val="•"/>
      <w:lvlJc w:val="left"/>
      <w:pPr>
        <w:tabs>
          <w:tab w:val="num" w:pos="720"/>
        </w:tabs>
        <w:ind w:left="720" w:hanging="360"/>
      </w:pPr>
      <w:rPr>
        <w:rFonts w:ascii="Arial" w:hAnsi="Arial" w:hint="default"/>
      </w:rPr>
    </w:lvl>
    <w:lvl w:ilvl="1" w:tplc="6B7A8D94">
      <w:numFmt w:val="bullet"/>
      <w:lvlText w:val="–"/>
      <w:lvlJc w:val="left"/>
      <w:pPr>
        <w:tabs>
          <w:tab w:val="num" w:pos="1440"/>
        </w:tabs>
        <w:ind w:left="1440" w:hanging="360"/>
      </w:pPr>
      <w:rPr>
        <w:rFonts w:ascii="Arial" w:hAnsi="Arial" w:hint="default"/>
      </w:rPr>
    </w:lvl>
    <w:lvl w:ilvl="2" w:tplc="DD6644E4" w:tentative="1">
      <w:start w:val="1"/>
      <w:numFmt w:val="bullet"/>
      <w:lvlText w:val="•"/>
      <w:lvlJc w:val="left"/>
      <w:pPr>
        <w:tabs>
          <w:tab w:val="num" w:pos="2160"/>
        </w:tabs>
        <w:ind w:left="2160" w:hanging="360"/>
      </w:pPr>
      <w:rPr>
        <w:rFonts w:ascii="Arial" w:hAnsi="Arial" w:hint="default"/>
      </w:rPr>
    </w:lvl>
    <w:lvl w:ilvl="3" w:tplc="71CCFE14" w:tentative="1">
      <w:start w:val="1"/>
      <w:numFmt w:val="bullet"/>
      <w:lvlText w:val="•"/>
      <w:lvlJc w:val="left"/>
      <w:pPr>
        <w:tabs>
          <w:tab w:val="num" w:pos="2880"/>
        </w:tabs>
        <w:ind w:left="2880" w:hanging="360"/>
      </w:pPr>
      <w:rPr>
        <w:rFonts w:ascii="Arial" w:hAnsi="Arial" w:hint="default"/>
      </w:rPr>
    </w:lvl>
    <w:lvl w:ilvl="4" w:tplc="F1480C20" w:tentative="1">
      <w:start w:val="1"/>
      <w:numFmt w:val="bullet"/>
      <w:lvlText w:val="•"/>
      <w:lvlJc w:val="left"/>
      <w:pPr>
        <w:tabs>
          <w:tab w:val="num" w:pos="3600"/>
        </w:tabs>
        <w:ind w:left="3600" w:hanging="360"/>
      </w:pPr>
      <w:rPr>
        <w:rFonts w:ascii="Arial" w:hAnsi="Arial" w:hint="default"/>
      </w:rPr>
    </w:lvl>
    <w:lvl w:ilvl="5" w:tplc="9C026A36" w:tentative="1">
      <w:start w:val="1"/>
      <w:numFmt w:val="bullet"/>
      <w:lvlText w:val="•"/>
      <w:lvlJc w:val="left"/>
      <w:pPr>
        <w:tabs>
          <w:tab w:val="num" w:pos="4320"/>
        </w:tabs>
        <w:ind w:left="4320" w:hanging="360"/>
      </w:pPr>
      <w:rPr>
        <w:rFonts w:ascii="Arial" w:hAnsi="Arial" w:hint="default"/>
      </w:rPr>
    </w:lvl>
    <w:lvl w:ilvl="6" w:tplc="275A0252" w:tentative="1">
      <w:start w:val="1"/>
      <w:numFmt w:val="bullet"/>
      <w:lvlText w:val="•"/>
      <w:lvlJc w:val="left"/>
      <w:pPr>
        <w:tabs>
          <w:tab w:val="num" w:pos="5040"/>
        </w:tabs>
        <w:ind w:left="5040" w:hanging="360"/>
      </w:pPr>
      <w:rPr>
        <w:rFonts w:ascii="Arial" w:hAnsi="Arial" w:hint="default"/>
      </w:rPr>
    </w:lvl>
    <w:lvl w:ilvl="7" w:tplc="64381562" w:tentative="1">
      <w:start w:val="1"/>
      <w:numFmt w:val="bullet"/>
      <w:lvlText w:val="•"/>
      <w:lvlJc w:val="left"/>
      <w:pPr>
        <w:tabs>
          <w:tab w:val="num" w:pos="5760"/>
        </w:tabs>
        <w:ind w:left="5760" w:hanging="360"/>
      </w:pPr>
      <w:rPr>
        <w:rFonts w:ascii="Arial" w:hAnsi="Arial" w:hint="default"/>
      </w:rPr>
    </w:lvl>
    <w:lvl w:ilvl="8" w:tplc="9D4629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6B72885"/>
    <w:multiLevelType w:val="hybridMultilevel"/>
    <w:tmpl w:val="51CEC5FC"/>
    <w:lvl w:ilvl="0" w:tplc="F1142CF4">
      <w:start w:val="1"/>
      <w:numFmt w:val="bullet"/>
      <w:lvlText w:val="•"/>
      <w:lvlJc w:val="left"/>
      <w:pPr>
        <w:tabs>
          <w:tab w:val="num" w:pos="360"/>
        </w:tabs>
        <w:ind w:left="360" w:hanging="360"/>
      </w:pPr>
      <w:rPr>
        <w:rFonts w:ascii="Arial" w:hAnsi="Arial" w:hint="default"/>
      </w:rPr>
    </w:lvl>
    <w:lvl w:ilvl="1" w:tplc="014E7942">
      <w:start w:val="1"/>
      <w:numFmt w:val="bullet"/>
      <w:lvlText w:val="•"/>
      <w:lvlJc w:val="left"/>
      <w:pPr>
        <w:tabs>
          <w:tab w:val="num" w:pos="1080"/>
        </w:tabs>
        <w:ind w:left="1080" w:hanging="360"/>
      </w:pPr>
      <w:rPr>
        <w:rFonts w:ascii="Arial" w:hAnsi="Arial" w:hint="default"/>
      </w:rPr>
    </w:lvl>
    <w:lvl w:ilvl="2" w:tplc="7910EEA6">
      <w:start w:val="1"/>
      <w:numFmt w:val="bullet"/>
      <w:lvlText w:val="•"/>
      <w:lvlJc w:val="left"/>
      <w:pPr>
        <w:tabs>
          <w:tab w:val="num" w:pos="1800"/>
        </w:tabs>
        <w:ind w:left="1800" w:hanging="360"/>
      </w:pPr>
      <w:rPr>
        <w:rFonts w:ascii="Arial" w:hAnsi="Arial" w:hint="default"/>
      </w:rPr>
    </w:lvl>
    <w:lvl w:ilvl="3" w:tplc="E8324D4A">
      <w:numFmt w:val="bullet"/>
      <w:lvlText w:val="–"/>
      <w:lvlJc w:val="left"/>
      <w:pPr>
        <w:tabs>
          <w:tab w:val="num" w:pos="2520"/>
        </w:tabs>
        <w:ind w:left="2520" w:hanging="360"/>
      </w:pPr>
      <w:rPr>
        <w:rFonts w:ascii="Arial" w:hAnsi="Arial" w:hint="default"/>
      </w:rPr>
    </w:lvl>
    <w:lvl w:ilvl="4" w:tplc="7B70DCD4">
      <w:numFmt w:val="bullet"/>
      <w:lvlText w:val="»"/>
      <w:lvlJc w:val="left"/>
      <w:pPr>
        <w:tabs>
          <w:tab w:val="num" w:pos="3240"/>
        </w:tabs>
        <w:ind w:left="3240" w:hanging="360"/>
      </w:pPr>
      <w:rPr>
        <w:rFonts w:ascii="Arial" w:hAnsi="Arial" w:hint="default"/>
      </w:rPr>
    </w:lvl>
    <w:lvl w:ilvl="5" w:tplc="4A701D12" w:tentative="1">
      <w:start w:val="1"/>
      <w:numFmt w:val="bullet"/>
      <w:lvlText w:val="•"/>
      <w:lvlJc w:val="left"/>
      <w:pPr>
        <w:tabs>
          <w:tab w:val="num" w:pos="3960"/>
        </w:tabs>
        <w:ind w:left="3960" w:hanging="360"/>
      </w:pPr>
      <w:rPr>
        <w:rFonts w:ascii="Arial" w:hAnsi="Arial" w:hint="default"/>
      </w:rPr>
    </w:lvl>
    <w:lvl w:ilvl="6" w:tplc="92846F1C" w:tentative="1">
      <w:start w:val="1"/>
      <w:numFmt w:val="bullet"/>
      <w:lvlText w:val="•"/>
      <w:lvlJc w:val="left"/>
      <w:pPr>
        <w:tabs>
          <w:tab w:val="num" w:pos="4680"/>
        </w:tabs>
        <w:ind w:left="4680" w:hanging="360"/>
      </w:pPr>
      <w:rPr>
        <w:rFonts w:ascii="Arial" w:hAnsi="Arial" w:hint="default"/>
      </w:rPr>
    </w:lvl>
    <w:lvl w:ilvl="7" w:tplc="15E44C5A" w:tentative="1">
      <w:start w:val="1"/>
      <w:numFmt w:val="bullet"/>
      <w:lvlText w:val="•"/>
      <w:lvlJc w:val="left"/>
      <w:pPr>
        <w:tabs>
          <w:tab w:val="num" w:pos="5400"/>
        </w:tabs>
        <w:ind w:left="5400" w:hanging="360"/>
      </w:pPr>
      <w:rPr>
        <w:rFonts w:ascii="Arial" w:hAnsi="Arial" w:hint="default"/>
      </w:rPr>
    </w:lvl>
    <w:lvl w:ilvl="8" w:tplc="87DEE57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A287914"/>
    <w:multiLevelType w:val="hybridMultilevel"/>
    <w:tmpl w:val="AF363C3E"/>
    <w:lvl w:ilvl="0" w:tplc="6C184D8C">
      <w:start w:val="1"/>
      <w:numFmt w:val="bullet"/>
      <w:lvlText w:val="•"/>
      <w:lvlJc w:val="left"/>
      <w:pPr>
        <w:tabs>
          <w:tab w:val="num" w:pos="720"/>
        </w:tabs>
        <w:ind w:left="720" w:hanging="360"/>
      </w:pPr>
      <w:rPr>
        <w:rFonts w:ascii="Arial" w:hAnsi="Arial" w:hint="default"/>
      </w:rPr>
    </w:lvl>
    <w:lvl w:ilvl="1" w:tplc="4AC4BC42">
      <w:numFmt w:val="bullet"/>
      <w:lvlText w:val="–"/>
      <w:lvlJc w:val="left"/>
      <w:pPr>
        <w:tabs>
          <w:tab w:val="num" w:pos="1440"/>
        </w:tabs>
        <w:ind w:left="1440" w:hanging="360"/>
      </w:pPr>
      <w:rPr>
        <w:rFonts w:ascii="Arial" w:hAnsi="Arial" w:hint="default"/>
      </w:rPr>
    </w:lvl>
    <w:lvl w:ilvl="2" w:tplc="B17087D8" w:tentative="1">
      <w:start w:val="1"/>
      <w:numFmt w:val="bullet"/>
      <w:lvlText w:val="•"/>
      <w:lvlJc w:val="left"/>
      <w:pPr>
        <w:tabs>
          <w:tab w:val="num" w:pos="2160"/>
        </w:tabs>
        <w:ind w:left="2160" w:hanging="360"/>
      </w:pPr>
      <w:rPr>
        <w:rFonts w:ascii="Arial" w:hAnsi="Arial" w:hint="default"/>
      </w:rPr>
    </w:lvl>
    <w:lvl w:ilvl="3" w:tplc="0DBC4DEC" w:tentative="1">
      <w:start w:val="1"/>
      <w:numFmt w:val="bullet"/>
      <w:lvlText w:val="•"/>
      <w:lvlJc w:val="left"/>
      <w:pPr>
        <w:tabs>
          <w:tab w:val="num" w:pos="2880"/>
        </w:tabs>
        <w:ind w:left="2880" w:hanging="360"/>
      </w:pPr>
      <w:rPr>
        <w:rFonts w:ascii="Arial" w:hAnsi="Arial" w:hint="default"/>
      </w:rPr>
    </w:lvl>
    <w:lvl w:ilvl="4" w:tplc="E08C14C2" w:tentative="1">
      <w:start w:val="1"/>
      <w:numFmt w:val="bullet"/>
      <w:lvlText w:val="•"/>
      <w:lvlJc w:val="left"/>
      <w:pPr>
        <w:tabs>
          <w:tab w:val="num" w:pos="3600"/>
        </w:tabs>
        <w:ind w:left="3600" w:hanging="360"/>
      </w:pPr>
      <w:rPr>
        <w:rFonts w:ascii="Arial" w:hAnsi="Arial" w:hint="default"/>
      </w:rPr>
    </w:lvl>
    <w:lvl w:ilvl="5" w:tplc="9E76B7E2" w:tentative="1">
      <w:start w:val="1"/>
      <w:numFmt w:val="bullet"/>
      <w:lvlText w:val="•"/>
      <w:lvlJc w:val="left"/>
      <w:pPr>
        <w:tabs>
          <w:tab w:val="num" w:pos="4320"/>
        </w:tabs>
        <w:ind w:left="4320" w:hanging="360"/>
      </w:pPr>
      <w:rPr>
        <w:rFonts w:ascii="Arial" w:hAnsi="Arial" w:hint="default"/>
      </w:rPr>
    </w:lvl>
    <w:lvl w:ilvl="6" w:tplc="0AACCD5A" w:tentative="1">
      <w:start w:val="1"/>
      <w:numFmt w:val="bullet"/>
      <w:lvlText w:val="•"/>
      <w:lvlJc w:val="left"/>
      <w:pPr>
        <w:tabs>
          <w:tab w:val="num" w:pos="5040"/>
        </w:tabs>
        <w:ind w:left="5040" w:hanging="360"/>
      </w:pPr>
      <w:rPr>
        <w:rFonts w:ascii="Arial" w:hAnsi="Arial" w:hint="default"/>
      </w:rPr>
    </w:lvl>
    <w:lvl w:ilvl="7" w:tplc="7334072C" w:tentative="1">
      <w:start w:val="1"/>
      <w:numFmt w:val="bullet"/>
      <w:lvlText w:val="•"/>
      <w:lvlJc w:val="left"/>
      <w:pPr>
        <w:tabs>
          <w:tab w:val="num" w:pos="5760"/>
        </w:tabs>
        <w:ind w:left="5760" w:hanging="360"/>
      </w:pPr>
      <w:rPr>
        <w:rFonts w:ascii="Arial" w:hAnsi="Arial" w:hint="default"/>
      </w:rPr>
    </w:lvl>
    <w:lvl w:ilvl="8" w:tplc="73808C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7C0E93"/>
    <w:multiLevelType w:val="hybridMultilevel"/>
    <w:tmpl w:val="AD82C868"/>
    <w:lvl w:ilvl="0" w:tplc="D746377E">
      <w:start w:val="1"/>
      <w:numFmt w:val="bullet"/>
      <w:lvlText w:val="•"/>
      <w:lvlJc w:val="left"/>
      <w:pPr>
        <w:tabs>
          <w:tab w:val="num" w:pos="720"/>
        </w:tabs>
        <w:ind w:left="720" w:hanging="360"/>
      </w:pPr>
      <w:rPr>
        <w:rFonts w:ascii="Arial" w:hAnsi="Arial" w:hint="default"/>
      </w:rPr>
    </w:lvl>
    <w:lvl w:ilvl="1" w:tplc="3A540354">
      <w:numFmt w:val="bullet"/>
      <w:lvlText w:val="–"/>
      <w:lvlJc w:val="left"/>
      <w:pPr>
        <w:tabs>
          <w:tab w:val="num" w:pos="1440"/>
        </w:tabs>
        <w:ind w:left="1440" w:hanging="360"/>
      </w:pPr>
      <w:rPr>
        <w:rFonts w:ascii="Arial" w:hAnsi="Arial" w:hint="default"/>
      </w:rPr>
    </w:lvl>
    <w:lvl w:ilvl="2" w:tplc="0ACA62E2">
      <w:numFmt w:val="bullet"/>
      <w:lvlText w:val="•"/>
      <w:lvlJc w:val="left"/>
      <w:pPr>
        <w:tabs>
          <w:tab w:val="num" w:pos="2160"/>
        </w:tabs>
        <w:ind w:left="2160" w:hanging="360"/>
      </w:pPr>
      <w:rPr>
        <w:rFonts w:ascii="Arial" w:hAnsi="Arial" w:hint="default"/>
      </w:rPr>
    </w:lvl>
    <w:lvl w:ilvl="3" w:tplc="E0EC3A70">
      <w:numFmt w:val="bullet"/>
      <w:lvlText w:val="–"/>
      <w:lvlJc w:val="left"/>
      <w:pPr>
        <w:tabs>
          <w:tab w:val="num" w:pos="2880"/>
        </w:tabs>
        <w:ind w:left="2880" w:hanging="360"/>
      </w:pPr>
      <w:rPr>
        <w:rFonts w:ascii="Arial" w:hAnsi="Arial" w:hint="default"/>
      </w:rPr>
    </w:lvl>
    <w:lvl w:ilvl="4" w:tplc="4104B148" w:tentative="1">
      <w:start w:val="1"/>
      <w:numFmt w:val="bullet"/>
      <w:lvlText w:val="•"/>
      <w:lvlJc w:val="left"/>
      <w:pPr>
        <w:tabs>
          <w:tab w:val="num" w:pos="3600"/>
        </w:tabs>
        <w:ind w:left="3600" w:hanging="360"/>
      </w:pPr>
      <w:rPr>
        <w:rFonts w:ascii="Arial" w:hAnsi="Arial" w:hint="default"/>
      </w:rPr>
    </w:lvl>
    <w:lvl w:ilvl="5" w:tplc="99CA7E9A" w:tentative="1">
      <w:start w:val="1"/>
      <w:numFmt w:val="bullet"/>
      <w:lvlText w:val="•"/>
      <w:lvlJc w:val="left"/>
      <w:pPr>
        <w:tabs>
          <w:tab w:val="num" w:pos="4320"/>
        </w:tabs>
        <w:ind w:left="4320" w:hanging="360"/>
      </w:pPr>
      <w:rPr>
        <w:rFonts w:ascii="Arial" w:hAnsi="Arial" w:hint="default"/>
      </w:rPr>
    </w:lvl>
    <w:lvl w:ilvl="6" w:tplc="3922360E" w:tentative="1">
      <w:start w:val="1"/>
      <w:numFmt w:val="bullet"/>
      <w:lvlText w:val="•"/>
      <w:lvlJc w:val="left"/>
      <w:pPr>
        <w:tabs>
          <w:tab w:val="num" w:pos="5040"/>
        </w:tabs>
        <w:ind w:left="5040" w:hanging="360"/>
      </w:pPr>
      <w:rPr>
        <w:rFonts w:ascii="Arial" w:hAnsi="Arial" w:hint="default"/>
      </w:rPr>
    </w:lvl>
    <w:lvl w:ilvl="7" w:tplc="10E0A402" w:tentative="1">
      <w:start w:val="1"/>
      <w:numFmt w:val="bullet"/>
      <w:lvlText w:val="•"/>
      <w:lvlJc w:val="left"/>
      <w:pPr>
        <w:tabs>
          <w:tab w:val="num" w:pos="5760"/>
        </w:tabs>
        <w:ind w:left="5760" w:hanging="360"/>
      </w:pPr>
      <w:rPr>
        <w:rFonts w:ascii="Arial" w:hAnsi="Arial" w:hint="default"/>
      </w:rPr>
    </w:lvl>
    <w:lvl w:ilvl="8" w:tplc="4F2845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6C5B02"/>
    <w:multiLevelType w:val="hybridMultilevel"/>
    <w:tmpl w:val="5ECC2D98"/>
    <w:lvl w:ilvl="0" w:tplc="25AA5A30">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2093A5C"/>
    <w:multiLevelType w:val="hybridMultilevel"/>
    <w:tmpl w:val="4180253C"/>
    <w:lvl w:ilvl="0" w:tplc="FA58C23C">
      <w:start w:val="1"/>
      <w:numFmt w:val="bullet"/>
      <w:lvlText w:val="•"/>
      <w:lvlJc w:val="left"/>
      <w:pPr>
        <w:tabs>
          <w:tab w:val="num" w:pos="720"/>
        </w:tabs>
        <w:ind w:left="720" w:hanging="360"/>
      </w:pPr>
      <w:rPr>
        <w:rFonts w:ascii="Arial" w:hAnsi="Arial" w:hint="default"/>
      </w:rPr>
    </w:lvl>
    <w:lvl w:ilvl="1" w:tplc="EACE6E7A">
      <w:numFmt w:val="bullet"/>
      <w:lvlText w:val="–"/>
      <w:lvlJc w:val="left"/>
      <w:pPr>
        <w:tabs>
          <w:tab w:val="num" w:pos="1440"/>
        </w:tabs>
        <w:ind w:left="1440" w:hanging="360"/>
      </w:pPr>
      <w:rPr>
        <w:rFonts w:ascii="Arial" w:hAnsi="Arial" w:hint="default"/>
      </w:rPr>
    </w:lvl>
    <w:lvl w:ilvl="2" w:tplc="B0925C20" w:tentative="1">
      <w:start w:val="1"/>
      <w:numFmt w:val="bullet"/>
      <w:lvlText w:val="•"/>
      <w:lvlJc w:val="left"/>
      <w:pPr>
        <w:tabs>
          <w:tab w:val="num" w:pos="2160"/>
        </w:tabs>
        <w:ind w:left="2160" w:hanging="360"/>
      </w:pPr>
      <w:rPr>
        <w:rFonts w:ascii="Arial" w:hAnsi="Arial" w:hint="default"/>
      </w:rPr>
    </w:lvl>
    <w:lvl w:ilvl="3" w:tplc="A844BEE2" w:tentative="1">
      <w:start w:val="1"/>
      <w:numFmt w:val="bullet"/>
      <w:lvlText w:val="•"/>
      <w:lvlJc w:val="left"/>
      <w:pPr>
        <w:tabs>
          <w:tab w:val="num" w:pos="2880"/>
        </w:tabs>
        <w:ind w:left="2880" w:hanging="360"/>
      </w:pPr>
      <w:rPr>
        <w:rFonts w:ascii="Arial" w:hAnsi="Arial" w:hint="default"/>
      </w:rPr>
    </w:lvl>
    <w:lvl w:ilvl="4" w:tplc="749C07A6" w:tentative="1">
      <w:start w:val="1"/>
      <w:numFmt w:val="bullet"/>
      <w:lvlText w:val="•"/>
      <w:lvlJc w:val="left"/>
      <w:pPr>
        <w:tabs>
          <w:tab w:val="num" w:pos="3600"/>
        </w:tabs>
        <w:ind w:left="3600" w:hanging="360"/>
      </w:pPr>
      <w:rPr>
        <w:rFonts w:ascii="Arial" w:hAnsi="Arial" w:hint="default"/>
      </w:rPr>
    </w:lvl>
    <w:lvl w:ilvl="5" w:tplc="D478990E" w:tentative="1">
      <w:start w:val="1"/>
      <w:numFmt w:val="bullet"/>
      <w:lvlText w:val="•"/>
      <w:lvlJc w:val="left"/>
      <w:pPr>
        <w:tabs>
          <w:tab w:val="num" w:pos="4320"/>
        </w:tabs>
        <w:ind w:left="4320" w:hanging="360"/>
      </w:pPr>
      <w:rPr>
        <w:rFonts w:ascii="Arial" w:hAnsi="Arial" w:hint="default"/>
      </w:rPr>
    </w:lvl>
    <w:lvl w:ilvl="6" w:tplc="329C0EA8" w:tentative="1">
      <w:start w:val="1"/>
      <w:numFmt w:val="bullet"/>
      <w:lvlText w:val="•"/>
      <w:lvlJc w:val="left"/>
      <w:pPr>
        <w:tabs>
          <w:tab w:val="num" w:pos="5040"/>
        </w:tabs>
        <w:ind w:left="5040" w:hanging="360"/>
      </w:pPr>
      <w:rPr>
        <w:rFonts w:ascii="Arial" w:hAnsi="Arial" w:hint="default"/>
      </w:rPr>
    </w:lvl>
    <w:lvl w:ilvl="7" w:tplc="B8063776" w:tentative="1">
      <w:start w:val="1"/>
      <w:numFmt w:val="bullet"/>
      <w:lvlText w:val="•"/>
      <w:lvlJc w:val="left"/>
      <w:pPr>
        <w:tabs>
          <w:tab w:val="num" w:pos="5760"/>
        </w:tabs>
        <w:ind w:left="5760" w:hanging="360"/>
      </w:pPr>
      <w:rPr>
        <w:rFonts w:ascii="Arial" w:hAnsi="Arial" w:hint="default"/>
      </w:rPr>
    </w:lvl>
    <w:lvl w:ilvl="8" w:tplc="338859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1A38CE"/>
    <w:multiLevelType w:val="hybridMultilevel"/>
    <w:tmpl w:val="FC362CC6"/>
    <w:lvl w:ilvl="0" w:tplc="290400EA">
      <w:start w:val="1"/>
      <w:numFmt w:val="bullet"/>
      <w:lvlText w:val="•"/>
      <w:lvlJc w:val="left"/>
      <w:pPr>
        <w:tabs>
          <w:tab w:val="num" w:pos="720"/>
        </w:tabs>
        <w:ind w:left="720" w:hanging="360"/>
      </w:pPr>
      <w:rPr>
        <w:rFonts w:ascii="Arial" w:hAnsi="Arial" w:hint="default"/>
      </w:rPr>
    </w:lvl>
    <w:lvl w:ilvl="1" w:tplc="83DE5DEA">
      <w:numFmt w:val="bullet"/>
      <w:lvlText w:val="–"/>
      <w:lvlJc w:val="left"/>
      <w:pPr>
        <w:tabs>
          <w:tab w:val="num" w:pos="1440"/>
        </w:tabs>
        <w:ind w:left="1440" w:hanging="360"/>
      </w:pPr>
      <w:rPr>
        <w:rFonts w:ascii="Arial" w:hAnsi="Arial" w:hint="default"/>
      </w:rPr>
    </w:lvl>
    <w:lvl w:ilvl="2" w:tplc="3CE8DD20">
      <w:numFmt w:val="bullet"/>
      <w:lvlText w:val="•"/>
      <w:lvlJc w:val="left"/>
      <w:pPr>
        <w:tabs>
          <w:tab w:val="num" w:pos="2160"/>
        </w:tabs>
        <w:ind w:left="2160" w:hanging="360"/>
      </w:pPr>
      <w:rPr>
        <w:rFonts w:ascii="Arial" w:hAnsi="Arial" w:hint="default"/>
      </w:rPr>
    </w:lvl>
    <w:lvl w:ilvl="3" w:tplc="C6EE172C">
      <w:numFmt w:val="bullet"/>
      <w:lvlText w:val="–"/>
      <w:lvlJc w:val="left"/>
      <w:pPr>
        <w:tabs>
          <w:tab w:val="num" w:pos="2880"/>
        </w:tabs>
        <w:ind w:left="2880" w:hanging="360"/>
      </w:pPr>
      <w:rPr>
        <w:rFonts w:ascii="Arial" w:hAnsi="Arial" w:hint="default"/>
      </w:rPr>
    </w:lvl>
    <w:lvl w:ilvl="4" w:tplc="3AD8E4EC" w:tentative="1">
      <w:start w:val="1"/>
      <w:numFmt w:val="bullet"/>
      <w:lvlText w:val="•"/>
      <w:lvlJc w:val="left"/>
      <w:pPr>
        <w:tabs>
          <w:tab w:val="num" w:pos="3600"/>
        </w:tabs>
        <w:ind w:left="3600" w:hanging="360"/>
      </w:pPr>
      <w:rPr>
        <w:rFonts w:ascii="Arial" w:hAnsi="Arial" w:hint="default"/>
      </w:rPr>
    </w:lvl>
    <w:lvl w:ilvl="5" w:tplc="E63E763C" w:tentative="1">
      <w:start w:val="1"/>
      <w:numFmt w:val="bullet"/>
      <w:lvlText w:val="•"/>
      <w:lvlJc w:val="left"/>
      <w:pPr>
        <w:tabs>
          <w:tab w:val="num" w:pos="4320"/>
        </w:tabs>
        <w:ind w:left="4320" w:hanging="360"/>
      </w:pPr>
      <w:rPr>
        <w:rFonts w:ascii="Arial" w:hAnsi="Arial" w:hint="default"/>
      </w:rPr>
    </w:lvl>
    <w:lvl w:ilvl="6" w:tplc="62AAA1CC" w:tentative="1">
      <w:start w:val="1"/>
      <w:numFmt w:val="bullet"/>
      <w:lvlText w:val="•"/>
      <w:lvlJc w:val="left"/>
      <w:pPr>
        <w:tabs>
          <w:tab w:val="num" w:pos="5040"/>
        </w:tabs>
        <w:ind w:left="5040" w:hanging="360"/>
      </w:pPr>
      <w:rPr>
        <w:rFonts w:ascii="Arial" w:hAnsi="Arial" w:hint="default"/>
      </w:rPr>
    </w:lvl>
    <w:lvl w:ilvl="7" w:tplc="A88EE1B8" w:tentative="1">
      <w:start w:val="1"/>
      <w:numFmt w:val="bullet"/>
      <w:lvlText w:val="•"/>
      <w:lvlJc w:val="left"/>
      <w:pPr>
        <w:tabs>
          <w:tab w:val="num" w:pos="5760"/>
        </w:tabs>
        <w:ind w:left="5760" w:hanging="360"/>
      </w:pPr>
      <w:rPr>
        <w:rFonts w:ascii="Arial" w:hAnsi="Arial" w:hint="default"/>
      </w:rPr>
    </w:lvl>
    <w:lvl w:ilvl="8" w:tplc="FBC8B3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574176"/>
    <w:multiLevelType w:val="hybridMultilevel"/>
    <w:tmpl w:val="FF82C52E"/>
    <w:lvl w:ilvl="0" w:tplc="40FEA1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A2B4D96"/>
    <w:multiLevelType w:val="hybridMultilevel"/>
    <w:tmpl w:val="6DF0EF98"/>
    <w:lvl w:ilvl="0" w:tplc="25547640">
      <w:start w:val="1"/>
      <w:numFmt w:val="bullet"/>
      <w:lvlText w:val="•"/>
      <w:lvlJc w:val="left"/>
      <w:pPr>
        <w:tabs>
          <w:tab w:val="num" w:pos="720"/>
        </w:tabs>
        <w:ind w:left="720" w:hanging="360"/>
      </w:pPr>
      <w:rPr>
        <w:rFonts w:ascii="Arial" w:hAnsi="Arial" w:hint="default"/>
      </w:rPr>
    </w:lvl>
    <w:lvl w:ilvl="1" w:tplc="0DDC1968">
      <w:numFmt w:val="bullet"/>
      <w:lvlText w:val="–"/>
      <w:lvlJc w:val="left"/>
      <w:pPr>
        <w:tabs>
          <w:tab w:val="num" w:pos="1440"/>
        </w:tabs>
        <w:ind w:left="1440" w:hanging="360"/>
      </w:pPr>
      <w:rPr>
        <w:rFonts w:ascii="Arial" w:hAnsi="Arial" w:hint="default"/>
      </w:rPr>
    </w:lvl>
    <w:lvl w:ilvl="2" w:tplc="2FDC724E" w:tentative="1">
      <w:start w:val="1"/>
      <w:numFmt w:val="bullet"/>
      <w:lvlText w:val="•"/>
      <w:lvlJc w:val="left"/>
      <w:pPr>
        <w:tabs>
          <w:tab w:val="num" w:pos="2160"/>
        </w:tabs>
        <w:ind w:left="2160" w:hanging="360"/>
      </w:pPr>
      <w:rPr>
        <w:rFonts w:ascii="Arial" w:hAnsi="Arial" w:hint="default"/>
      </w:rPr>
    </w:lvl>
    <w:lvl w:ilvl="3" w:tplc="8D3CC666" w:tentative="1">
      <w:start w:val="1"/>
      <w:numFmt w:val="bullet"/>
      <w:lvlText w:val="•"/>
      <w:lvlJc w:val="left"/>
      <w:pPr>
        <w:tabs>
          <w:tab w:val="num" w:pos="2880"/>
        </w:tabs>
        <w:ind w:left="2880" w:hanging="360"/>
      </w:pPr>
      <w:rPr>
        <w:rFonts w:ascii="Arial" w:hAnsi="Arial" w:hint="default"/>
      </w:rPr>
    </w:lvl>
    <w:lvl w:ilvl="4" w:tplc="BC162152" w:tentative="1">
      <w:start w:val="1"/>
      <w:numFmt w:val="bullet"/>
      <w:lvlText w:val="•"/>
      <w:lvlJc w:val="left"/>
      <w:pPr>
        <w:tabs>
          <w:tab w:val="num" w:pos="3600"/>
        </w:tabs>
        <w:ind w:left="3600" w:hanging="360"/>
      </w:pPr>
      <w:rPr>
        <w:rFonts w:ascii="Arial" w:hAnsi="Arial" w:hint="default"/>
      </w:rPr>
    </w:lvl>
    <w:lvl w:ilvl="5" w:tplc="C0C6F32A" w:tentative="1">
      <w:start w:val="1"/>
      <w:numFmt w:val="bullet"/>
      <w:lvlText w:val="•"/>
      <w:lvlJc w:val="left"/>
      <w:pPr>
        <w:tabs>
          <w:tab w:val="num" w:pos="4320"/>
        </w:tabs>
        <w:ind w:left="4320" w:hanging="360"/>
      </w:pPr>
      <w:rPr>
        <w:rFonts w:ascii="Arial" w:hAnsi="Arial" w:hint="default"/>
      </w:rPr>
    </w:lvl>
    <w:lvl w:ilvl="6" w:tplc="2770644A" w:tentative="1">
      <w:start w:val="1"/>
      <w:numFmt w:val="bullet"/>
      <w:lvlText w:val="•"/>
      <w:lvlJc w:val="left"/>
      <w:pPr>
        <w:tabs>
          <w:tab w:val="num" w:pos="5040"/>
        </w:tabs>
        <w:ind w:left="5040" w:hanging="360"/>
      </w:pPr>
      <w:rPr>
        <w:rFonts w:ascii="Arial" w:hAnsi="Arial" w:hint="default"/>
      </w:rPr>
    </w:lvl>
    <w:lvl w:ilvl="7" w:tplc="0564318E" w:tentative="1">
      <w:start w:val="1"/>
      <w:numFmt w:val="bullet"/>
      <w:lvlText w:val="•"/>
      <w:lvlJc w:val="left"/>
      <w:pPr>
        <w:tabs>
          <w:tab w:val="num" w:pos="5760"/>
        </w:tabs>
        <w:ind w:left="5760" w:hanging="360"/>
      </w:pPr>
      <w:rPr>
        <w:rFonts w:ascii="Arial" w:hAnsi="Arial" w:hint="default"/>
      </w:rPr>
    </w:lvl>
    <w:lvl w:ilvl="8" w:tplc="5AAC0C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8AF218B"/>
    <w:multiLevelType w:val="hybridMultilevel"/>
    <w:tmpl w:val="424A769C"/>
    <w:lvl w:ilvl="0" w:tplc="CDD64B0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25444"/>
    <w:multiLevelType w:val="hybridMultilevel"/>
    <w:tmpl w:val="F38008AA"/>
    <w:lvl w:ilvl="0" w:tplc="D89439F2">
      <w:start w:val="1"/>
      <w:numFmt w:val="bullet"/>
      <w:lvlText w:val="•"/>
      <w:lvlJc w:val="left"/>
      <w:pPr>
        <w:tabs>
          <w:tab w:val="num" w:pos="720"/>
        </w:tabs>
        <w:ind w:left="720" w:hanging="360"/>
      </w:pPr>
      <w:rPr>
        <w:rFonts w:ascii="Arial" w:hAnsi="Arial" w:hint="default"/>
      </w:rPr>
    </w:lvl>
    <w:lvl w:ilvl="1" w:tplc="49F6F444" w:tentative="1">
      <w:start w:val="1"/>
      <w:numFmt w:val="bullet"/>
      <w:lvlText w:val="•"/>
      <w:lvlJc w:val="left"/>
      <w:pPr>
        <w:tabs>
          <w:tab w:val="num" w:pos="1440"/>
        </w:tabs>
        <w:ind w:left="1440" w:hanging="360"/>
      </w:pPr>
      <w:rPr>
        <w:rFonts w:ascii="Arial" w:hAnsi="Arial" w:hint="default"/>
      </w:rPr>
    </w:lvl>
    <w:lvl w:ilvl="2" w:tplc="5E6CAAEE" w:tentative="1">
      <w:start w:val="1"/>
      <w:numFmt w:val="bullet"/>
      <w:lvlText w:val="•"/>
      <w:lvlJc w:val="left"/>
      <w:pPr>
        <w:tabs>
          <w:tab w:val="num" w:pos="2160"/>
        </w:tabs>
        <w:ind w:left="2160" w:hanging="360"/>
      </w:pPr>
      <w:rPr>
        <w:rFonts w:ascii="Arial" w:hAnsi="Arial" w:hint="default"/>
      </w:rPr>
    </w:lvl>
    <w:lvl w:ilvl="3" w:tplc="E1D06C86" w:tentative="1">
      <w:start w:val="1"/>
      <w:numFmt w:val="bullet"/>
      <w:lvlText w:val="•"/>
      <w:lvlJc w:val="left"/>
      <w:pPr>
        <w:tabs>
          <w:tab w:val="num" w:pos="2880"/>
        </w:tabs>
        <w:ind w:left="2880" w:hanging="360"/>
      </w:pPr>
      <w:rPr>
        <w:rFonts w:ascii="Arial" w:hAnsi="Arial" w:hint="default"/>
      </w:rPr>
    </w:lvl>
    <w:lvl w:ilvl="4" w:tplc="B324E312" w:tentative="1">
      <w:start w:val="1"/>
      <w:numFmt w:val="bullet"/>
      <w:lvlText w:val="•"/>
      <w:lvlJc w:val="left"/>
      <w:pPr>
        <w:tabs>
          <w:tab w:val="num" w:pos="3600"/>
        </w:tabs>
        <w:ind w:left="3600" w:hanging="360"/>
      </w:pPr>
      <w:rPr>
        <w:rFonts w:ascii="Arial" w:hAnsi="Arial" w:hint="default"/>
      </w:rPr>
    </w:lvl>
    <w:lvl w:ilvl="5" w:tplc="A8A4431A" w:tentative="1">
      <w:start w:val="1"/>
      <w:numFmt w:val="bullet"/>
      <w:lvlText w:val="•"/>
      <w:lvlJc w:val="left"/>
      <w:pPr>
        <w:tabs>
          <w:tab w:val="num" w:pos="4320"/>
        </w:tabs>
        <w:ind w:left="4320" w:hanging="360"/>
      </w:pPr>
      <w:rPr>
        <w:rFonts w:ascii="Arial" w:hAnsi="Arial" w:hint="default"/>
      </w:rPr>
    </w:lvl>
    <w:lvl w:ilvl="6" w:tplc="C7CEA86C" w:tentative="1">
      <w:start w:val="1"/>
      <w:numFmt w:val="bullet"/>
      <w:lvlText w:val="•"/>
      <w:lvlJc w:val="left"/>
      <w:pPr>
        <w:tabs>
          <w:tab w:val="num" w:pos="5040"/>
        </w:tabs>
        <w:ind w:left="5040" w:hanging="360"/>
      </w:pPr>
      <w:rPr>
        <w:rFonts w:ascii="Arial" w:hAnsi="Arial" w:hint="default"/>
      </w:rPr>
    </w:lvl>
    <w:lvl w:ilvl="7" w:tplc="BF72F9C8" w:tentative="1">
      <w:start w:val="1"/>
      <w:numFmt w:val="bullet"/>
      <w:lvlText w:val="•"/>
      <w:lvlJc w:val="left"/>
      <w:pPr>
        <w:tabs>
          <w:tab w:val="num" w:pos="5760"/>
        </w:tabs>
        <w:ind w:left="5760" w:hanging="360"/>
      </w:pPr>
      <w:rPr>
        <w:rFonts w:ascii="Arial" w:hAnsi="Arial" w:hint="default"/>
      </w:rPr>
    </w:lvl>
    <w:lvl w:ilvl="8" w:tplc="0A16632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25"/>
  </w:num>
  <w:num w:numId="3">
    <w:abstractNumId w:val="27"/>
  </w:num>
  <w:num w:numId="4">
    <w:abstractNumId w:val="4"/>
  </w:num>
  <w:num w:numId="5">
    <w:abstractNumId w:val="11"/>
  </w:num>
  <w:num w:numId="6">
    <w:abstractNumId w:val="23"/>
  </w:num>
  <w:num w:numId="7">
    <w:abstractNumId w:val="15"/>
  </w:num>
  <w:num w:numId="8">
    <w:abstractNumId w:val="29"/>
    <w:lvlOverride w:ilvl="0">
      <w:startOverride w:val="1"/>
    </w:lvlOverride>
  </w:num>
  <w:num w:numId="9">
    <w:abstractNumId w:val="22"/>
  </w:num>
  <w:num w:numId="10">
    <w:abstractNumId w:val="26"/>
  </w:num>
  <w:num w:numId="11">
    <w:abstractNumId w:val="8"/>
  </w:num>
  <w:num w:numId="12">
    <w:abstractNumId w:val="19"/>
  </w:num>
  <w:num w:numId="13">
    <w:abstractNumId w:val="12"/>
  </w:num>
  <w:num w:numId="14">
    <w:abstractNumId w:val="24"/>
  </w:num>
  <w:num w:numId="15">
    <w:abstractNumId w:val="0"/>
  </w:num>
  <w:num w:numId="16">
    <w:abstractNumId w:val="16"/>
  </w:num>
  <w:num w:numId="17">
    <w:abstractNumId w:val="28"/>
  </w:num>
  <w:num w:numId="18">
    <w:abstractNumId w:val="6"/>
  </w:num>
  <w:num w:numId="19">
    <w:abstractNumId w:val="7"/>
  </w:num>
  <w:num w:numId="20">
    <w:abstractNumId w:val="1"/>
  </w:num>
  <w:num w:numId="21">
    <w:abstractNumId w:val="5"/>
  </w:num>
  <w:num w:numId="22">
    <w:abstractNumId w:val="21"/>
  </w:num>
  <w:num w:numId="23">
    <w:abstractNumId w:val="3"/>
  </w:num>
  <w:num w:numId="24">
    <w:abstractNumId w:val="10"/>
  </w:num>
  <w:num w:numId="25">
    <w:abstractNumId w:val="14"/>
  </w:num>
  <w:num w:numId="26">
    <w:abstractNumId w:val="17"/>
  </w:num>
  <w:num w:numId="27">
    <w:abstractNumId w:val="18"/>
  </w:num>
  <w:num w:numId="28">
    <w:abstractNumId w:val="20"/>
  </w:num>
  <w:num w:numId="29">
    <w:abstractNumId w:val="2"/>
  </w:num>
  <w:num w:numId="3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94E"/>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AF5"/>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2F7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2A92"/>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47"/>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959"/>
    <w:rsid w:val="00254AC0"/>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58E"/>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06C"/>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43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0DF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307"/>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BD3"/>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6E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103"/>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4C"/>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BC7"/>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ACC"/>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19"/>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B6"/>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99A"/>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8BF"/>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0D"/>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77DB4"/>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89"/>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B56"/>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7D3"/>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A84"/>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09"/>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45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BA2"/>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EE0"/>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7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584"/>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39"/>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92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1F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320"/>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character" w:customStyle="1" w:styleId="B4Char">
    <w:name w:val="B4 Char"/>
    <w:link w:val="B4"/>
    <w:locked/>
    <w:rsid w:val="003F206C"/>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498">
      <w:bodyDiv w:val="1"/>
      <w:marLeft w:val="0"/>
      <w:marRight w:val="0"/>
      <w:marTop w:val="0"/>
      <w:marBottom w:val="0"/>
      <w:divBdr>
        <w:top w:val="none" w:sz="0" w:space="0" w:color="auto"/>
        <w:left w:val="none" w:sz="0" w:space="0" w:color="auto"/>
        <w:bottom w:val="none" w:sz="0" w:space="0" w:color="auto"/>
        <w:right w:val="none" w:sz="0" w:space="0" w:color="auto"/>
      </w:divBdr>
      <w:divsChild>
        <w:div w:id="41296346">
          <w:marLeft w:val="547"/>
          <w:marRight w:val="0"/>
          <w:marTop w:val="96"/>
          <w:marBottom w:val="0"/>
          <w:divBdr>
            <w:top w:val="none" w:sz="0" w:space="0" w:color="auto"/>
            <w:left w:val="none" w:sz="0" w:space="0" w:color="auto"/>
            <w:bottom w:val="none" w:sz="0" w:space="0" w:color="auto"/>
            <w:right w:val="none" w:sz="0" w:space="0" w:color="auto"/>
          </w:divBdr>
        </w:div>
        <w:div w:id="581722143">
          <w:marLeft w:val="1166"/>
          <w:marRight w:val="0"/>
          <w:marTop w:val="86"/>
          <w:marBottom w:val="0"/>
          <w:divBdr>
            <w:top w:val="none" w:sz="0" w:space="0" w:color="auto"/>
            <w:left w:val="none" w:sz="0" w:space="0" w:color="auto"/>
            <w:bottom w:val="none" w:sz="0" w:space="0" w:color="auto"/>
            <w:right w:val="none" w:sz="0" w:space="0" w:color="auto"/>
          </w:divBdr>
        </w:div>
        <w:div w:id="1814444016">
          <w:marLeft w:val="1166"/>
          <w:marRight w:val="0"/>
          <w:marTop w:val="86"/>
          <w:marBottom w:val="0"/>
          <w:divBdr>
            <w:top w:val="none" w:sz="0" w:space="0" w:color="auto"/>
            <w:left w:val="none" w:sz="0" w:space="0" w:color="auto"/>
            <w:bottom w:val="none" w:sz="0" w:space="0" w:color="auto"/>
            <w:right w:val="none" w:sz="0" w:space="0" w:color="auto"/>
          </w:divBdr>
        </w:div>
      </w:divsChild>
    </w:div>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2266328">
      <w:bodyDiv w:val="1"/>
      <w:marLeft w:val="0"/>
      <w:marRight w:val="0"/>
      <w:marTop w:val="0"/>
      <w:marBottom w:val="0"/>
      <w:divBdr>
        <w:top w:val="none" w:sz="0" w:space="0" w:color="auto"/>
        <w:left w:val="none" w:sz="0" w:space="0" w:color="auto"/>
        <w:bottom w:val="none" w:sz="0" w:space="0" w:color="auto"/>
        <w:right w:val="none" w:sz="0" w:space="0" w:color="auto"/>
      </w:divBdr>
      <w:divsChild>
        <w:div w:id="1030226447">
          <w:marLeft w:val="1800"/>
          <w:marRight w:val="0"/>
          <w:marTop w:val="62"/>
          <w:marBottom w:val="0"/>
          <w:divBdr>
            <w:top w:val="none" w:sz="0" w:space="0" w:color="auto"/>
            <w:left w:val="none" w:sz="0" w:space="0" w:color="auto"/>
            <w:bottom w:val="none" w:sz="0" w:space="0" w:color="auto"/>
            <w:right w:val="none" w:sz="0" w:space="0" w:color="auto"/>
          </w:divBdr>
        </w:div>
        <w:div w:id="543372188">
          <w:marLeft w:val="2520"/>
          <w:marRight w:val="0"/>
          <w:marTop w:val="62"/>
          <w:marBottom w:val="0"/>
          <w:divBdr>
            <w:top w:val="none" w:sz="0" w:space="0" w:color="auto"/>
            <w:left w:val="none" w:sz="0" w:space="0" w:color="auto"/>
            <w:bottom w:val="none" w:sz="0" w:space="0" w:color="auto"/>
            <w:right w:val="none" w:sz="0" w:space="0" w:color="auto"/>
          </w:divBdr>
        </w:div>
        <w:div w:id="1539970131">
          <w:marLeft w:val="3240"/>
          <w:marRight w:val="0"/>
          <w:marTop w:val="62"/>
          <w:marBottom w:val="0"/>
          <w:divBdr>
            <w:top w:val="none" w:sz="0" w:space="0" w:color="auto"/>
            <w:left w:val="none" w:sz="0" w:space="0" w:color="auto"/>
            <w:bottom w:val="none" w:sz="0" w:space="0" w:color="auto"/>
            <w:right w:val="none" w:sz="0" w:space="0" w:color="auto"/>
          </w:divBdr>
        </w:div>
        <w:div w:id="1677078858">
          <w:marLeft w:val="3240"/>
          <w:marRight w:val="0"/>
          <w:marTop w:val="62"/>
          <w:marBottom w:val="0"/>
          <w:divBdr>
            <w:top w:val="none" w:sz="0" w:space="0" w:color="auto"/>
            <w:left w:val="none" w:sz="0" w:space="0" w:color="auto"/>
            <w:bottom w:val="none" w:sz="0" w:space="0" w:color="auto"/>
            <w:right w:val="none" w:sz="0" w:space="0" w:color="auto"/>
          </w:divBdr>
        </w:div>
        <w:div w:id="1351838604">
          <w:marLeft w:val="2520"/>
          <w:marRight w:val="0"/>
          <w:marTop w:val="62"/>
          <w:marBottom w:val="0"/>
          <w:divBdr>
            <w:top w:val="none" w:sz="0" w:space="0" w:color="auto"/>
            <w:left w:val="none" w:sz="0" w:space="0" w:color="auto"/>
            <w:bottom w:val="none" w:sz="0" w:space="0" w:color="auto"/>
            <w:right w:val="none" w:sz="0" w:space="0" w:color="auto"/>
          </w:divBdr>
        </w:div>
        <w:div w:id="276984441">
          <w:marLeft w:val="3240"/>
          <w:marRight w:val="0"/>
          <w:marTop w:val="62"/>
          <w:marBottom w:val="0"/>
          <w:divBdr>
            <w:top w:val="none" w:sz="0" w:space="0" w:color="auto"/>
            <w:left w:val="none" w:sz="0" w:space="0" w:color="auto"/>
            <w:bottom w:val="none" w:sz="0" w:space="0" w:color="auto"/>
            <w:right w:val="none" w:sz="0" w:space="0" w:color="auto"/>
          </w:divBdr>
        </w:div>
        <w:div w:id="1022321127">
          <w:marLeft w:val="3240"/>
          <w:marRight w:val="0"/>
          <w:marTop w:val="62"/>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9219033">
      <w:bodyDiv w:val="1"/>
      <w:marLeft w:val="0"/>
      <w:marRight w:val="0"/>
      <w:marTop w:val="0"/>
      <w:marBottom w:val="0"/>
      <w:divBdr>
        <w:top w:val="none" w:sz="0" w:space="0" w:color="auto"/>
        <w:left w:val="none" w:sz="0" w:space="0" w:color="auto"/>
        <w:bottom w:val="none" w:sz="0" w:space="0" w:color="auto"/>
        <w:right w:val="none" w:sz="0" w:space="0" w:color="auto"/>
      </w:divBdr>
      <w:divsChild>
        <w:div w:id="929120968">
          <w:marLeft w:val="547"/>
          <w:marRight w:val="0"/>
          <w:marTop w:val="96"/>
          <w:marBottom w:val="0"/>
          <w:divBdr>
            <w:top w:val="none" w:sz="0" w:space="0" w:color="auto"/>
            <w:left w:val="none" w:sz="0" w:space="0" w:color="auto"/>
            <w:bottom w:val="none" w:sz="0" w:space="0" w:color="auto"/>
            <w:right w:val="none" w:sz="0" w:space="0" w:color="auto"/>
          </w:divBdr>
        </w:div>
        <w:div w:id="1119104544">
          <w:marLeft w:val="1166"/>
          <w:marRight w:val="0"/>
          <w:marTop w:val="86"/>
          <w:marBottom w:val="0"/>
          <w:divBdr>
            <w:top w:val="none" w:sz="0" w:space="0" w:color="auto"/>
            <w:left w:val="none" w:sz="0" w:space="0" w:color="auto"/>
            <w:bottom w:val="none" w:sz="0" w:space="0" w:color="auto"/>
            <w:right w:val="none" w:sz="0" w:space="0" w:color="auto"/>
          </w:divBdr>
        </w:div>
      </w:divsChild>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3212523">
      <w:bodyDiv w:val="1"/>
      <w:marLeft w:val="0"/>
      <w:marRight w:val="0"/>
      <w:marTop w:val="0"/>
      <w:marBottom w:val="0"/>
      <w:divBdr>
        <w:top w:val="none" w:sz="0" w:space="0" w:color="auto"/>
        <w:left w:val="none" w:sz="0" w:space="0" w:color="auto"/>
        <w:bottom w:val="none" w:sz="0" w:space="0" w:color="auto"/>
        <w:right w:val="none" w:sz="0" w:space="0" w:color="auto"/>
      </w:divBdr>
      <w:divsChild>
        <w:div w:id="50740368">
          <w:marLeft w:val="547"/>
          <w:marRight w:val="0"/>
          <w:marTop w:val="62"/>
          <w:marBottom w:val="0"/>
          <w:divBdr>
            <w:top w:val="none" w:sz="0" w:space="0" w:color="auto"/>
            <w:left w:val="none" w:sz="0" w:space="0" w:color="auto"/>
            <w:bottom w:val="none" w:sz="0" w:space="0" w:color="auto"/>
            <w:right w:val="none" w:sz="0" w:space="0" w:color="auto"/>
          </w:divBdr>
        </w:div>
        <w:div w:id="1754085196">
          <w:marLeft w:val="1166"/>
          <w:marRight w:val="0"/>
          <w:marTop w:val="62"/>
          <w:marBottom w:val="0"/>
          <w:divBdr>
            <w:top w:val="none" w:sz="0" w:space="0" w:color="auto"/>
            <w:left w:val="none" w:sz="0" w:space="0" w:color="auto"/>
            <w:bottom w:val="none" w:sz="0" w:space="0" w:color="auto"/>
            <w:right w:val="none" w:sz="0" w:space="0" w:color="auto"/>
          </w:divBdr>
        </w:div>
        <w:div w:id="1210802173">
          <w:marLeft w:val="1800"/>
          <w:marRight w:val="0"/>
          <w:marTop w:val="62"/>
          <w:marBottom w:val="0"/>
          <w:divBdr>
            <w:top w:val="none" w:sz="0" w:space="0" w:color="auto"/>
            <w:left w:val="none" w:sz="0" w:space="0" w:color="auto"/>
            <w:bottom w:val="none" w:sz="0" w:space="0" w:color="auto"/>
            <w:right w:val="none" w:sz="0" w:space="0" w:color="auto"/>
          </w:divBdr>
        </w:div>
        <w:div w:id="1111509532">
          <w:marLeft w:val="2520"/>
          <w:marRight w:val="0"/>
          <w:marTop w:val="62"/>
          <w:marBottom w:val="0"/>
          <w:divBdr>
            <w:top w:val="none" w:sz="0" w:space="0" w:color="auto"/>
            <w:left w:val="none" w:sz="0" w:space="0" w:color="auto"/>
            <w:bottom w:val="none" w:sz="0" w:space="0" w:color="auto"/>
            <w:right w:val="none" w:sz="0" w:space="0" w:color="auto"/>
          </w:divBdr>
        </w:div>
        <w:div w:id="1463233333">
          <w:marLeft w:val="1800"/>
          <w:marRight w:val="0"/>
          <w:marTop w:val="62"/>
          <w:marBottom w:val="0"/>
          <w:divBdr>
            <w:top w:val="none" w:sz="0" w:space="0" w:color="auto"/>
            <w:left w:val="none" w:sz="0" w:space="0" w:color="auto"/>
            <w:bottom w:val="none" w:sz="0" w:space="0" w:color="auto"/>
            <w:right w:val="none" w:sz="0" w:space="0" w:color="auto"/>
          </w:divBdr>
        </w:div>
        <w:div w:id="1747340100">
          <w:marLeft w:val="2520"/>
          <w:marRight w:val="0"/>
          <w:marTop w:val="62"/>
          <w:marBottom w:val="0"/>
          <w:divBdr>
            <w:top w:val="none" w:sz="0" w:space="0" w:color="auto"/>
            <w:left w:val="none" w:sz="0" w:space="0" w:color="auto"/>
            <w:bottom w:val="none" w:sz="0" w:space="0" w:color="auto"/>
            <w:right w:val="none" w:sz="0" w:space="0" w:color="auto"/>
          </w:divBdr>
        </w:div>
      </w:divsChild>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722088">
      <w:bodyDiv w:val="1"/>
      <w:marLeft w:val="0"/>
      <w:marRight w:val="0"/>
      <w:marTop w:val="0"/>
      <w:marBottom w:val="0"/>
      <w:divBdr>
        <w:top w:val="none" w:sz="0" w:space="0" w:color="auto"/>
        <w:left w:val="none" w:sz="0" w:space="0" w:color="auto"/>
        <w:bottom w:val="none" w:sz="0" w:space="0" w:color="auto"/>
        <w:right w:val="none" w:sz="0" w:space="0" w:color="auto"/>
      </w:divBdr>
    </w:div>
    <w:div w:id="515271240">
      <w:bodyDiv w:val="1"/>
      <w:marLeft w:val="0"/>
      <w:marRight w:val="0"/>
      <w:marTop w:val="0"/>
      <w:marBottom w:val="0"/>
      <w:divBdr>
        <w:top w:val="none" w:sz="0" w:space="0" w:color="auto"/>
        <w:left w:val="none" w:sz="0" w:space="0" w:color="auto"/>
        <w:bottom w:val="none" w:sz="0" w:space="0" w:color="auto"/>
        <w:right w:val="none" w:sz="0" w:space="0" w:color="auto"/>
      </w:divBdr>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7905222">
      <w:bodyDiv w:val="1"/>
      <w:marLeft w:val="0"/>
      <w:marRight w:val="0"/>
      <w:marTop w:val="0"/>
      <w:marBottom w:val="0"/>
      <w:divBdr>
        <w:top w:val="none" w:sz="0" w:space="0" w:color="auto"/>
        <w:left w:val="none" w:sz="0" w:space="0" w:color="auto"/>
        <w:bottom w:val="none" w:sz="0" w:space="0" w:color="auto"/>
        <w:right w:val="none" w:sz="0" w:space="0" w:color="auto"/>
      </w:divBdr>
      <w:divsChild>
        <w:div w:id="938413022">
          <w:marLeft w:val="547"/>
          <w:marRight w:val="0"/>
          <w:marTop w:val="96"/>
          <w:marBottom w:val="0"/>
          <w:divBdr>
            <w:top w:val="none" w:sz="0" w:space="0" w:color="auto"/>
            <w:left w:val="none" w:sz="0" w:space="0" w:color="auto"/>
            <w:bottom w:val="none" w:sz="0" w:space="0" w:color="auto"/>
            <w:right w:val="none" w:sz="0" w:space="0" w:color="auto"/>
          </w:divBdr>
        </w:div>
        <w:div w:id="1018696313">
          <w:marLeft w:val="1166"/>
          <w:marRight w:val="0"/>
          <w:marTop w:val="86"/>
          <w:marBottom w:val="0"/>
          <w:divBdr>
            <w:top w:val="none" w:sz="0" w:space="0" w:color="auto"/>
            <w:left w:val="none" w:sz="0" w:space="0" w:color="auto"/>
            <w:bottom w:val="none" w:sz="0" w:space="0" w:color="auto"/>
            <w:right w:val="none" w:sz="0" w:space="0" w:color="auto"/>
          </w:divBdr>
        </w:div>
        <w:div w:id="957223801">
          <w:marLeft w:val="1166"/>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17641221">
      <w:bodyDiv w:val="1"/>
      <w:marLeft w:val="0"/>
      <w:marRight w:val="0"/>
      <w:marTop w:val="0"/>
      <w:marBottom w:val="0"/>
      <w:divBdr>
        <w:top w:val="none" w:sz="0" w:space="0" w:color="auto"/>
        <w:left w:val="none" w:sz="0" w:space="0" w:color="auto"/>
        <w:bottom w:val="none" w:sz="0" w:space="0" w:color="auto"/>
        <w:right w:val="none" w:sz="0" w:space="0" w:color="auto"/>
      </w:divBdr>
    </w:div>
    <w:div w:id="625431979">
      <w:bodyDiv w:val="1"/>
      <w:marLeft w:val="0"/>
      <w:marRight w:val="0"/>
      <w:marTop w:val="0"/>
      <w:marBottom w:val="0"/>
      <w:divBdr>
        <w:top w:val="none" w:sz="0" w:space="0" w:color="auto"/>
        <w:left w:val="none" w:sz="0" w:space="0" w:color="auto"/>
        <w:bottom w:val="none" w:sz="0" w:space="0" w:color="auto"/>
        <w:right w:val="none" w:sz="0" w:space="0" w:color="auto"/>
      </w:divBdr>
      <w:divsChild>
        <w:div w:id="713503178">
          <w:marLeft w:val="547"/>
          <w:marRight w:val="0"/>
          <w:marTop w:val="62"/>
          <w:marBottom w:val="0"/>
          <w:divBdr>
            <w:top w:val="none" w:sz="0" w:space="0" w:color="auto"/>
            <w:left w:val="none" w:sz="0" w:space="0" w:color="auto"/>
            <w:bottom w:val="none" w:sz="0" w:space="0" w:color="auto"/>
            <w:right w:val="none" w:sz="0" w:space="0" w:color="auto"/>
          </w:divBdr>
        </w:div>
        <w:div w:id="1560480328">
          <w:marLeft w:val="1166"/>
          <w:marRight w:val="0"/>
          <w:marTop w:val="62"/>
          <w:marBottom w:val="0"/>
          <w:divBdr>
            <w:top w:val="none" w:sz="0" w:space="0" w:color="auto"/>
            <w:left w:val="none" w:sz="0" w:space="0" w:color="auto"/>
            <w:bottom w:val="none" w:sz="0" w:space="0" w:color="auto"/>
            <w:right w:val="none" w:sz="0" w:space="0" w:color="auto"/>
          </w:divBdr>
        </w:div>
        <w:div w:id="1735277953">
          <w:marLeft w:val="1800"/>
          <w:marRight w:val="0"/>
          <w:marTop w:val="62"/>
          <w:marBottom w:val="0"/>
          <w:divBdr>
            <w:top w:val="none" w:sz="0" w:space="0" w:color="auto"/>
            <w:left w:val="none" w:sz="0" w:space="0" w:color="auto"/>
            <w:bottom w:val="none" w:sz="0" w:space="0" w:color="auto"/>
            <w:right w:val="none" w:sz="0" w:space="0" w:color="auto"/>
          </w:divBdr>
        </w:div>
        <w:div w:id="500509127">
          <w:marLeft w:val="2520"/>
          <w:marRight w:val="0"/>
          <w:marTop w:val="62"/>
          <w:marBottom w:val="0"/>
          <w:divBdr>
            <w:top w:val="none" w:sz="0" w:space="0" w:color="auto"/>
            <w:left w:val="none" w:sz="0" w:space="0" w:color="auto"/>
            <w:bottom w:val="none" w:sz="0" w:space="0" w:color="auto"/>
            <w:right w:val="none" w:sz="0" w:space="0" w:color="auto"/>
          </w:divBdr>
        </w:div>
        <w:div w:id="1578636986">
          <w:marLeft w:val="1800"/>
          <w:marRight w:val="0"/>
          <w:marTop w:val="62"/>
          <w:marBottom w:val="0"/>
          <w:divBdr>
            <w:top w:val="none" w:sz="0" w:space="0" w:color="auto"/>
            <w:left w:val="none" w:sz="0" w:space="0" w:color="auto"/>
            <w:bottom w:val="none" w:sz="0" w:space="0" w:color="auto"/>
            <w:right w:val="none" w:sz="0" w:space="0" w:color="auto"/>
          </w:divBdr>
        </w:div>
        <w:div w:id="1921327391">
          <w:marLeft w:val="2520"/>
          <w:marRight w:val="0"/>
          <w:marTop w:val="6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89377978">
      <w:bodyDiv w:val="1"/>
      <w:marLeft w:val="0"/>
      <w:marRight w:val="0"/>
      <w:marTop w:val="0"/>
      <w:marBottom w:val="0"/>
      <w:divBdr>
        <w:top w:val="none" w:sz="0" w:space="0" w:color="auto"/>
        <w:left w:val="none" w:sz="0" w:space="0" w:color="auto"/>
        <w:bottom w:val="none" w:sz="0" w:space="0" w:color="auto"/>
        <w:right w:val="none" w:sz="0" w:space="0" w:color="auto"/>
      </w:divBdr>
      <w:divsChild>
        <w:div w:id="989988976">
          <w:marLeft w:val="547"/>
          <w:marRight w:val="0"/>
          <w:marTop w:val="130"/>
          <w:marBottom w:val="0"/>
          <w:divBdr>
            <w:top w:val="none" w:sz="0" w:space="0" w:color="auto"/>
            <w:left w:val="none" w:sz="0" w:space="0" w:color="auto"/>
            <w:bottom w:val="none" w:sz="0" w:space="0" w:color="auto"/>
            <w:right w:val="none" w:sz="0" w:space="0" w:color="auto"/>
          </w:divBdr>
        </w:div>
        <w:div w:id="2013415829">
          <w:marLeft w:val="1166"/>
          <w:marRight w:val="0"/>
          <w:marTop w:val="115"/>
          <w:marBottom w:val="0"/>
          <w:divBdr>
            <w:top w:val="none" w:sz="0" w:space="0" w:color="auto"/>
            <w:left w:val="none" w:sz="0" w:space="0" w:color="auto"/>
            <w:bottom w:val="none" w:sz="0" w:space="0" w:color="auto"/>
            <w:right w:val="none" w:sz="0" w:space="0" w:color="auto"/>
          </w:divBdr>
        </w:div>
        <w:div w:id="1794136286">
          <w:marLeft w:val="1166"/>
          <w:marRight w:val="0"/>
          <w:marTop w:val="115"/>
          <w:marBottom w:val="0"/>
          <w:divBdr>
            <w:top w:val="none" w:sz="0" w:space="0" w:color="auto"/>
            <w:left w:val="none" w:sz="0" w:space="0" w:color="auto"/>
            <w:bottom w:val="none" w:sz="0" w:space="0" w:color="auto"/>
            <w:right w:val="none" w:sz="0" w:space="0" w:color="auto"/>
          </w:divBdr>
        </w:div>
        <w:div w:id="682360916">
          <w:marLeft w:val="1166"/>
          <w:marRight w:val="0"/>
          <w:marTop w:val="115"/>
          <w:marBottom w:val="0"/>
          <w:divBdr>
            <w:top w:val="none" w:sz="0" w:space="0" w:color="auto"/>
            <w:left w:val="none" w:sz="0" w:space="0" w:color="auto"/>
            <w:bottom w:val="none" w:sz="0" w:space="0" w:color="auto"/>
            <w:right w:val="none" w:sz="0" w:space="0" w:color="auto"/>
          </w:divBdr>
        </w:div>
        <w:div w:id="537476341">
          <w:marLeft w:val="1166"/>
          <w:marRight w:val="0"/>
          <w:marTop w:val="115"/>
          <w:marBottom w:val="0"/>
          <w:divBdr>
            <w:top w:val="none" w:sz="0" w:space="0" w:color="auto"/>
            <w:left w:val="none" w:sz="0" w:space="0" w:color="auto"/>
            <w:bottom w:val="none" w:sz="0" w:space="0" w:color="auto"/>
            <w:right w:val="none" w:sz="0" w:space="0" w:color="auto"/>
          </w:divBdr>
        </w:div>
        <w:div w:id="753018774">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1055049">
      <w:bodyDiv w:val="1"/>
      <w:marLeft w:val="0"/>
      <w:marRight w:val="0"/>
      <w:marTop w:val="0"/>
      <w:marBottom w:val="0"/>
      <w:divBdr>
        <w:top w:val="none" w:sz="0" w:space="0" w:color="auto"/>
        <w:left w:val="none" w:sz="0" w:space="0" w:color="auto"/>
        <w:bottom w:val="none" w:sz="0" w:space="0" w:color="auto"/>
        <w:right w:val="none" w:sz="0" w:space="0" w:color="auto"/>
      </w:divBdr>
      <w:divsChild>
        <w:div w:id="136336308">
          <w:marLeft w:val="547"/>
          <w:marRight w:val="0"/>
          <w:marTop w:val="91"/>
          <w:marBottom w:val="0"/>
          <w:divBdr>
            <w:top w:val="none" w:sz="0" w:space="0" w:color="auto"/>
            <w:left w:val="none" w:sz="0" w:space="0" w:color="auto"/>
            <w:bottom w:val="none" w:sz="0" w:space="0" w:color="auto"/>
            <w:right w:val="none" w:sz="0" w:space="0" w:color="auto"/>
          </w:divBdr>
        </w:div>
        <w:div w:id="542061549">
          <w:marLeft w:val="1166"/>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1315450">
      <w:bodyDiv w:val="1"/>
      <w:marLeft w:val="0"/>
      <w:marRight w:val="0"/>
      <w:marTop w:val="0"/>
      <w:marBottom w:val="0"/>
      <w:divBdr>
        <w:top w:val="none" w:sz="0" w:space="0" w:color="auto"/>
        <w:left w:val="none" w:sz="0" w:space="0" w:color="auto"/>
        <w:bottom w:val="none" w:sz="0" w:space="0" w:color="auto"/>
        <w:right w:val="none" w:sz="0" w:space="0" w:color="auto"/>
      </w:divBdr>
      <w:divsChild>
        <w:div w:id="712924709">
          <w:marLeft w:val="547"/>
          <w:marRight w:val="0"/>
          <w:marTop w:val="144"/>
          <w:marBottom w:val="0"/>
          <w:divBdr>
            <w:top w:val="none" w:sz="0" w:space="0" w:color="auto"/>
            <w:left w:val="none" w:sz="0" w:space="0" w:color="auto"/>
            <w:bottom w:val="none" w:sz="0" w:space="0" w:color="auto"/>
            <w:right w:val="none" w:sz="0" w:space="0" w:color="auto"/>
          </w:divBdr>
        </w:div>
        <w:div w:id="2118938260">
          <w:marLeft w:val="1166"/>
          <w:marRight w:val="0"/>
          <w:marTop w:val="125"/>
          <w:marBottom w:val="0"/>
          <w:divBdr>
            <w:top w:val="none" w:sz="0" w:space="0" w:color="auto"/>
            <w:left w:val="none" w:sz="0" w:space="0" w:color="auto"/>
            <w:bottom w:val="none" w:sz="0" w:space="0" w:color="auto"/>
            <w:right w:val="none" w:sz="0" w:space="0" w:color="auto"/>
          </w:divBdr>
        </w:div>
        <w:div w:id="1677463822">
          <w:marLeft w:val="1166"/>
          <w:marRight w:val="0"/>
          <w:marTop w:val="125"/>
          <w:marBottom w:val="0"/>
          <w:divBdr>
            <w:top w:val="none" w:sz="0" w:space="0" w:color="auto"/>
            <w:left w:val="none" w:sz="0" w:space="0" w:color="auto"/>
            <w:bottom w:val="none" w:sz="0" w:space="0" w:color="auto"/>
            <w:right w:val="none" w:sz="0" w:space="0" w:color="auto"/>
          </w:divBdr>
        </w:div>
        <w:div w:id="706175343">
          <w:marLeft w:val="1166"/>
          <w:marRight w:val="0"/>
          <w:marTop w:val="125"/>
          <w:marBottom w:val="0"/>
          <w:divBdr>
            <w:top w:val="none" w:sz="0" w:space="0" w:color="auto"/>
            <w:left w:val="none" w:sz="0" w:space="0" w:color="auto"/>
            <w:bottom w:val="none" w:sz="0" w:space="0" w:color="auto"/>
            <w:right w:val="none" w:sz="0" w:space="0" w:color="auto"/>
          </w:divBdr>
        </w:div>
        <w:div w:id="1815443418">
          <w:marLeft w:val="1166"/>
          <w:marRight w:val="0"/>
          <w:marTop w:val="125"/>
          <w:marBottom w:val="0"/>
          <w:divBdr>
            <w:top w:val="none" w:sz="0" w:space="0" w:color="auto"/>
            <w:left w:val="none" w:sz="0" w:space="0" w:color="auto"/>
            <w:bottom w:val="none" w:sz="0" w:space="0" w:color="auto"/>
            <w:right w:val="none" w:sz="0" w:space="0" w:color="auto"/>
          </w:divBdr>
        </w:div>
        <w:div w:id="1051341949">
          <w:marLeft w:val="1166"/>
          <w:marRight w:val="0"/>
          <w:marTop w:val="125"/>
          <w:marBottom w:val="0"/>
          <w:divBdr>
            <w:top w:val="none" w:sz="0" w:space="0" w:color="auto"/>
            <w:left w:val="none" w:sz="0" w:space="0" w:color="auto"/>
            <w:bottom w:val="none" w:sz="0" w:space="0" w:color="auto"/>
            <w:right w:val="none" w:sz="0" w:space="0" w:color="auto"/>
          </w:divBdr>
        </w:div>
      </w:divsChild>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89591326">
      <w:bodyDiv w:val="1"/>
      <w:marLeft w:val="0"/>
      <w:marRight w:val="0"/>
      <w:marTop w:val="0"/>
      <w:marBottom w:val="0"/>
      <w:divBdr>
        <w:top w:val="none" w:sz="0" w:space="0" w:color="auto"/>
        <w:left w:val="none" w:sz="0" w:space="0" w:color="auto"/>
        <w:bottom w:val="none" w:sz="0" w:space="0" w:color="auto"/>
        <w:right w:val="none" w:sz="0" w:space="0" w:color="auto"/>
      </w:divBdr>
      <w:divsChild>
        <w:div w:id="160901406">
          <w:marLeft w:val="547"/>
          <w:marRight w:val="0"/>
          <w:marTop w:val="62"/>
          <w:marBottom w:val="0"/>
          <w:divBdr>
            <w:top w:val="none" w:sz="0" w:space="0" w:color="auto"/>
            <w:left w:val="none" w:sz="0" w:space="0" w:color="auto"/>
            <w:bottom w:val="none" w:sz="0" w:space="0" w:color="auto"/>
            <w:right w:val="none" w:sz="0" w:space="0" w:color="auto"/>
          </w:divBdr>
        </w:div>
        <w:div w:id="269162414">
          <w:marLeft w:val="1166"/>
          <w:marRight w:val="0"/>
          <w:marTop w:val="62"/>
          <w:marBottom w:val="0"/>
          <w:divBdr>
            <w:top w:val="none" w:sz="0" w:space="0" w:color="auto"/>
            <w:left w:val="none" w:sz="0" w:space="0" w:color="auto"/>
            <w:bottom w:val="none" w:sz="0" w:space="0" w:color="auto"/>
            <w:right w:val="none" w:sz="0" w:space="0" w:color="auto"/>
          </w:divBdr>
        </w:div>
        <w:div w:id="2010517156">
          <w:marLeft w:val="1800"/>
          <w:marRight w:val="0"/>
          <w:marTop w:val="62"/>
          <w:marBottom w:val="0"/>
          <w:divBdr>
            <w:top w:val="none" w:sz="0" w:space="0" w:color="auto"/>
            <w:left w:val="none" w:sz="0" w:space="0" w:color="auto"/>
            <w:bottom w:val="none" w:sz="0" w:space="0" w:color="auto"/>
            <w:right w:val="none" w:sz="0" w:space="0" w:color="auto"/>
          </w:divBdr>
        </w:div>
        <w:div w:id="1425104010">
          <w:marLeft w:val="2520"/>
          <w:marRight w:val="0"/>
          <w:marTop w:val="62"/>
          <w:marBottom w:val="0"/>
          <w:divBdr>
            <w:top w:val="none" w:sz="0" w:space="0" w:color="auto"/>
            <w:left w:val="none" w:sz="0" w:space="0" w:color="auto"/>
            <w:bottom w:val="none" w:sz="0" w:space="0" w:color="auto"/>
            <w:right w:val="none" w:sz="0" w:space="0" w:color="auto"/>
          </w:divBdr>
        </w:div>
        <w:div w:id="528420781">
          <w:marLeft w:val="1800"/>
          <w:marRight w:val="0"/>
          <w:marTop w:val="62"/>
          <w:marBottom w:val="0"/>
          <w:divBdr>
            <w:top w:val="none" w:sz="0" w:space="0" w:color="auto"/>
            <w:left w:val="none" w:sz="0" w:space="0" w:color="auto"/>
            <w:bottom w:val="none" w:sz="0" w:space="0" w:color="auto"/>
            <w:right w:val="none" w:sz="0" w:space="0" w:color="auto"/>
          </w:divBdr>
        </w:div>
        <w:div w:id="1059979462">
          <w:marLeft w:val="2520"/>
          <w:marRight w:val="0"/>
          <w:marTop w:val="62"/>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40398">
      <w:bodyDiv w:val="1"/>
      <w:marLeft w:val="0"/>
      <w:marRight w:val="0"/>
      <w:marTop w:val="0"/>
      <w:marBottom w:val="0"/>
      <w:divBdr>
        <w:top w:val="none" w:sz="0" w:space="0" w:color="auto"/>
        <w:left w:val="none" w:sz="0" w:space="0" w:color="auto"/>
        <w:bottom w:val="none" w:sz="0" w:space="0" w:color="auto"/>
        <w:right w:val="none" w:sz="0" w:space="0" w:color="auto"/>
      </w:divBdr>
      <w:divsChild>
        <w:div w:id="593167661">
          <w:marLeft w:val="547"/>
          <w:marRight w:val="0"/>
          <w:marTop w:val="96"/>
          <w:marBottom w:val="0"/>
          <w:divBdr>
            <w:top w:val="none" w:sz="0" w:space="0" w:color="auto"/>
            <w:left w:val="none" w:sz="0" w:space="0" w:color="auto"/>
            <w:bottom w:val="none" w:sz="0" w:space="0" w:color="auto"/>
            <w:right w:val="none" w:sz="0" w:space="0" w:color="auto"/>
          </w:divBdr>
        </w:div>
        <w:div w:id="538978051">
          <w:marLeft w:val="1166"/>
          <w:marRight w:val="0"/>
          <w:marTop w:val="86"/>
          <w:marBottom w:val="0"/>
          <w:divBdr>
            <w:top w:val="none" w:sz="0" w:space="0" w:color="auto"/>
            <w:left w:val="none" w:sz="0" w:space="0" w:color="auto"/>
            <w:bottom w:val="none" w:sz="0" w:space="0" w:color="auto"/>
            <w:right w:val="none" w:sz="0" w:space="0" w:color="auto"/>
          </w:divBdr>
        </w:div>
        <w:div w:id="594826138">
          <w:marLeft w:val="1166"/>
          <w:marRight w:val="0"/>
          <w:marTop w:val="86"/>
          <w:marBottom w:val="0"/>
          <w:divBdr>
            <w:top w:val="none" w:sz="0" w:space="0" w:color="auto"/>
            <w:left w:val="none" w:sz="0" w:space="0" w:color="auto"/>
            <w:bottom w:val="none" w:sz="0" w:space="0" w:color="auto"/>
            <w:right w:val="none" w:sz="0" w:space="0" w:color="auto"/>
          </w:divBdr>
        </w:div>
        <w:div w:id="487327973">
          <w:marLeft w:val="1166"/>
          <w:marRight w:val="0"/>
          <w:marTop w:val="86"/>
          <w:marBottom w:val="0"/>
          <w:divBdr>
            <w:top w:val="none" w:sz="0" w:space="0" w:color="auto"/>
            <w:left w:val="none" w:sz="0" w:space="0" w:color="auto"/>
            <w:bottom w:val="none" w:sz="0" w:space="0" w:color="auto"/>
            <w:right w:val="none" w:sz="0" w:space="0" w:color="auto"/>
          </w:divBdr>
        </w:div>
      </w:divsChild>
    </w:div>
    <w:div w:id="946618211">
      <w:bodyDiv w:val="1"/>
      <w:marLeft w:val="0"/>
      <w:marRight w:val="0"/>
      <w:marTop w:val="0"/>
      <w:marBottom w:val="0"/>
      <w:divBdr>
        <w:top w:val="none" w:sz="0" w:space="0" w:color="auto"/>
        <w:left w:val="none" w:sz="0" w:space="0" w:color="auto"/>
        <w:bottom w:val="none" w:sz="0" w:space="0" w:color="auto"/>
        <w:right w:val="none" w:sz="0" w:space="0" w:color="auto"/>
      </w:divBdr>
      <w:divsChild>
        <w:div w:id="197549821">
          <w:marLeft w:val="547"/>
          <w:marRight w:val="0"/>
          <w:marTop w:val="62"/>
          <w:marBottom w:val="0"/>
          <w:divBdr>
            <w:top w:val="none" w:sz="0" w:space="0" w:color="auto"/>
            <w:left w:val="none" w:sz="0" w:space="0" w:color="auto"/>
            <w:bottom w:val="none" w:sz="0" w:space="0" w:color="auto"/>
            <w:right w:val="none" w:sz="0" w:space="0" w:color="auto"/>
          </w:divBdr>
        </w:div>
        <w:div w:id="153569594">
          <w:marLeft w:val="1166"/>
          <w:marRight w:val="0"/>
          <w:marTop w:val="62"/>
          <w:marBottom w:val="0"/>
          <w:divBdr>
            <w:top w:val="none" w:sz="0" w:space="0" w:color="auto"/>
            <w:left w:val="none" w:sz="0" w:space="0" w:color="auto"/>
            <w:bottom w:val="none" w:sz="0" w:space="0" w:color="auto"/>
            <w:right w:val="none" w:sz="0" w:space="0" w:color="auto"/>
          </w:divBdr>
        </w:div>
        <w:div w:id="18164909">
          <w:marLeft w:val="1800"/>
          <w:marRight w:val="0"/>
          <w:marTop w:val="62"/>
          <w:marBottom w:val="0"/>
          <w:divBdr>
            <w:top w:val="none" w:sz="0" w:space="0" w:color="auto"/>
            <w:left w:val="none" w:sz="0" w:space="0" w:color="auto"/>
            <w:bottom w:val="none" w:sz="0" w:space="0" w:color="auto"/>
            <w:right w:val="none" w:sz="0" w:space="0" w:color="auto"/>
          </w:divBdr>
        </w:div>
        <w:div w:id="1468014837">
          <w:marLeft w:val="2520"/>
          <w:marRight w:val="0"/>
          <w:marTop w:val="62"/>
          <w:marBottom w:val="0"/>
          <w:divBdr>
            <w:top w:val="none" w:sz="0" w:space="0" w:color="auto"/>
            <w:left w:val="none" w:sz="0" w:space="0" w:color="auto"/>
            <w:bottom w:val="none" w:sz="0" w:space="0" w:color="auto"/>
            <w:right w:val="none" w:sz="0" w:space="0" w:color="auto"/>
          </w:divBdr>
        </w:div>
        <w:div w:id="1406225241">
          <w:marLeft w:val="1800"/>
          <w:marRight w:val="0"/>
          <w:marTop w:val="62"/>
          <w:marBottom w:val="0"/>
          <w:divBdr>
            <w:top w:val="none" w:sz="0" w:space="0" w:color="auto"/>
            <w:left w:val="none" w:sz="0" w:space="0" w:color="auto"/>
            <w:bottom w:val="none" w:sz="0" w:space="0" w:color="auto"/>
            <w:right w:val="none" w:sz="0" w:space="0" w:color="auto"/>
          </w:divBdr>
        </w:div>
        <w:div w:id="1355306829">
          <w:marLeft w:val="2520"/>
          <w:marRight w:val="0"/>
          <w:marTop w:val="62"/>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3099966">
      <w:bodyDiv w:val="1"/>
      <w:marLeft w:val="0"/>
      <w:marRight w:val="0"/>
      <w:marTop w:val="0"/>
      <w:marBottom w:val="0"/>
      <w:divBdr>
        <w:top w:val="none" w:sz="0" w:space="0" w:color="auto"/>
        <w:left w:val="none" w:sz="0" w:space="0" w:color="auto"/>
        <w:bottom w:val="none" w:sz="0" w:space="0" w:color="auto"/>
        <w:right w:val="none" w:sz="0" w:space="0" w:color="auto"/>
      </w:divBdr>
      <w:divsChild>
        <w:div w:id="1478302471">
          <w:marLeft w:val="547"/>
          <w:marRight w:val="0"/>
          <w:marTop w:val="144"/>
          <w:marBottom w:val="0"/>
          <w:divBdr>
            <w:top w:val="none" w:sz="0" w:space="0" w:color="auto"/>
            <w:left w:val="none" w:sz="0" w:space="0" w:color="auto"/>
            <w:bottom w:val="none" w:sz="0" w:space="0" w:color="auto"/>
            <w:right w:val="none" w:sz="0" w:space="0" w:color="auto"/>
          </w:divBdr>
        </w:div>
        <w:div w:id="1567716357">
          <w:marLeft w:val="1166"/>
          <w:marRight w:val="0"/>
          <w:marTop w:val="125"/>
          <w:marBottom w:val="0"/>
          <w:divBdr>
            <w:top w:val="none" w:sz="0" w:space="0" w:color="auto"/>
            <w:left w:val="none" w:sz="0" w:space="0" w:color="auto"/>
            <w:bottom w:val="none" w:sz="0" w:space="0" w:color="auto"/>
            <w:right w:val="none" w:sz="0" w:space="0" w:color="auto"/>
          </w:divBdr>
        </w:div>
        <w:div w:id="1436943833">
          <w:marLeft w:val="1166"/>
          <w:marRight w:val="0"/>
          <w:marTop w:val="125"/>
          <w:marBottom w:val="0"/>
          <w:divBdr>
            <w:top w:val="none" w:sz="0" w:space="0" w:color="auto"/>
            <w:left w:val="none" w:sz="0" w:space="0" w:color="auto"/>
            <w:bottom w:val="none" w:sz="0" w:space="0" w:color="auto"/>
            <w:right w:val="none" w:sz="0" w:space="0" w:color="auto"/>
          </w:divBdr>
        </w:div>
        <w:div w:id="347411835">
          <w:marLeft w:val="1166"/>
          <w:marRight w:val="0"/>
          <w:marTop w:val="125"/>
          <w:marBottom w:val="0"/>
          <w:divBdr>
            <w:top w:val="none" w:sz="0" w:space="0" w:color="auto"/>
            <w:left w:val="none" w:sz="0" w:space="0" w:color="auto"/>
            <w:bottom w:val="none" w:sz="0" w:space="0" w:color="auto"/>
            <w:right w:val="none" w:sz="0" w:space="0" w:color="auto"/>
          </w:divBdr>
        </w:div>
        <w:div w:id="293798959">
          <w:marLeft w:val="1166"/>
          <w:marRight w:val="0"/>
          <w:marTop w:val="125"/>
          <w:marBottom w:val="0"/>
          <w:divBdr>
            <w:top w:val="none" w:sz="0" w:space="0" w:color="auto"/>
            <w:left w:val="none" w:sz="0" w:space="0" w:color="auto"/>
            <w:bottom w:val="none" w:sz="0" w:space="0" w:color="auto"/>
            <w:right w:val="none" w:sz="0" w:space="0" w:color="auto"/>
          </w:divBdr>
        </w:div>
        <w:div w:id="1200051568">
          <w:marLeft w:val="1166"/>
          <w:marRight w:val="0"/>
          <w:marTop w:val="125"/>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2756657">
      <w:bodyDiv w:val="1"/>
      <w:marLeft w:val="0"/>
      <w:marRight w:val="0"/>
      <w:marTop w:val="0"/>
      <w:marBottom w:val="0"/>
      <w:divBdr>
        <w:top w:val="none" w:sz="0" w:space="0" w:color="auto"/>
        <w:left w:val="none" w:sz="0" w:space="0" w:color="auto"/>
        <w:bottom w:val="none" w:sz="0" w:space="0" w:color="auto"/>
        <w:right w:val="none" w:sz="0" w:space="0" w:color="auto"/>
      </w:divBdr>
      <w:divsChild>
        <w:div w:id="449396250">
          <w:marLeft w:val="547"/>
          <w:marRight w:val="0"/>
          <w:marTop w:val="130"/>
          <w:marBottom w:val="0"/>
          <w:divBdr>
            <w:top w:val="none" w:sz="0" w:space="0" w:color="auto"/>
            <w:left w:val="none" w:sz="0" w:space="0" w:color="auto"/>
            <w:bottom w:val="none" w:sz="0" w:space="0" w:color="auto"/>
            <w:right w:val="none" w:sz="0" w:space="0" w:color="auto"/>
          </w:divBdr>
        </w:div>
        <w:div w:id="572474871">
          <w:marLeft w:val="1166"/>
          <w:marRight w:val="0"/>
          <w:marTop w:val="115"/>
          <w:marBottom w:val="0"/>
          <w:divBdr>
            <w:top w:val="none" w:sz="0" w:space="0" w:color="auto"/>
            <w:left w:val="none" w:sz="0" w:space="0" w:color="auto"/>
            <w:bottom w:val="none" w:sz="0" w:space="0" w:color="auto"/>
            <w:right w:val="none" w:sz="0" w:space="0" w:color="auto"/>
          </w:divBdr>
        </w:div>
      </w:divsChild>
    </w:div>
    <w:div w:id="102984231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75778554">
      <w:bodyDiv w:val="1"/>
      <w:marLeft w:val="0"/>
      <w:marRight w:val="0"/>
      <w:marTop w:val="0"/>
      <w:marBottom w:val="0"/>
      <w:divBdr>
        <w:top w:val="none" w:sz="0" w:space="0" w:color="auto"/>
        <w:left w:val="none" w:sz="0" w:space="0" w:color="auto"/>
        <w:bottom w:val="none" w:sz="0" w:space="0" w:color="auto"/>
        <w:right w:val="none" w:sz="0" w:space="0" w:color="auto"/>
      </w:divBdr>
      <w:divsChild>
        <w:div w:id="958341545">
          <w:marLeft w:val="547"/>
          <w:marRight w:val="0"/>
          <w:marTop w:val="62"/>
          <w:marBottom w:val="0"/>
          <w:divBdr>
            <w:top w:val="none" w:sz="0" w:space="0" w:color="auto"/>
            <w:left w:val="none" w:sz="0" w:space="0" w:color="auto"/>
            <w:bottom w:val="none" w:sz="0" w:space="0" w:color="auto"/>
            <w:right w:val="none" w:sz="0" w:space="0" w:color="auto"/>
          </w:divBdr>
        </w:div>
        <w:div w:id="236986815">
          <w:marLeft w:val="1166"/>
          <w:marRight w:val="0"/>
          <w:marTop w:val="62"/>
          <w:marBottom w:val="0"/>
          <w:divBdr>
            <w:top w:val="none" w:sz="0" w:space="0" w:color="auto"/>
            <w:left w:val="none" w:sz="0" w:space="0" w:color="auto"/>
            <w:bottom w:val="none" w:sz="0" w:space="0" w:color="auto"/>
            <w:right w:val="none" w:sz="0" w:space="0" w:color="auto"/>
          </w:divBdr>
        </w:div>
        <w:div w:id="698745493">
          <w:marLeft w:val="1800"/>
          <w:marRight w:val="0"/>
          <w:marTop w:val="62"/>
          <w:marBottom w:val="0"/>
          <w:divBdr>
            <w:top w:val="none" w:sz="0" w:space="0" w:color="auto"/>
            <w:left w:val="none" w:sz="0" w:space="0" w:color="auto"/>
            <w:bottom w:val="none" w:sz="0" w:space="0" w:color="auto"/>
            <w:right w:val="none" w:sz="0" w:space="0" w:color="auto"/>
          </w:divBdr>
        </w:div>
        <w:div w:id="1847093253">
          <w:marLeft w:val="2520"/>
          <w:marRight w:val="0"/>
          <w:marTop w:val="62"/>
          <w:marBottom w:val="0"/>
          <w:divBdr>
            <w:top w:val="none" w:sz="0" w:space="0" w:color="auto"/>
            <w:left w:val="none" w:sz="0" w:space="0" w:color="auto"/>
            <w:bottom w:val="none" w:sz="0" w:space="0" w:color="auto"/>
            <w:right w:val="none" w:sz="0" w:space="0" w:color="auto"/>
          </w:divBdr>
        </w:div>
        <w:div w:id="286788172">
          <w:marLeft w:val="1800"/>
          <w:marRight w:val="0"/>
          <w:marTop w:val="62"/>
          <w:marBottom w:val="0"/>
          <w:divBdr>
            <w:top w:val="none" w:sz="0" w:space="0" w:color="auto"/>
            <w:left w:val="none" w:sz="0" w:space="0" w:color="auto"/>
            <w:bottom w:val="none" w:sz="0" w:space="0" w:color="auto"/>
            <w:right w:val="none" w:sz="0" w:space="0" w:color="auto"/>
          </w:divBdr>
        </w:div>
        <w:div w:id="904221947">
          <w:marLeft w:val="2520"/>
          <w:marRight w:val="0"/>
          <w:marTop w:val="62"/>
          <w:marBottom w:val="0"/>
          <w:divBdr>
            <w:top w:val="none" w:sz="0" w:space="0" w:color="auto"/>
            <w:left w:val="none" w:sz="0" w:space="0" w:color="auto"/>
            <w:bottom w:val="none" w:sz="0" w:space="0" w:color="auto"/>
            <w:right w:val="none" w:sz="0" w:space="0" w:color="auto"/>
          </w:divBdr>
        </w:div>
      </w:divsChild>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8445844">
      <w:bodyDiv w:val="1"/>
      <w:marLeft w:val="0"/>
      <w:marRight w:val="0"/>
      <w:marTop w:val="0"/>
      <w:marBottom w:val="0"/>
      <w:divBdr>
        <w:top w:val="none" w:sz="0" w:space="0" w:color="auto"/>
        <w:left w:val="none" w:sz="0" w:space="0" w:color="auto"/>
        <w:bottom w:val="none" w:sz="0" w:space="0" w:color="auto"/>
        <w:right w:val="none" w:sz="0" w:space="0" w:color="auto"/>
      </w:divBdr>
      <w:divsChild>
        <w:div w:id="2127920225">
          <w:marLeft w:val="547"/>
          <w:marRight w:val="0"/>
          <w:marTop w:val="144"/>
          <w:marBottom w:val="0"/>
          <w:divBdr>
            <w:top w:val="none" w:sz="0" w:space="0" w:color="auto"/>
            <w:left w:val="none" w:sz="0" w:space="0" w:color="auto"/>
            <w:bottom w:val="none" w:sz="0" w:space="0" w:color="auto"/>
            <w:right w:val="none" w:sz="0" w:space="0" w:color="auto"/>
          </w:divBdr>
        </w:div>
        <w:div w:id="63648833">
          <w:marLeft w:val="547"/>
          <w:marRight w:val="0"/>
          <w:marTop w:val="144"/>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2221647">
      <w:bodyDiv w:val="1"/>
      <w:marLeft w:val="0"/>
      <w:marRight w:val="0"/>
      <w:marTop w:val="0"/>
      <w:marBottom w:val="0"/>
      <w:divBdr>
        <w:top w:val="none" w:sz="0" w:space="0" w:color="auto"/>
        <w:left w:val="none" w:sz="0" w:space="0" w:color="auto"/>
        <w:bottom w:val="none" w:sz="0" w:space="0" w:color="auto"/>
        <w:right w:val="none" w:sz="0" w:space="0" w:color="auto"/>
      </w:divBdr>
      <w:divsChild>
        <w:div w:id="643127220">
          <w:marLeft w:val="547"/>
          <w:marRight w:val="0"/>
          <w:marTop w:val="91"/>
          <w:marBottom w:val="0"/>
          <w:divBdr>
            <w:top w:val="none" w:sz="0" w:space="0" w:color="auto"/>
            <w:left w:val="none" w:sz="0" w:space="0" w:color="auto"/>
            <w:bottom w:val="none" w:sz="0" w:space="0" w:color="auto"/>
            <w:right w:val="none" w:sz="0" w:space="0" w:color="auto"/>
          </w:divBdr>
        </w:div>
        <w:div w:id="1362591100">
          <w:marLeft w:val="1166"/>
          <w:marRight w:val="0"/>
          <w:marTop w:val="72"/>
          <w:marBottom w:val="0"/>
          <w:divBdr>
            <w:top w:val="none" w:sz="0" w:space="0" w:color="auto"/>
            <w:left w:val="none" w:sz="0" w:space="0" w:color="auto"/>
            <w:bottom w:val="none" w:sz="0" w:space="0" w:color="auto"/>
            <w:right w:val="none" w:sz="0" w:space="0" w:color="auto"/>
          </w:divBdr>
        </w:div>
        <w:div w:id="97453906">
          <w:marLeft w:val="1166"/>
          <w:marRight w:val="0"/>
          <w:marTop w:val="72"/>
          <w:marBottom w:val="0"/>
          <w:divBdr>
            <w:top w:val="none" w:sz="0" w:space="0" w:color="auto"/>
            <w:left w:val="none" w:sz="0" w:space="0" w:color="auto"/>
            <w:bottom w:val="none" w:sz="0" w:space="0" w:color="auto"/>
            <w:right w:val="none" w:sz="0" w:space="0" w:color="auto"/>
          </w:divBdr>
        </w:div>
      </w:divsChild>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3209513">
      <w:bodyDiv w:val="1"/>
      <w:marLeft w:val="0"/>
      <w:marRight w:val="0"/>
      <w:marTop w:val="0"/>
      <w:marBottom w:val="0"/>
      <w:divBdr>
        <w:top w:val="none" w:sz="0" w:space="0" w:color="auto"/>
        <w:left w:val="none" w:sz="0" w:space="0" w:color="auto"/>
        <w:bottom w:val="none" w:sz="0" w:space="0" w:color="auto"/>
        <w:right w:val="none" w:sz="0" w:space="0" w:color="auto"/>
      </w:divBdr>
      <w:divsChild>
        <w:div w:id="19624883">
          <w:marLeft w:val="547"/>
          <w:marRight w:val="0"/>
          <w:marTop w:val="96"/>
          <w:marBottom w:val="0"/>
          <w:divBdr>
            <w:top w:val="none" w:sz="0" w:space="0" w:color="auto"/>
            <w:left w:val="none" w:sz="0" w:space="0" w:color="auto"/>
            <w:bottom w:val="none" w:sz="0" w:space="0" w:color="auto"/>
            <w:right w:val="none" w:sz="0" w:space="0" w:color="auto"/>
          </w:divBdr>
        </w:div>
        <w:div w:id="623387112">
          <w:marLeft w:val="1166"/>
          <w:marRight w:val="0"/>
          <w:marTop w:val="86"/>
          <w:marBottom w:val="0"/>
          <w:divBdr>
            <w:top w:val="none" w:sz="0" w:space="0" w:color="auto"/>
            <w:left w:val="none" w:sz="0" w:space="0" w:color="auto"/>
            <w:bottom w:val="none" w:sz="0" w:space="0" w:color="auto"/>
            <w:right w:val="none" w:sz="0" w:space="0" w:color="auto"/>
          </w:divBdr>
        </w:div>
        <w:div w:id="440686728">
          <w:marLeft w:val="1800"/>
          <w:marRight w:val="0"/>
          <w:marTop w:val="72"/>
          <w:marBottom w:val="0"/>
          <w:divBdr>
            <w:top w:val="none" w:sz="0" w:space="0" w:color="auto"/>
            <w:left w:val="none" w:sz="0" w:space="0" w:color="auto"/>
            <w:bottom w:val="none" w:sz="0" w:space="0" w:color="auto"/>
            <w:right w:val="none" w:sz="0" w:space="0" w:color="auto"/>
          </w:divBdr>
        </w:div>
        <w:div w:id="1017775253">
          <w:marLeft w:val="1800"/>
          <w:marRight w:val="0"/>
          <w:marTop w:val="72"/>
          <w:marBottom w:val="0"/>
          <w:divBdr>
            <w:top w:val="none" w:sz="0" w:space="0" w:color="auto"/>
            <w:left w:val="none" w:sz="0" w:space="0" w:color="auto"/>
            <w:bottom w:val="none" w:sz="0" w:space="0" w:color="auto"/>
            <w:right w:val="none" w:sz="0" w:space="0" w:color="auto"/>
          </w:divBdr>
        </w:div>
        <w:div w:id="1522938936">
          <w:marLeft w:val="1166"/>
          <w:marRight w:val="0"/>
          <w:marTop w:val="86"/>
          <w:marBottom w:val="0"/>
          <w:divBdr>
            <w:top w:val="none" w:sz="0" w:space="0" w:color="auto"/>
            <w:left w:val="none" w:sz="0" w:space="0" w:color="auto"/>
            <w:bottom w:val="none" w:sz="0" w:space="0" w:color="auto"/>
            <w:right w:val="none" w:sz="0" w:space="0" w:color="auto"/>
          </w:divBdr>
        </w:div>
        <w:div w:id="663699747">
          <w:marLeft w:val="547"/>
          <w:marRight w:val="0"/>
          <w:marTop w:val="96"/>
          <w:marBottom w:val="0"/>
          <w:divBdr>
            <w:top w:val="none" w:sz="0" w:space="0" w:color="auto"/>
            <w:left w:val="none" w:sz="0" w:space="0" w:color="auto"/>
            <w:bottom w:val="none" w:sz="0" w:space="0" w:color="auto"/>
            <w:right w:val="none" w:sz="0" w:space="0" w:color="auto"/>
          </w:divBdr>
        </w:div>
        <w:div w:id="88282598">
          <w:marLeft w:val="1166"/>
          <w:marRight w:val="0"/>
          <w:marTop w:val="86"/>
          <w:marBottom w:val="0"/>
          <w:divBdr>
            <w:top w:val="none" w:sz="0" w:space="0" w:color="auto"/>
            <w:left w:val="none" w:sz="0" w:space="0" w:color="auto"/>
            <w:bottom w:val="none" w:sz="0" w:space="0" w:color="auto"/>
            <w:right w:val="none" w:sz="0" w:space="0" w:color="auto"/>
          </w:divBdr>
        </w:div>
        <w:div w:id="710303704">
          <w:marLeft w:val="1166"/>
          <w:marRight w:val="0"/>
          <w:marTop w:val="86"/>
          <w:marBottom w:val="0"/>
          <w:divBdr>
            <w:top w:val="none" w:sz="0" w:space="0" w:color="auto"/>
            <w:left w:val="none" w:sz="0" w:space="0" w:color="auto"/>
            <w:bottom w:val="none" w:sz="0" w:space="0" w:color="auto"/>
            <w:right w:val="none" w:sz="0" w:space="0" w:color="auto"/>
          </w:divBdr>
        </w:div>
        <w:div w:id="983044393">
          <w:marLeft w:val="547"/>
          <w:marRight w:val="0"/>
          <w:marTop w:val="96"/>
          <w:marBottom w:val="0"/>
          <w:divBdr>
            <w:top w:val="none" w:sz="0" w:space="0" w:color="auto"/>
            <w:left w:val="none" w:sz="0" w:space="0" w:color="auto"/>
            <w:bottom w:val="none" w:sz="0" w:space="0" w:color="auto"/>
            <w:right w:val="none" w:sz="0" w:space="0" w:color="auto"/>
          </w:divBdr>
        </w:div>
        <w:div w:id="1138038074">
          <w:marLeft w:val="547"/>
          <w:marRight w:val="0"/>
          <w:marTop w:val="96"/>
          <w:marBottom w:val="0"/>
          <w:divBdr>
            <w:top w:val="none" w:sz="0" w:space="0" w:color="auto"/>
            <w:left w:val="none" w:sz="0" w:space="0" w:color="auto"/>
            <w:bottom w:val="none" w:sz="0" w:space="0" w:color="auto"/>
            <w:right w:val="none" w:sz="0" w:space="0" w:color="auto"/>
          </w:divBdr>
        </w:div>
      </w:divsChild>
    </w:div>
    <w:div w:id="1478843365">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5468243">
      <w:bodyDiv w:val="1"/>
      <w:marLeft w:val="0"/>
      <w:marRight w:val="0"/>
      <w:marTop w:val="0"/>
      <w:marBottom w:val="0"/>
      <w:divBdr>
        <w:top w:val="none" w:sz="0" w:space="0" w:color="auto"/>
        <w:left w:val="none" w:sz="0" w:space="0" w:color="auto"/>
        <w:bottom w:val="none" w:sz="0" w:space="0" w:color="auto"/>
        <w:right w:val="none" w:sz="0" w:space="0" w:color="auto"/>
      </w:divBdr>
      <w:divsChild>
        <w:div w:id="112284454">
          <w:marLeft w:val="547"/>
          <w:marRight w:val="0"/>
          <w:marTop w:val="62"/>
          <w:marBottom w:val="0"/>
          <w:divBdr>
            <w:top w:val="none" w:sz="0" w:space="0" w:color="auto"/>
            <w:left w:val="none" w:sz="0" w:space="0" w:color="auto"/>
            <w:bottom w:val="none" w:sz="0" w:space="0" w:color="auto"/>
            <w:right w:val="none" w:sz="0" w:space="0" w:color="auto"/>
          </w:divBdr>
        </w:div>
        <w:div w:id="1844199616">
          <w:marLeft w:val="1166"/>
          <w:marRight w:val="0"/>
          <w:marTop w:val="62"/>
          <w:marBottom w:val="0"/>
          <w:divBdr>
            <w:top w:val="none" w:sz="0" w:space="0" w:color="auto"/>
            <w:left w:val="none" w:sz="0" w:space="0" w:color="auto"/>
            <w:bottom w:val="none" w:sz="0" w:space="0" w:color="auto"/>
            <w:right w:val="none" w:sz="0" w:space="0" w:color="auto"/>
          </w:divBdr>
        </w:div>
        <w:div w:id="688870291">
          <w:marLeft w:val="1800"/>
          <w:marRight w:val="0"/>
          <w:marTop w:val="62"/>
          <w:marBottom w:val="0"/>
          <w:divBdr>
            <w:top w:val="none" w:sz="0" w:space="0" w:color="auto"/>
            <w:left w:val="none" w:sz="0" w:space="0" w:color="auto"/>
            <w:bottom w:val="none" w:sz="0" w:space="0" w:color="auto"/>
            <w:right w:val="none" w:sz="0" w:space="0" w:color="auto"/>
          </w:divBdr>
        </w:div>
        <w:div w:id="282225284">
          <w:marLeft w:val="2520"/>
          <w:marRight w:val="0"/>
          <w:marTop w:val="62"/>
          <w:marBottom w:val="0"/>
          <w:divBdr>
            <w:top w:val="none" w:sz="0" w:space="0" w:color="auto"/>
            <w:left w:val="none" w:sz="0" w:space="0" w:color="auto"/>
            <w:bottom w:val="none" w:sz="0" w:space="0" w:color="auto"/>
            <w:right w:val="none" w:sz="0" w:space="0" w:color="auto"/>
          </w:divBdr>
        </w:div>
        <w:div w:id="864249463">
          <w:marLeft w:val="1800"/>
          <w:marRight w:val="0"/>
          <w:marTop w:val="62"/>
          <w:marBottom w:val="0"/>
          <w:divBdr>
            <w:top w:val="none" w:sz="0" w:space="0" w:color="auto"/>
            <w:left w:val="none" w:sz="0" w:space="0" w:color="auto"/>
            <w:bottom w:val="none" w:sz="0" w:space="0" w:color="auto"/>
            <w:right w:val="none" w:sz="0" w:space="0" w:color="auto"/>
          </w:divBdr>
        </w:div>
        <w:div w:id="948776151">
          <w:marLeft w:val="2520"/>
          <w:marRight w:val="0"/>
          <w:marTop w:val="62"/>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7226636">
      <w:bodyDiv w:val="1"/>
      <w:marLeft w:val="0"/>
      <w:marRight w:val="0"/>
      <w:marTop w:val="0"/>
      <w:marBottom w:val="0"/>
      <w:divBdr>
        <w:top w:val="none" w:sz="0" w:space="0" w:color="auto"/>
        <w:left w:val="none" w:sz="0" w:space="0" w:color="auto"/>
        <w:bottom w:val="none" w:sz="0" w:space="0" w:color="auto"/>
        <w:right w:val="none" w:sz="0" w:space="0" w:color="auto"/>
      </w:divBdr>
      <w:divsChild>
        <w:div w:id="390347463">
          <w:marLeft w:val="1800"/>
          <w:marRight w:val="0"/>
          <w:marTop w:val="62"/>
          <w:marBottom w:val="0"/>
          <w:divBdr>
            <w:top w:val="none" w:sz="0" w:space="0" w:color="auto"/>
            <w:left w:val="none" w:sz="0" w:space="0" w:color="auto"/>
            <w:bottom w:val="none" w:sz="0" w:space="0" w:color="auto"/>
            <w:right w:val="none" w:sz="0" w:space="0" w:color="auto"/>
          </w:divBdr>
        </w:div>
        <w:div w:id="374547245">
          <w:marLeft w:val="2520"/>
          <w:marRight w:val="0"/>
          <w:marTop w:val="62"/>
          <w:marBottom w:val="0"/>
          <w:divBdr>
            <w:top w:val="none" w:sz="0" w:space="0" w:color="auto"/>
            <w:left w:val="none" w:sz="0" w:space="0" w:color="auto"/>
            <w:bottom w:val="none" w:sz="0" w:space="0" w:color="auto"/>
            <w:right w:val="none" w:sz="0" w:space="0" w:color="auto"/>
          </w:divBdr>
        </w:div>
        <w:div w:id="1430929964">
          <w:marLeft w:val="3240"/>
          <w:marRight w:val="0"/>
          <w:marTop w:val="62"/>
          <w:marBottom w:val="0"/>
          <w:divBdr>
            <w:top w:val="none" w:sz="0" w:space="0" w:color="auto"/>
            <w:left w:val="none" w:sz="0" w:space="0" w:color="auto"/>
            <w:bottom w:val="none" w:sz="0" w:space="0" w:color="auto"/>
            <w:right w:val="none" w:sz="0" w:space="0" w:color="auto"/>
          </w:divBdr>
        </w:div>
        <w:div w:id="484858946">
          <w:marLeft w:val="3240"/>
          <w:marRight w:val="0"/>
          <w:marTop w:val="62"/>
          <w:marBottom w:val="0"/>
          <w:divBdr>
            <w:top w:val="none" w:sz="0" w:space="0" w:color="auto"/>
            <w:left w:val="none" w:sz="0" w:space="0" w:color="auto"/>
            <w:bottom w:val="none" w:sz="0" w:space="0" w:color="auto"/>
            <w:right w:val="none" w:sz="0" w:space="0" w:color="auto"/>
          </w:divBdr>
        </w:div>
        <w:div w:id="1514684327">
          <w:marLeft w:val="2520"/>
          <w:marRight w:val="0"/>
          <w:marTop w:val="62"/>
          <w:marBottom w:val="0"/>
          <w:divBdr>
            <w:top w:val="none" w:sz="0" w:space="0" w:color="auto"/>
            <w:left w:val="none" w:sz="0" w:space="0" w:color="auto"/>
            <w:bottom w:val="none" w:sz="0" w:space="0" w:color="auto"/>
            <w:right w:val="none" w:sz="0" w:space="0" w:color="auto"/>
          </w:divBdr>
        </w:div>
        <w:div w:id="1343580930">
          <w:marLeft w:val="3240"/>
          <w:marRight w:val="0"/>
          <w:marTop w:val="62"/>
          <w:marBottom w:val="0"/>
          <w:divBdr>
            <w:top w:val="none" w:sz="0" w:space="0" w:color="auto"/>
            <w:left w:val="none" w:sz="0" w:space="0" w:color="auto"/>
            <w:bottom w:val="none" w:sz="0" w:space="0" w:color="auto"/>
            <w:right w:val="none" w:sz="0" w:space="0" w:color="auto"/>
          </w:divBdr>
        </w:div>
        <w:div w:id="958293775">
          <w:marLeft w:val="3240"/>
          <w:marRight w:val="0"/>
          <w:marTop w:val="6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6148998">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6202820">
      <w:bodyDiv w:val="1"/>
      <w:marLeft w:val="0"/>
      <w:marRight w:val="0"/>
      <w:marTop w:val="0"/>
      <w:marBottom w:val="0"/>
      <w:divBdr>
        <w:top w:val="none" w:sz="0" w:space="0" w:color="auto"/>
        <w:left w:val="none" w:sz="0" w:space="0" w:color="auto"/>
        <w:bottom w:val="none" w:sz="0" w:space="0" w:color="auto"/>
        <w:right w:val="none" w:sz="0" w:space="0" w:color="auto"/>
      </w:divBdr>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76728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949">
          <w:marLeft w:val="547"/>
          <w:marRight w:val="0"/>
          <w:marTop w:val="91"/>
          <w:marBottom w:val="0"/>
          <w:divBdr>
            <w:top w:val="none" w:sz="0" w:space="0" w:color="auto"/>
            <w:left w:val="none" w:sz="0" w:space="0" w:color="auto"/>
            <w:bottom w:val="none" w:sz="0" w:space="0" w:color="auto"/>
            <w:right w:val="none" w:sz="0" w:space="0" w:color="auto"/>
          </w:divBdr>
        </w:div>
        <w:div w:id="1211571557">
          <w:marLeft w:val="1166"/>
          <w:marRight w:val="0"/>
          <w:marTop w:val="72"/>
          <w:marBottom w:val="0"/>
          <w:divBdr>
            <w:top w:val="none" w:sz="0" w:space="0" w:color="auto"/>
            <w:left w:val="none" w:sz="0" w:space="0" w:color="auto"/>
            <w:bottom w:val="none" w:sz="0" w:space="0" w:color="auto"/>
            <w:right w:val="none" w:sz="0" w:space="0" w:color="auto"/>
          </w:divBdr>
        </w:div>
        <w:div w:id="1900288758">
          <w:marLeft w:val="1166"/>
          <w:marRight w:val="0"/>
          <w:marTop w:val="72"/>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2207414">
      <w:bodyDiv w:val="1"/>
      <w:marLeft w:val="0"/>
      <w:marRight w:val="0"/>
      <w:marTop w:val="0"/>
      <w:marBottom w:val="0"/>
      <w:divBdr>
        <w:top w:val="none" w:sz="0" w:space="0" w:color="auto"/>
        <w:left w:val="none" w:sz="0" w:space="0" w:color="auto"/>
        <w:bottom w:val="none" w:sz="0" w:space="0" w:color="auto"/>
        <w:right w:val="none" w:sz="0" w:space="0" w:color="auto"/>
      </w:divBdr>
    </w:div>
    <w:div w:id="1813063782">
      <w:bodyDiv w:val="1"/>
      <w:marLeft w:val="0"/>
      <w:marRight w:val="0"/>
      <w:marTop w:val="0"/>
      <w:marBottom w:val="0"/>
      <w:divBdr>
        <w:top w:val="none" w:sz="0" w:space="0" w:color="auto"/>
        <w:left w:val="none" w:sz="0" w:space="0" w:color="auto"/>
        <w:bottom w:val="none" w:sz="0" w:space="0" w:color="auto"/>
        <w:right w:val="none" w:sz="0" w:space="0" w:color="auto"/>
      </w:divBdr>
      <w:divsChild>
        <w:div w:id="2107725434">
          <w:marLeft w:val="547"/>
          <w:marRight w:val="0"/>
          <w:marTop w:val="130"/>
          <w:marBottom w:val="0"/>
          <w:divBdr>
            <w:top w:val="none" w:sz="0" w:space="0" w:color="auto"/>
            <w:left w:val="none" w:sz="0" w:space="0" w:color="auto"/>
            <w:bottom w:val="none" w:sz="0" w:space="0" w:color="auto"/>
            <w:right w:val="none" w:sz="0" w:space="0" w:color="auto"/>
          </w:divBdr>
        </w:div>
        <w:div w:id="1375302496">
          <w:marLeft w:val="1166"/>
          <w:marRight w:val="0"/>
          <w:marTop w:val="115"/>
          <w:marBottom w:val="0"/>
          <w:divBdr>
            <w:top w:val="none" w:sz="0" w:space="0" w:color="auto"/>
            <w:left w:val="none" w:sz="0" w:space="0" w:color="auto"/>
            <w:bottom w:val="none" w:sz="0" w:space="0" w:color="auto"/>
            <w:right w:val="none" w:sz="0" w:space="0" w:color="auto"/>
          </w:divBdr>
        </w:div>
        <w:div w:id="1612131314">
          <w:marLeft w:val="1166"/>
          <w:marRight w:val="0"/>
          <w:marTop w:val="115"/>
          <w:marBottom w:val="0"/>
          <w:divBdr>
            <w:top w:val="none" w:sz="0" w:space="0" w:color="auto"/>
            <w:left w:val="none" w:sz="0" w:space="0" w:color="auto"/>
            <w:bottom w:val="none" w:sz="0" w:space="0" w:color="auto"/>
            <w:right w:val="none" w:sz="0" w:space="0" w:color="auto"/>
          </w:divBdr>
        </w:div>
        <w:div w:id="1175608689">
          <w:marLeft w:val="1166"/>
          <w:marRight w:val="0"/>
          <w:marTop w:val="115"/>
          <w:marBottom w:val="0"/>
          <w:divBdr>
            <w:top w:val="none" w:sz="0" w:space="0" w:color="auto"/>
            <w:left w:val="none" w:sz="0" w:space="0" w:color="auto"/>
            <w:bottom w:val="none" w:sz="0" w:space="0" w:color="auto"/>
            <w:right w:val="none" w:sz="0" w:space="0" w:color="auto"/>
          </w:divBdr>
        </w:div>
        <w:div w:id="1750079830">
          <w:marLeft w:val="1166"/>
          <w:marRight w:val="0"/>
          <w:marTop w:val="115"/>
          <w:marBottom w:val="0"/>
          <w:divBdr>
            <w:top w:val="none" w:sz="0" w:space="0" w:color="auto"/>
            <w:left w:val="none" w:sz="0" w:space="0" w:color="auto"/>
            <w:bottom w:val="none" w:sz="0" w:space="0" w:color="auto"/>
            <w:right w:val="none" w:sz="0" w:space="0" w:color="auto"/>
          </w:divBdr>
        </w:div>
        <w:div w:id="1846674412">
          <w:marLeft w:val="1166"/>
          <w:marRight w:val="0"/>
          <w:marTop w:val="115"/>
          <w:marBottom w:val="0"/>
          <w:divBdr>
            <w:top w:val="none" w:sz="0" w:space="0" w:color="auto"/>
            <w:left w:val="none" w:sz="0" w:space="0" w:color="auto"/>
            <w:bottom w:val="none" w:sz="0" w:space="0" w:color="auto"/>
            <w:right w:val="none" w:sz="0" w:space="0" w:color="auto"/>
          </w:divBdr>
        </w:div>
      </w:divsChild>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8709854">
      <w:bodyDiv w:val="1"/>
      <w:marLeft w:val="0"/>
      <w:marRight w:val="0"/>
      <w:marTop w:val="0"/>
      <w:marBottom w:val="0"/>
      <w:divBdr>
        <w:top w:val="none" w:sz="0" w:space="0" w:color="auto"/>
        <w:left w:val="none" w:sz="0" w:space="0" w:color="auto"/>
        <w:bottom w:val="none" w:sz="0" w:space="0" w:color="auto"/>
        <w:right w:val="none" w:sz="0" w:space="0" w:color="auto"/>
      </w:divBdr>
      <w:divsChild>
        <w:div w:id="638845814">
          <w:marLeft w:val="1800"/>
          <w:marRight w:val="0"/>
          <w:marTop w:val="62"/>
          <w:marBottom w:val="0"/>
          <w:divBdr>
            <w:top w:val="none" w:sz="0" w:space="0" w:color="auto"/>
            <w:left w:val="none" w:sz="0" w:space="0" w:color="auto"/>
            <w:bottom w:val="none" w:sz="0" w:space="0" w:color="auto"/>
            <w:right w:val="none" w:sz="0" w:space="0" w:color="auto"/>
          </w:divBdr>
        </w:div>
        <w:div w:id="1170370534">
          <w:marLeft w:val="2520"/>
          <w:marRight w:val="0"/>
          <w:marTop w:val="62"/>
          <w:marBottom w:val="0"/>
          <w:divBdr>
            <w:top w:val="none" w:sz="0" w:space="0" w:color="auto"/>
            <w:left w:val="none" w:sz="0" w:space="0" w:color="auto"/>
            <w:bottom w:val="none" w:sz="0" w:space="0" w:color="auto"/>
            <w:right w:val="none" w:sz="0" w:space="0" w:color="auto"/>
          </w:divBdr>
        </w:div>
        <w:div w:id="230628843">
          <w:marLeft w:val="3240"/>
          <w:marRight w:val="0"/>
          <w:marTop w:val="62"/>
          <w:marBottom w:val="0"/>
          <w:divBdr>
            <w:top w:val="none" w:sz="0" w:space="0" w:color="auto"/>
            <w:left w:val="none" w:sz="0" w:space="0" w:color="auto"/>
            <w:bottom w:val="none" w:sz="0" w:space="0" w:color="auto"/>
            <w:right w:val="none" w:sz="0" w:space="0" w:color="auto"/>
          </w:divBdr>
        </w:div>
        <w:div w:id="483817735">
          <w:marLeft w:val="3240"/>
          <w:marRight w:val="0"/>
          <w:marTop w:val="62"/>
          <w:marBottom w:val="0"/>
          <w:divBdr>
            <w:top w:val="none" w:sz="0" w:space="0" w:color="auto"/>
            <w:left w:val="none" w:sz="0" w:space="0" w:color="auto"/>
            <w:bottom w:val="none" w:sz="0" w:space="0" w:color="auto"/>
            <w:right w:val="none" w:sz="0" w:space="0" w:color="auto"/>
          </w:divBdr>
        </w:div>
        <w:div w:id="1631859356">
          <w:marLeft w:val="2520"/>
          <w:marRight w:val="0"/>
          <w:marTop w:val="62"/>
          <w:marBottom w:val="0"/>
          <w:divBdr>
            <w:top w:val="none" w:sz="0" w:space="0" w:color="auto"/>
            <w:left w:val="none" w:sz="0" w:space="0" w:color="auto"/>
            <w:bottom w:val="none" w:sz="0" w:space="0" w:color="auto"/>
            <w:right w:val="none" w:sz="0" w:space="0" w:color="auto"/>
          </w:divBdr>
        </w:div>
        <w:div w:id="656764286">
          <w:marLeft w:val="3240"/>
          <w:marRight w:val="0"/>
          <w:marTop w:val="62"/>
          <w:marBottom w:val="0"/>
          <w:divBdr>
            <w:top w:val="none" w:sz="0" w:space="0" w:color="auto"/>
            <w:left w:val="none" w:sz="0" w:space="0" w:color="auto"/>
            <w:bottom w:val="none" w:sz="0" w:space="0" w:color="auto"/>
            <w:right w:val="none" w:sz="0" w:space="0" w:color="auto"/>
          </w:divBdr>
        </w:div>
        <w:div w:id="741288">
          <w:marLeft w:val="3240"/>
          <w:marRight w:val="0"/>
          <w:marTop w:val="62"/>
          <w:marBottom w:val="0"/>
          <w:divBdr>
            <w:top w:val="none" w:sz="0" w:space="0" w:color="auto"/>
            <w:left w:val="none" w:sz="0" w:space="0" w:color="auto"/>
            <w:bottom w:val="none" w:sz="0" w:space="0" w:color="auto"/>
            <w:right w:val="none" w:sz="0" w:space="0" w:color="auto"/>
          </w:divBdr>
        </w:div>
      </w:divsChild>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858122">
      <w:bodyDiv w:val="1"/>
      <w:marLeft w:val="0"/>
      <w:marRight w:val="0"/>
      <w:marTop w:val="0"/>
      <w:marBottom w:val="0"/>
      <w:divBdr>
        <w:top w:val="none" w:sz="0" w:space="0" w:color="auto"/>
        <w:left w:val="none" w:sz="0" w:space="0" w:color="auto"/>
        <w:bottom w:val="none" w:sz="0" w:space="0" w:color="auto"/>
        <w:right w:val="none" w:sz="0" w:space="0" w:color="auto"/>
      </w:divBdr>
      <w:divsChild>
        <w:div w:id="1996370510">
          <w:marLeft w:val="547"/>
          <w:marRight w:val="0"/>
          <w:marTop w:val="144"/>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5036586">
      <w:bodyDiv w:val="1"/>
      <w:marLeft w:val="0"/>
      <w:marRight w:val="0"/>
      <w:marTop w:val="0"/>
      <w:marBottom w:val="0"/>
      <w:divBdr>
        <w:top w:val="none" w:sz="0" w:space="0" w:color="auto"/>
        <w:left w:val="none" w:sz="0" w:space="0" w:color="auto"/>
        <w:bottom w:val="none" w:sz="0" w:space="0" w:color="auto"/>
        <w:right w:val="none" w:sz="0" w:space="0" w:color="auto"/>
      </w:divBdr>
      <w:divsChild>
        <w:div w:id="450325969">
          <w:marLeft w:val="547"/>
          <w:marRight w:val="0"/>
          <w:marTop w:val="96"/>
          <w:marBottom w:val="0"/>
          <w:divBdr>
            <w:top w:val="none" w:sz="0" w:space="0" w:color="auto"/>
            <w:left w:val="none" w:sz="0" w:space="0" w:color="auto"/>
            <w:bottom w:val="none" w:sz="0" w:space="0" w:color="auto"/>
            <w:right w:val="none" w:sz="0" w:space="0" w:color="auto"/>
          </w:divBdr>
        </w:div>
        <w:div w:id="1812669936">
          <w:marLeft w:val="547"/>
          <w:marRight w:val="0"/>
          <w:marTop w:val="96"/>
          <w:marBottom w:val="0"/>
          <w:divBdr>
            <w:top w:val="none" w:sz="0" w:space="0" w:color="auto"/>
            <w:left w:val="none" w:sz="0" w:space="0" w:color="auto"/>
            <w:bottom w:val="none" w:sz="0" w:space="0" w:color="auto"/>
            <w:right w:val="none" w:sz="0" w:space="0" w:color="auto"/>
          </w:divBdr>
        </w:div>
      </w:divsChild>
    </w:div>
    <w:div w:id="2060474659">
      <w:bodyDiv w:val="1"/>
      <w:marLeft w:val="0"/>
      <w:marRight w:val="0"/>
      <w:marTop w:val="0"/>
      <w:marBottom w:val="0"/>
      <w:divBdr>
        <w:top w:val="none" w:sz="0" w:space="0" w:color="auto"/>
        <w:left w:val="none" w:sz="0" w:space="0" w:color="auto"/>
        <w:bottom w:val="none" w:sz="0" w:space="0" w:color="auto"/>
        <w:right w:val="none" w:sz="0" w:space="0" w:color="auto"/>
      </w:divBdr>
      <w:divsChild>
        <w:div w:id="322633735">
          <w:marLeft w:val="547"/>
          <w:marRight w:val="0"/>
          <w:marTop w:val="91"/>
          <w:marBottom w:val="0"/>
          <w:divBdr>
            <w:top w:val="none" w:sz="0" w:space="0" w:color="auto"/>
            <w:left w:val="none" w:sz="0" w:space="0" w:color="auto"/>
            <w:bottom w:val="none" w:sz="0" w:space="0" w:color="auto"/>
            <w:right w:val="none" w:sz="0" w:space="0" w:color="auto"/>
          </w:divBdr>
        </w:div>
        <w:div w:id="872765823">
          <w:marLeft w:val="1166"/>
          <w:marRight w:val="0"/>
          <w:marTop w:val="72"/>
          <w:marBottom w:val="0"/>
          <w:divBdr>
            <w:top w:val="none" w:sz="0" w:space="0" w:color="auto"/>
            <w:left w:val="none" w:sz="0" w:space="0" w:color="auto"/>
            <w:bottom w:val="none" w:sz="0" w:space="0" w:color="auto"/>
            <w:right w:val="none" w:sz="0" w:space="0" w:color="auto"/>
          </w:divBdr>
        </w:div>
        <w:div w:id="582451149">
          <w:marLeft w:val="1166"/>
          <w:marRight w:val="0"/>
          <w:marTop w:val="72"/>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BAAA9933-7B33-45C1-A1C9-6E7A74A59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13662</TotalTime>
  <Pages>1</Pages>
  <Words>2266</Words>
  <Characters>12919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31</cp:revision>
  <cp:lastPrinted>2009-04-22T06:01:00Z</cp:lastPrinted>
  <dcterms:created xsi:type="dcterms:W3CDTF">2020-07-07T06:33:00Z</dcterms:created>
  <dcterms:modified xsi:type="dcterms:W3CDTF">2021-01-15T19:44:00Z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