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760EEB" w:rsidRPr="00760EEB">
        <w:rPr>
          <w:rFonts w:ascii="Arial" w:hAnsi="Arial" w:cs="Arial"/>
          <w:b/>
          <w:sz w:val="24"/>
          <w:lang w:val="en-US" w:eastAsia="zh-CN"/>
        </w:rPr>
        <w:t>R4-2102756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10E9E" w:rsidRPr="00710E9E">
        <w:rPr>
          <w:rFonts w:ascii="Arial" w:eastAsia="宋体" w:hAnsi="Arial"/>
          <w:b/>
          <w:sz w:val="24"/>
          <w:lang w:val="en-US" w:eastAsia="zh-CN"/>
        </w:rPr>
        <w:t>Further discussion on test for SCell dormancy</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25715">
        <w:rPr>
          <w:rFonts w:ascii="Arial" w:eastAsia="宋体" w:hAnsi="Arial"/>
          <w:b/>
          <w:sz w:val="24"/>
          <w:lang w:val="en-US" w:eastAsia="zh-CN"/>
        </w:rPr>
        <w:t>7.5.</w:t>
      </w:r>
      <w:r w:rsidR="00710E9E">
        <w:rPr>
          <w:rFonts w:ascii="Arial" w:eastAsia="宋体" w:hAnsi="Arial"/>
          <w:b/>
          <w:sz w:val="24"/>
          <w:lang w:val="en-US" w:eastAsia="zh-CN"/>
        </w:rPr>
        <w:t>3.2.2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25715" w:rsidRDefault="00125715" w:rsidP="00710E9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In</w:t>
      </w:r>
      <w:r>
        <w:rPr>
          <w:rFonts w:eastAsia="宋体"/>
          <w:lang w:eastAsia="zh-CN"/>
        </w:rPr>
        <w:t xml:space="preserve"> RAN4#97, </w:t>
      </w:r>
      <w:r w:rsidR="00710E9E">
        <w:rPr>
          <w:rFonts w:eastAsia="宋体"/>
          <w:lang w:eastAsia="zh-CN"/>
        </w:rPr>
        <w:t>the TC list for SCell dormancy has been agreed in [1]:</w:t>
      </w:r>
    </w:p>
    <w:tbl>
      <w:tblPr>
        <w:tblStyle w:val="af4"/>
        <w:tblW w:w="0" w:type="auto"/>
        <w:tblLook w:val="04A0" w:firstRow="1" w:lastRow="0" w:firstColumn="1" w:lastColumn="0" w:noHBand="0" w:noVBand="1"/>
      </w:tblPr>
      <w:tblGrid>
        <w:gridCol w:w="608"/>
        <w:gridCol w:w="7146"/>
        <w:gridCol w:w="1867"/>
      </w:tblGrid>
      <w:tr w:rsidR="00710E9E" w:rsidRPr="00710E9E" w:rsidTr="00710E9E">
        <w:trPr>
          <w:trHeight w:val="450"/>
        </w:trPr>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b/>
                <w:bCs/>
                <w:lang w:val="sv-SE" w:eastAsia="zh-CN"/>
              </w:rPr>
              <w:t>#</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b/>
                <w:bCs/>
                <w:lang w:val="sv-SE" w:eastAsia="zh-CN"/>
              </w:rPr>
              <w:t>Test case description</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b/>
                <w:bCs/>
                <w:lang w:val="sv-SE" w:eastAsia="zh-CN"/>
              </w:rPr>
              <w:t>Sourcing company</w:t>
            </w:r>
          </w:p>
        </w:tc>
      </w:tr>
      <w:tr w:rsidR="00710E9E" w:rsidRPr="00710E9E" w:rsidTr="00710E9E">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TC1</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EN-DC, NR spCell in FR1, SCell FR1, DCI 2_6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Apple</w:t>
            </w:r>
          </w:p>
        </w:tc>
      </w:tr>
      <w:tr w:rsidR="00710E9E" w:rsidRPr="00710E9E" w:rsidTr="00710E9E">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TC2</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EN-DC, NR spCell in FR1, 2xSCell in FR1, DCI 0_1/1_0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MediaTek</w:t>
            </w:r>
          </w:p>
        </w:tc>
      </w:tr>
      <w:tr w:rsidR="00710E9E" w:rsidRPr="00710E9E" w:rsidTr="00710E9E">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TC3</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EN-DC, NR spCell in FR2, SCell in FR2, DCI 0_1/1_0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Huawei</w:t>
            </w:r>
          </w:p>
        </w:tc>
      </w:tr>
      <w:tr w:rsidR="00710E9E" w:rsidRPr="00710E9E" w:rsidTr="00710E9E">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TC4</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EN-DC, NR spCell in FR1, 2xSCell in FR2, DCI 2_6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Qualcomm</w:t>
            </w:r>
          </w:p>
        </w:tc>
      </w:tr>
      <w:tr w:rsidR="00710E9E" w:rsidRPr="00710E9E" w:rsidTr="00710E9E">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TC5</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SA, spCell in FR1, SCell FR1, DCI 2_6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NEC</w:t>
            </w:r>
          </w:p>
        </w:tc>
      </w:tr>
      <w:tr w:rsidR="00710E9E" w:rsidRPr="00710E9E" w:rsidTr="00710E9E">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TC6</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SA, spCell in FR1, 2xSCell in FR1, DCI 0_1/1_0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Ericsson</w:t>
            </w:r>
          </w:p>
        </w:tc>
      </w:tr>
      <w:tr w:rsidR="00710E9E" w:rsidRPr="00710E9E" w:rsidTr="00710E9E">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TC7</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SA, spCell in FR2, SCell in FR2, DCI 0_1/1_0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Nokia</w:t>
            </w:r>
          </w:p>
        </w:tc>
      </w:tr>
      <w:tr w:rsidR="00710E9E" w:rsidRPr="00710E9E" w:rsidTr="00710E9E">
        <w:trPr>
          <w:trHeight w:val="458"/>
        </w:trPr>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TC8</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SA, spCell in FR1, 2xSCell in FR2, DCI 2_6 within/after 3 OFDM symbols</w:t>
            </w:r>
          </w:p>
        </w:tc>
        <w:tc>
          <w:tcPr>
            <w:tcW w:w="0" w:type="auto"/>
            <w:hideMark/>
          </w:tcPr>
          <w:p w:rsidR="00710E9E" w:rsidRPr="00710E9E" w:rsidRDefault="00710E9E" w:rsidP="00710E9E">
            <w:pPr>
              <w:overflowPunct w:val="0"/>
              <w:autoSpaceDE w:val="0"/>
              <w:autoSpaceDN w:val="0"/>
              <w:adjustRightInd w:val="0"/>
              <w:spacing w:beforeLines="0" w:before="120" w:afterLines="0" w:after="120"/>
              <w:textAlignment w:val="baseline"/>
              <w:rPr>
                <w:rFonts w:eastAsia="宋体"/>
                <w:lang w:val="en-US" w:eastAsia="zh-CN"/>
              </w:rPr>
            </w:pPr>
            <w:r w:rsidRPr="00710E9E">
              <w:rPr>
                <w:rFonts w:eastAsia="宋体"/>
                <w:lang w:val="sv-SE" w:eastAsia="zh-CN"/>
              </w:rPr>
              <w:t>Ericsson</w:t>
            </w:r>
          </w:p>
        </w:tc>
      </w:tr>
    </w:tbl>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710E9E">
        <w:rPr>
          <w:rFonts w:eastAsia="宋体"/>
          <w:lang w:eastAsia="zh-CN"/>
        </w:rPr>
        <w:t>some detailed design aspects for SCell dormancy tests</w:t>
      </w:r>
      <w:r>
        <w:rPr>
          <w:rFonts w:eastAsia="宋体"/>
          <w:lang w:eastAsia="zh-CN"/>
        </w:rPr>
        <w:t>.</w:t>
      </w:r>
    </w:p>
    <w:p w:rsidR="00754DE9" w:rsidRDefault="00B06084" w:rsidP="00754DE9">
      <w:pPr>
        <w:pStyle w:val="1"/>
        <w:jc w:val="both"/>
        <w:rPr>
          <w:lang w:val="en-US"/>
        </w:rPr>
      </w:pPr>
      <w:r>
        <w:rPr>
          <w:lang w:val="en-US"/>
        </w:rPr>
        <w:t>Discussion</w:t>
      </w:r>
    </w:p>
    <w:p w:rsidR="00D03C15" w:rsidRDefault="009077C0" w:rsidP="00D03C15">
      <w:pPr>
        <w:pStyle w:val="2"/>
        <w:rPr>
          <w:lang w:eastAsia="zh-CN"/>
        </w:rPr>
      </w:pPr>
      <w:r>
        <w:rPr>
          <w:lang w:eastAsia="zh-CN"/>
        </w:rPr>
        <w:t>Overall test procedure</w:t>
      </w:r>
    </w:p>
    <w:p w:rsidR="009077C0" w:rsidRDefault="009077C0" w:rsidP="009077C0">
      <w:pPr>
        <w:spacing w:before="120" w:after="120"/>
        <w:rPr>
          <w:rFonts w:eastAsiaTheme="minorEastAsia"/>
          <w:lang w:eastAsia="zh-CN"/>
        </w:rPr>
      </w:pPr>
      <w:r>
        <w:rPr>
          <w:rFonts w:eastAsiaTheme="minorEastAsia" w:hint="eastAsia"/>
          <w:lang w:eastAsia="zh-CN"/>
        </w:rPr>
        <w:t>A</w:t>
      </w:r>
      <w:r>
        <w:rPr>
          <w:rFonts w:eastAsiaTheme="minorEastAsia"/>
          <w:lang w:eastAsia="zh-CN"/>
        </w:rPr>
        <w:t>s agreed in [1], the s</w:t>
      </w:r>
      <w:r w:rsidRPr="009077C0">
        <w:rPr>
          <w:rFonts w:eastAsiaTheme="minorEastAsia"/>
          <w:lang w:eastAsia="zh-CN"/>
        </w:rPr>
        <w:t>witching delay, switching interruption and interruption during CSI and RRM measurements are to be covered in the same test case</w:t>
      </w:r>
      <w:r>
        <w:rPr>
          <w:rFonts w:eastAsiaTheme="minorEastAsia"/>
          <w:lang w:eastAsia="zh-CN"/>
        </w:rPr>
        <w:t xml:space="preserve">. There are two directions for the switching: </w:t>
      </w:r>
    </w:p>
    <w:p w:rsidR="009077C0" w:rsidRDefault="009077C0" w:rsidP="009077C0">
      <w:pPr>
        <w:pStyle w:val="af8"/>
        <w:numPr>
          <w:ilvl w:val="0"/>
          <w:numId w:val="20"/>
        </w:numPr>
        <w:spacing w:before="120" w:after="120"/>
        <w:rPr>
          <w:rFonts w:eastAsiaTheme="minorEastAsia"/>
          <w:lang w:eastAsia="zh-CN"/>
        </w:rPr>
      </w:pPr>
      <w:r>
        <w:rPr>
          <w:rFonts w:eastAsiaTheme="minorEastAsia" w:hint="eastAsia"/>
          <w:lang w:eastAsia="zh-CN"/>
        </w:rPr>
        <w:t>D</w:t>
      </w:r>
      <w:r>
        <w:rPr>
          <w:rFonts w:eastAsiaTheme="minorEastAsia"/>
          <w:lang w:eastAsia="zh-CN"/>
        </w:rPr>
        <w:t>1: from non-dormancy to dormancy</w:t>
      </w:r>
    </w:p>
    <w:p w:rsidR="009077C0" w:rsidRPr="009077C0" w:rsidRDefault="009077C0" w:rsidP="009077C0">
      <w:pPr>
        <w:pStyle w:val="af8"/>
        <w:numPr>
          <w:ilvl w:val="0"/>
          <w:numId w:val="20"/>
        </w:numPr>
        <w:spacing w:before="120" w:after="120"/>
        <w:rPr>
          <w:rFonts w:eastAsiaTheme="minorEastAsia"/>
          <w:lang w:eastAsia="zh-CN"/>
        </w:rPr>
      </w:pPr>
      <w:r>
        <w:rPr>
          <w:rFonts w:eastAsiaTheme="minorEastAsia"/>
          <w:lang w:eastAsia="zh-CN"/>
        </w:rPr>
        <w:t>D2: from dormancy to non-dormancy</w:t>
      </w:r>
    </w:p>
    <w:p w:rsidR="009077C0" w:rsidRDefault="009077C0" w:rsidP="009077C0">
      <w:pPr>
        <w:spacing w:before="120" w:after="120"/>
        <w:rPr>
          <w:rFonts w:eastAsiaTheme="minorEastAsia"/>
          <w:lang w:eastAsia="zh-CN"/>
        </w:rPr>
      </w:pPr>
      <w:r>
        <w:rPr>
          <w:rFonts w:eastAsiaTheme="minorEastAsia" w:hint="eastAsia"/>
          <w:lang w:eastAsia="zh-CN"/>
        </w:rPr>
        <w:t>O</w:t>
      </w:r>
      <w:r>
        <w:rPr>
          <w:rFonts w:eastAsiaTheme="minorEastAsia"/>
          <w:lang w:eastAsia="zh-CN"/>
        </w:rPr>
        <w:t>ur suggestion is to only verify the performance of D2.</w:t>
      </w:r>
    </w:p>
    <w:p w:rsidR="009077C0" w:rsidRDefault="009077C0" w:rsidP="009077C0">
      <w:pPr>
        <w:pStyle w:val="af8"/>
        <w:numPr>
          <w:ilvl w:val="0"/>
          <w:numId w:val="20"/>
        </w:numPr>
        <w:spacing w:before="120" w:after="120"/>
        <w:rPr>
          <w:rFonts w:eastAsiaTheme="minorEastAsia"/>
          <w:lang w:eastAsia="zh-CN"/>
        </w:rPr>
      </w:pPr>
      <w:r>
        <w:rPr>
          <w:rFonts w:eastAsiaTheme="minorEastAsia"/>
          <w:lang w:eastAsia="zh-CN"/>
        </w:rPr>
        <w:t xml:space="preserve">From test complexity perspective, </w:t>
      </w:r>
      <w:r>
        <w:rPr>
          <w:rFonts w:eastAsiaTheme="minorEastAsia" w:hint="eastAsia"/>
          <w:lang w:eastAsia="zh-CN"/>
        </w:rPr>
        <w:t>D</w:t>
      </w:r>
      <w:r>
        <w:rPr>
          <w:rFonts w:eastAsiaTheme="minorEastAsia"/>
          <w:lang w:eastAsia="zh-CN"/>
        </w:rPr>
        <w:t xml:space="preserve">2 can be tested in the similar way as active BWP switching, i.e. the verdict can be made by checking whether UE is able to receive PDSCH transmitted on the SCell right </w:t>
      </w:r>
      <w:r>
        <w:rPr>
          <w:rFonts w:eastAsiaTheme="minorEastAsia"/>
          <w:lang w:eastAsia="zh-CN"/>
        </w:rPr>
        <w:lastRenderedPageBreak/>
        <w:t xml:space="preserve">after the switching delay. However, it is more difficult (though maybe possible) to verify whether UE has switched to dormancy on time because UE is not schedulable during dormancy. </w:t>
      </w:r>
    </w:p>
    <w:p w:rsidR="009077C0" w:rsidRDefault="009077C0" w:rsidP="009077C0">
      <w:pPr>
        <w:pStyle w:val="af8"/>
        <w:numPr>
          <w:ilvl w:val="0"/>
          <w:numId w:val="20"/>
        </w:numPr>
        <w:spacing w:before="120" w:after="120"/>
        <w:rPr>
          <w:rFonts w:eastAsiaTheme="minorEastAsia"/>
          <w:lang w:eastAsia="zh-CN"/>
        </w:rPr>
      </w:pPr>
      <w:r>
        <w:rPr>
          <w:rFonts w:eastAsiaTheme="minorEastAsia"/>
          <w:lang w:eastAsia="zh-CN"/>
        </w:rPr>
        <w:t>From importance perspective, switching from dormancy to non-dormancy is more important for testing as it impacts the schedulability and it needs to be aligned between NW and UE, while switching from non-dormancy to dormancy mainly impacts the UE power saving and there is no need to sync with the NW (NW will stop scheduling the UE in SCell after triggering the non-dormancy to dormancy switch).</w:t>
      </w:r>
    </w:p>
    <w:p w:rsidR="009077C0" w:rsidRPr="009077C0" w:rsidRDefault="009077C0" w:rsidP="009077C0">
      <w:pPr>
        <w:pStyle w:val="af8"/>
        <w:numPr>
          <w:ilvl w:val="0"/>
          <w:numId w:val="20"/>
        </w:numPr>
        <w:spacing w:before="120" w:after="120"/>
        <w:rPr>
          <w:rFonts w:eastAsiaTheme="minorEastAsia"/>
          <w:lang w:eastAsia="zh-CN"/>
        </w:rPr>
      </w:pPr>
      <w:r>
        <w:rPr>
          <w:rFonts w:eastAsiaTheme="minorEastAsia"/>
          <w:lang w:eastAsia="zh-CN"/>
        </w:rPr>
        <w:t>From necessity perspective, if a UE can pass the test for D2, it is highly unlikely to fail a test for D1.</w:t>
      </w:r>
    </w:p>
    <w:p w:rsidR="009077C0" w:rsidRPr="005F0822" w:rsidRDefault="005F0822" w:rsidP="009077C0">
      <w:pPr>
        <w:spacing w:before="120" w:after="120"/>
        <w:rPr>
          <w:rFonts w:eastAsiaTheme="minorEastAsia"/>
          <w:b/>
          <w:lang w:eastAsia="zh-CN"/>
        </w:rPr>
      </w:pPr>
      <w:r w:rsidRPr="005F0822">
        <w:rPr>
          <w:rFonts w:eastAsiaTheme="minorEastAsia" w:hint="eastAsia"/>
          <w:b/>
          <w:lang w:eastAsia="zh-CN"/>
        </w:rPr>
        <w:t>P</w:t>
      </w:r>
      <w:r w:rsidRPr="005F0822">
        <w:rPr>
          <w:rFonts w:eastAsiaTheme="minorEastAsia"/>
          <w:b/>
          <w:lang w:eastAsia="zh-CN"/>
        </w:rPr>
        <w:t>roposal 1: Test the switching from dormancy to non-dormancy but not the switching from non-dormancy to dormancy.</w:t>
      </w:r>
    </w:p>
    <w:p w:rsidR="009077C0" w:rsidRDefault="005F0822" w:rsidP="009077C0">
      <w:pPr>
        <w:spacing w:before="120" w:after="120"/>
        <w:rPr>
          <w:rFonts w:eastAsiaTheme="minorEastAsia"/>
          <w:lang w:eastAsia="zh-CN"/>
        </w:rPr>
      </w:pPr>
      <w:r>
        <w:rPr>
          <w:rFonts w:eastAsiaTheme="minorEastAsia" w:hint="eastAsia"/>
          <w:lang w:eastAsia="zh-CN"/>
        </w:rPr>
        <w:t>If</w:t>
      </w:r>
      <w:r>
        <w:rPr>
          <w:rFonts w:eastAsiaTheme="minorEastAsia"/>
          <w:lang w:eastAsia="zh-CN"/>
        </w:rPr>
        <w:t xml:space="preserve"> Proposal 1 is agreeable, the test cases can be designed in general with 2 time periods as shown in Figure 1.</w:t>
      </w:r>
    </w:p>
    <w:p w:rsidR="005F0822" w:rsidRDefault="005F0822" w:rsidP="005F0822">
      <w:pPr>
        <w:spacing w:before="120" w:after="120"/>
        <w:jc w:val="center"/>
        <w:rPr>
          <w:rFonts w:eastAsiaTheme="minorEastAsia"/>
          <w:lang w:eastAsia="zh-CN"/>
        </w:rPr>
      </w:pPr>
      <w:r>
        <w:rPr>
          <w:rFonts w:eastAsiaTheme="minorEastAsia"/>
          <w:noProof/>
          <w:lang w:val="en-US" w:eastAsia="zh-CN"/>
        </w:rPr>
        <w:drawing>
          <wp:inline distT="0" distB="0" distL="0" distR="0" wp14:anchorId="3765271A">
            <wp:extent cx="4817979" cy="164926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1255" cy="1657229"/>
                    </a:xfrm>
                    <a:prstGeom prst="rect">
                      <a:avLst/>
                    </a:prstGeom>
                    <a:noFill/>
                  </pic:spPr>
                </pic:pic>
              </a:graphicData>
            </a:graphic>
          </wp:inline>
        </w:drawing>
      </w:r>
    </w:p>
    <w:p w:rsidR="005F0822" w:rsidRPr="005F0822" w:rsidRDefault="005F0822" w:rsidP="005F0822">
      <w:pPr>
        <w:spacing w:before="120" w:after="120"/>
        <w:jc w:val="center"/>
        <w:rPr>
          <w:rFonts w:eastAsiaTheme="minorEastAsia"/>
          <w:b/>
          <w:lang w:eastAsia="zh-CN"/>
        </w:rPr>
      </w:pPr>
      <w:r w:rsidRPr="005F0822">
        <w:rPr>
          <w:rFonts w:eastAsiaTheme="minorEastAsia" w:hint="eastAsia"/>
          <w:b/>
          <w:lang w:eastAsia="zh-CN"/>
        </w:rPr>
        <w:t>F</w:t>
      </w:r>
      <w:r w:rsidRPr="005F0822">
        <w:rPr>
          <w:rFonts w:eastAsiaTheme="minorEastAsia"/>
          <w:b/>
          <w:lang w:eastAsia="zh-CN"/>
        </w:rPr>
        <w:t>igure 1: Illustration of SCell dormancy test procedure</w:t>
      </w:r>
    </w:p>
    <w:p w:rsidR="005F0822" w:rsidRDefault="005F0822" w:rsidP="009077C0">
      <w:pPr>
        <w:spacing w:before="120" w:after="120"/>
        <w:rPr>
          <w:rFonts w:eastAsiaTheme="minorEastAsia"/>
          <w:lang w:eastAsia="zh-CN"/>
        </w:rPr>
      </w:pPr>
      <w:r>
        <w:rPr>
          <w:rFonts w:eastAsiaTheme="minorEastAsia"/>
          <w:lang w:eastAsia="zh-CN"/>
        </w:rPr>
        <w:t>During T1, the requirements for interruption due to RRM/CSI measurement during dormancy will be verified, and this can be done by checking the number of ACK/NACK feedback on spCell.</w:t>
      </w:r>
      <w:r w:rsidRPr="005F0822">
        <w:rPr>
          <w:rFonts w:eastAsiaTheme="minorEastAsia"/>
          <w:lang w:eastAsia="zh-CN"/>
        </w:rPr>
        <w:t xml:space="preserve"> </w:t>
      </w:r>
      <w:r>
        <w:rPr>
          <w:rFonts w:eastAsiaTheme="minorEastAsia"/>
          <w:lang w:eastAsia="zh-CN"/>
        </w:rPr>
        <w:t>During T2, the requirements for dormancy switching delay and interruption will be verified, and this can be done by checking the time when UE can receive PDSCH on the SCell.</w:t>
      </w:r>
    </w:p>
    <w:p w:rsidR="009077C0" w:rsidRDefault="005F0822" w:rsidP="005F0822">
      <w:pPr>
        <w:pStyle w:val="2"/>
        <w:rPr>
          <w:lang w:eastAsia="zh-CN"/>
        </w:rPr>
      </w:pPr>
      <w:r>
        <w:rPr>
          <w:rFonts w:hint="eastAsia"/>
          <w:lang w:eastAsia="zh-CN"/>
        </w:rPr>
        <w:t>D</w:t>
      </w:r>
      <w:r>
        <w:rPr>
          <w:lang w:eastAsia="zh-CN"/>
        </w:rPr>
        <w:t xml:space="preserve">CI 0_1/1_1 </w:t>
      </w:r>
    </w:p>
    <w:p w:rsidR="005F0822" w:rsidRDefault="005F0822" w:rsidP="009077C0">
      <w:pPr>
        <w:spacing w:before="120" w:after="120"/>
        <w:rPr>
          <w:rFonts w:eastAsiaTheme="minorEastAsia"/>
          <w:lang w:eastAsia="zh-CN"/>
        </w:rPr>
      </w:pPr>
      <w:r>
        <w:rPr>
          <w:rFonts w:eastAsiaTheme="minorEastAsia"/>
          <w:lang w:eastAsia="zh-CN"/>
        </w:rPr>
        <w:t xml:space="preserve">For dormancy indication received during DRX active time, one remaining issue is </w:t>
      </w:r>
      <w:r w:rsidR="004C063C">
        <w:rPr>
          <w:rFonts w:eastAsiaTheme="minorEastAsia"/>
          <w:lang w:eastAsia="zh-CN"/>
        </w:rPr>
        <w:t xml:space="preserve">the scheduling method, i.e. </w:t>
      </w:r>
      <w:r>
        <w:rPr>
          <w:rFonts w:eastAsiaTheme="minorEastAsia"/>
          <w:lang w:eastAsia="zh-CN"/>
        </w:rPr>
        <w:t xml:space="preserve">whether the DCI is also used for data scheduling on the spCell (Case 1) or not (Case 2). </w:t>
      </w:r>
    </w:p>
    <w:p w:rsidR="005F0822" w:rsidRDefault="004C063C" w:rsidP="005F0822">
      <w:pPr>
        <w:pStyle w:val="af8"/>
        <w:numPr>
          <w:ilvl w:val="0"/>
          <w:numId w:val="20"/>
        </w:numPr>
        <w:spacing w:before="120" w:after="120"/>
        <w:rPr>
          <w:rFonts w:eastAsiaTheme="minorEastAsia"/>
          <w:lang w:eastAsia="zh-CN"/>
        </w:rPr>
      </w:pPr>
      <w:r>
        <w:rPr>
          <w:rFonts w:eastAsiaTheme="minorEastAsia"/>
          <w:lang w:eastAsia="zh-CN"/>
        </w:rPr>
        <w:t>Case 1 supports DCI 0_1 and 1_1, with an additional dormancy indication field included in the DCI which is also scheduling data for the spCell. With Case 1 the dormancy indication is per SCell group.</w:t>
      </w:r>
    </w:p>
    <w:p w:rsidR="005F0822" w:rsidRPr="005F0822" w:rsidRDefault="004C063C" w:rsidP="005F0822">
      <w:pPr>
        <w:pStyle w:val="af8"/>
        <w:numPr>
          <w:ilvl w:val="0"/>
          <w:numId w:val="20"/>
        </w:numPr>
        <w:spacing w:before="120" w:after="120"/>
        <w:rPr>
          <w:rFonts w:eastAsiaTheme="minorEastAsia"/>
          <w:lang w:eastAsia="zh-CN"/>
        </w:rPr>
      </w:pPr>
      <w:r>
        <w:rPr>
          <w:rFonts w:eastAsiaTheme="minorEastAsia"/>
          <w:lang w:eastAsia="zh-CN"/>
        </w:rPr>
        <w:t>Case 2 supports 1_1, with a new interpretation of some fields of the DCI and it cannot be used for scheduling data for any serving cell. With Case 2 the dormancy indication is per SCell.</w:t>
      </w:r>
    </w:p>
    <w:p w:rsidR="00EB58D5" w:rsidRDefault="005F0822" w:rsidP="009077C0">
      <w:pPr>
        <w:spacing w:before="120" w:after="120"/>
        <w:rPr>
          <w:rFonts w:eastAsiaTheme="minorEastAsia"/>
          <w:lang w:eastAsia="zh-CN"/>
        </w:rPr>
      </w:pPr>
      <w:r>
        <w:rPr>
          <w:rFonts w:eastAsiaTheme="minorEastAsia"/>
          <w:lang w:eastAsia="zh-CN"/>
        </w:rPr>
        <w:t xml:space="preserve">It is noted that the RAN4 requirements are same for the two cases, </w:t>
      </w:r>
      <w:r w:rsidR="00EB58D5">
        <w:rPr>
          <w:rFonts w:eastAsiaTheme="minorEastAsia"/>
          <w:lang w:eastAsia="zh-CN"/>
        </w:rPr>
        <w:t xml:space="preserve">and there are no separate UE capabilities for the support of the two cases, </w:t>
      </w:r>
      <w:r>
        <w:rPr>
          <w:rFonts w:eastAsiaTheme="minorEastAsia"/>
          <w:lang w:eastAsia="zh-CN"/>
        </w:rPr>
        <w:t xml:space="preserve">so </w:t>
      </w:r>
      <w:r w:rsidR="004C063C">
        <w:rPr>
          <w:rFonts w:eastAsiaTheme="minorEastAsia"/>
          <w:lang w:eastAsia="zh-CN"/>
        </w:rPr>
        <w:t>in our view RAN4 does not have to choose one scheduling method, but it can be left to RAN5 or TE implementation.</w:t>
      </w:r>
    </w:p>
    <w:p w:rsidR="005F0822" w:rsidRPr="005F0822" w:rsidRDefault="005F0822" w:rsidP="009077C0">
      <w:pPr>
        <w:spacing w:before="120" w:after="120"/>
        <w:rPr>
          <w:rFonts w:eastAsiaTheme="minorEastAsia"/>
          <w:b/>
          <w:lang w:eastAsia="zh-CN"/>
        </w:rPr>
      </w:pPr>
      <w:r w:rsidRPr="004C063C">
        <w:rPr>
          <w:rFonts w:eastAsiaTheme="minorEastAsia" w:hint="eastAsia"/>
          <w:b/>
          <w:lang w:eastAsia="zh-CN"/>
        </w:rPr>
        <w:t>P</w:t>
      </w:r>
      <w:r w:rsidRPr="004C063C">
        <w:rPr>
          <w:rFonts w:eastAsiaTheme="minorEastAsia"/>
          <w:b/>
          <w:lang w:eastAsia="zh-CN"/>
        </w:rPr>
        <w:t xml:space="preserve">roposal 2: </w:t>
      </w:r>
      <w:r w:rsidR="004C063C">
        <w:rPr>
          <w:rFonts w:eastAsiaTheme="minorEastAsia"/>
          <w:b/>
          <w:lang w:eastAsia="zh-CN"/>
        </w:rPr>
        <w:t>Leave</w:t>
      </w:r>
      <w:r w:rsidR="004C063C" w:rsidRPr="004C063C">
        <w:rPr>
          <w:rFonts w:eastAsiaTheme="minorEastAsia"/>
          <w:b/>
          <w:lang w:eastAsia="zh-CN"/>
        </w:rPr>
        <w:t xml:space="preserve"> the </w:t>
      </w:r>
      <w:r w:rsidR="004C063C">
        <w:rPr>
          <w:rFonts w:eastAsiaTheme="minorEastAsia"/>
          <w:b/>
          <w:lang w:eastAsia="zh-CN"/>
        </w:rPr>
        <w:t xml:space="preserve">choice of </w:t>
      </w:r>
      <w:r w:rsidR="004C063C" w:rsidRPr="004C063C">
        <w:rPr>
          <w:rFonts w:eastAsiaTheme="minorEastAsia"/>
          <w:b/>
          <w:lang w:eastAsia="zh-CN"/>
        </w:rPr>
        <w:t>scheduling method (Case 1 or Case 2) for the test cases with DCI 0_1/1_1</w:t>
      </w:r>
      <w:r w:rsidR="004C063C">
        <w:rPr>
          <w:rFonts w:eastAsiaTheme="minorEastAsia"/>
          <w:b/>
          <w:lang w:eastAsia="zh-CN"/>
        </w:rPr>
        <w:t xml:space="preserve"> to RAN5 or TE implementation</w:t>
      </w:r>
      <w:r w:rsidRPr="004C063C">
        <w:rPr>
          <w:rFonts w:eastAsiaTheme="minorEastAsia"/>
          <w:b/>
          <w:lang w:eastAsia="zh-CN"/>
        </w:rPr>
        <w:t>.</w:t>
      </w:r>
    </w:p>
    <w:p w:rsidR="005F0822" w:rsidRDefault="005F0822" w:rsidP="005F0822">
      <w:pPr>
        <w:pStyle w:val="2"/>
        <w:rPr>
          <w:lang w:eastAsia="zh-CN"/>
        </w:rPr>
      </w:pPr>
      <w:r>
        <w:rPr>
          <w:rFonts w:hint="eastAsia"/>
          <w:lang w:eastAsia="zh-CN"/>
        </w:rPr>
        <w:t>D</w:t>
      </w:r>
      <w:r>
        <w:rPr>
          <w:lang w:eastAsia="zh-CN"/>
        </w:rPr>
        <w:t xml:space="preserve">CI 2_6 </w:t>
      </w:r>
    </w:p>
    <w:p w:rsidR="005F0822" w:rsidRDefault="005F0822" w:rsidP="005F0822">
      <w:pPr>
        <w:spacing w:before="120" w:after="120"/>
        <w:rPr>
          <w:rFonts w:eastAsiaTheme="minorEastAsia"/>
          <w:lang w:eastAsia="zh-CN"/>
        </w:rPr>
      </w:pPr>
      <w:r>
        <w:rPr>
          <w:rFonts w:eastAsiaTheme="minorEastAsia"/>
          <w:lang w:eastAsia="zh-CN"/>
        </w:rPr>
        <w:t xml:space="preserve">For dormancy indication received during DRX inactive time, one issue for the test case design is the relative time location between the PDCCH WUS which carriers the dormancy indication and the DRX on-duration. </w:t>
      </w:r>
      <w:r w:rsidR="00EB58D5">
        <w:rPr>
          <w:rFonts w:eastAsiaTheme="minorEastAsia"/>
          <w:lang w:eastAsia="zh-CN"/>
        </w:rPr>
        <w:t xml:space="preserve">A typical scenario in real deployment is </w:t>
      </w:r>
      <w:r w:rsidR="005B4955">
        <w:rPr>
          <w:rFonts w:eastAsiaTheme="minorEastAsia"/>
          <w:lang w:eastAsia="zh-CN"/>
        </w:rPr>
        <w:t>that</w:t>
      </w:r>
      <w:r w:rsidR="00EB58D5">
        <w:rPr>
          <w:rFonts w:eastAsiaTheme="minorEastAsia"/>
          <w:lang w:eastAsia="zh-CN"/>
        </w:rPr>
        <w:t xml:space="preserve"> the dormancy indication </w:t>
      </w:r>
      <w:r w:rsidR="005B4955">
        <w:rPr>
          <w:rFonts w:eastAsiaTheme="minorEastAsia"/>
          <w:lang w:eastAsia="zh-CN"/>
        </w:rPr>
        <w:t xml:space="preserve">comes </w:t>
      </w:r>
      <w:r w:rsidR="00EB58D5">
        <w:rPr>
          <w:rFonts w:eastAsiaTheme="minorEastAsia"/>
          <w:lang w:eastAsia="zh-CN"/>
        </w:rPr>
        <w:t xml:space="preserve">early enough so that the </w:t>
      </w:r>
      <w:r w:rsidR="005B4955">
        <w:rPr>
          <w:rFonts w:eastAsiaTheme="minorEastAsia"/>
          <w:lang w:eastAsia="zh-CN"/>
        </w:rPr>
        <w:t xml:space="preserve">UE would have completed the </w:t>
      </w:r>
      <w:r w:rsidR="00EB58D5">
        <w:rPr>
          <w:rFonts w:eastAsiaTheme="minorEastAsia"/>
          <w:lang w:eastAsia="zh-CN"/>
        </w:rPr>
        <w:t xml:space="preserve">dormancy switch </w:t>
      </w:r>
      <w:r w:rsidR="005B4955">
        <w:rPr>
          <w:rFonts w:eastAsiaTheme="minorEastAsia"/>
          <w:lang w:eastAsia="zh-CN"/>
        </w:rPr>
        <w:t>before the next on-duration. In this way, there will be no impact to the schedulability</w:t>
      </w:r>
      <w:r w:rsidR="005B4955" w:rsidRPr="005B4955">
        <w:rPr>
          <w:rFonts w:eastAsiaTheme="minorEastAsia"/>
          <w:lang w:eastAsia="zh-CN"/>
        </w:rPr>
        <w:t xml:space="preserve"> </w:t>
      </w:r>
      <w:r w:rsidR="005B4955">
        <w:rPr>
          <w:rFonts w:eastAsiaTheme="minorEastAsia"/>
          <w:lang w:eastAsia="zh-CN"/>
        </w:rPr>
        <w:t xml:space="preserve">of the SCell, and also the interruption to the serving cells in non-dormancy would fall in the DRX inactive time, which means there will be no visible interruption due to dormancy switch. </w:t>
      </w:r>
    </w:p>
    <w:p w:rsidR="005B4955" w:rsidRDefault="005B4955" w:rsidP="005F0822">
      <w:pPr>
        <w:spacing w:before="120" w:after="120"/>
        <w:rPr>
          <w:rFonts w:eastAsiaTheme="minorEastAsia"/>
          <w:lang w:eastAsia="zh-CN"/>
        </w:rPr>
      </w:pPr>
      <w:r>
        <w:rPr>
          <w:rFonts w:eastAsiaTheme="minorEastAsia"/>
          <w:lang w:eastAsia="zh-CN"/>
        </w:rPr>
        <w:lastRenderedPageBreak/>
        <w:t>As there are at most 2 SCells in the test cases, the maximum switching delay considering the worst case (Type 2 UE capability, D=1000us, DCI received after the first 3 OFDM symbols in a slot) is listed in Table 1 for different SCS-es, in number of slots.</w:t>
      </w:r>
    </w:p>
    <w:p w:rsidR="005F0822" w:rsidRPr="005B4955" w:rsidRDefault="005B4955" w:rsidP="005B4955">
      <w:pPr>
        <w:spacing w:before="120" w:after="120"/>
        <w:jc w:val="center"/>
        <w:rPr>
          <w:rFonts w:eastAsiaTheme="minorEastAsia"/>
          <w:b/>
          <w:lang w:eastAsia="zh-CN"/>
        </w:rPr>
      </w:pPr>
      <w:r w:rsidRPr="005B4955">
        <w:rPr>
          <w:rFonts w:eastAsiaTheme="minorEastAsia" w:hint="eastAsia"/>
          <w:b/>
          <w:lang w:eastAsia="zh-CN"/>
        </w:rPr>
        <w:t>T</w:t>
      </w:r>
      <w:r w:rsidRPr="005B4955">
        <w:rPr>
          <w:rFonts w:eastAsiaTheme="minorEastAsia"/>
          <w:b/>
          <w:lang w:eastAsia="zh-CN"/>
        </w:rPr>
        <w:t>able 1: maximum dormancy switching delay for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1456"/>
        <w:gridCol w:w="3097"/>
      </w:tblGrid>
      <w:tr w:rsidR="005B4955" w:rsidRPr="005B4955" w:rsidTr="005B4955">
        <w:trPr>
          <w:trHeight w:val="305"/>
          <w:jc w:val="center"/>
        </w:trPr>
        <w:tc>
          <w:tcPr>
            <w:tcW w:w="0" w:type="auto"/>
            <w:tcBorders>
              <w:bottom w:val="nil"/>
            </w:tcBorders>
            <w:shd w:val="clear" w:color="auto" w:fill="auto"/>
            <w:vAlign w:val="center"/>
          </w:tcPr>
          <w:p w:rsidR="005B4955" w:rsidRPr="005B4955" w:rsidRDefault="005B4955" w:rsidP="005B4955">
            <w:pPr>
              <w:keepNext/>
              <w:keepLines/>
              <w:spacing w:beforeLines="0" w:before="0" w:afterLines="0" w:after="0"/>
              <w:jc w:val="center"/>
              <w:rPr>
                <w:rFonts w:ascii="Arial" w:eastAsia="宋体" w:hAnsi="Arial"/>
                <w:b/>
                <w:sz w:val="18"/>
              </w:rPr>
            </w:pPr>
            <w:r w:rsidRPr="005B4955">
              <w:rPr>
                <w:rFonts w:ascii="Arial" w:eastAsia="宋体" w:hAnsi="Arial"/>
                <w:b/>
                <w:noProof/>
                <w:sz w:val="18"/>
                <w:lang w:val="en-US" w:eastAsia="zh-CN"/>
              </w:rPr>
              <w:drawing>
                <wp:inline distT="0" distB="0" distL="0" distR="0" wp14:anchorId="56C450C9" wp14:editId="445C1EB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0" w:type="auto"/>
            <w:tcBorders>
              <w:bottom w:val="nil"/>
            </w:tcBorders>
          </w:tcPr>
          <w:p w:rsidR="005B4955" w:rsidRPr="005B4955" w:rsidRDefault="005B4955" w:rsidP="005B4955">
            <w:pPr>
              <w:keepNext/>
              <w:keepLines/>
              <w:spacing w:beforeLines="0" w:before="0" w:afterLines="0" w:after="0"/>
              <w:jc w:val="center"/>
              <w:rPr>
                <w:rFonts w:ascii="Arial" w:eastAsia="宋体" w:hAnsi="Arial"/>
                <w:b/>
                <w:sz w:val="18"/>
              </w:rPr>
            </w:pPr>
            <w:r w:rsidRPr="005B4955">
              <w:rPr>
                <w:rFonts w:ascii="Arial" w:eastAsia="宋体" w:hAnsi="Arial"/>
                <w:b/>
                <w:sz w:val="18"/>
              </w:rPr>
              <w:t xml:space="preserve">NR Slot length </w:t>
            </w:r>
          </w:p>
        </w:tc>
        <w:tc>
          <w:tcPr>
            <w:tcW w:w="0" w:type="auto"/>
            <w:tcBorders>
              <w:bottom w:val="nil"/>
            </w:tcBorders>
          </w:tcPr>
          <w:p w:rsidR="005B4955" w:rsidRPr="005B4955" w:rsidRDefault="005B4955" w:rsidP="005B4955">
            <w:pPr>
              <w:keepNext/>
              <w:keepLines/>
              <w:spacing w:beforeLines="0" w:before="0" w:afterLines="0" w:after="0"/>
              <w:jc w:val="center"/>
              <w:rPr>
                <w:rFonts w:ascii="Arial" w:eastAsia="宋体" w:hAnsi="Arial"/>
                <w:b/>
                <w:sz w:val="18"/>
                <w:lang w:eastAsia="zh-CN"/>
              </w:rPr>
            </w:pPr>
            <w:r>
              <w:rPr>
                <w:rFonts w:ascii="Arial" w:eastAsia="宋体" w:hAnsi="Arial"/>
                <w:b/>
                <w:sz w:val="18"/>
                <w:lang w:eastAsia="zh-CN"/>
              </w:rPr>
              <w:t>Dormancy switching delay (Slots)</w:t>
            </w:r>
          </w:p>
        </w:tc>
      </w:tr>
      <w:tr w:rsidR="005B4955" w:rsidRPr="005B4955" w:rsidTr="005B4955">
        <w:trPr>
          <w:trHeight w:val="306"/>
          <w:jc w:val="center"/>
        </w:trPr>
        <w:tc>
          <w:tcPr>
            <w:tcW w:w="0" w:type="auto"/>
            <w:tcBorders>
              <w:top w:val="nil"/>
            </w:tcBorders>
            <w:shd w:val="clear" w:color="auto" w:fill="auto"/>
            <w:vAlign w:val="center"/>
          </w:tcPr>
          <w:p w:rsidR="005B4955" w:rsidRPr="005B4955" w:rsidRDefault="005B4955" w:rsidP="005B4955">
            <w:pPr>
              <w:keepNext/>
              <w:keepLines/>
              <w:spacing w:beforeLines="0" w:before="0" w:afterLines="0" w:after="0"/>
              <w:jc w:val="center"/>
              <w:rPr>
                <w:rFonts w:ascii="Arial" w:eastAsia="宋体" w:hAnsi="Arial"/>
                <w:b/>
                <w:sz w:val="18"/>
              </w:rPr>
            </w:pPr>
          </w:p>
        </w:tc>
        <w:tc>
          <w:tcPr>
            <w:tcW w:w="0" w:type="auto"/>
            <w:tcBorders>
              <w:top w:val="nil"/>
            </w:tcBorders>
          </w:tcPr>
          <w:p w:rsidR="005B4955" w:rsidRPr="005B4955" w:rsidRDefault="005B4955" w:rsidP="005B4955">
            <w:pPr>
              <w:keepNext/>
              <w:keepLines/>
              <w:spacing w:beforeLines="0" w:before="0" w:afterLines="0" w:after="0"/>
              <w:jc w:val="center"/>
              <w:rPr>
                <w:rFonts w:ascii="Arial" w:eastAsia="宋体" w:hAnsi="Arial"/>
                <w:b/>
                <w:sz w:val="18"/>
              </w:rPr>
            </w:pPr>
            <w:r w:rsidRPr="005B4955">
              <w:rPr>
                <w:rFonts w:ascii="Arial" w:eastAsia="宋体" w:hAnsi="Arial"/>
                <w:b/>
                <w:sz w:val="18"/>
              </w:rPr>
              <w:t>(ms)</w:t>
            </w:r>
          </w:p>
        </w:tc>
        <w:tc>
          <w:tcPr>
            <w:tcW w:w="0" w:type="auto"/>
            <w:tcBorders>
              <w:top w:val="nil"/>
            </w:tcBorders>
          </w:tcPr>
          <w:p w:rsidR="005B4955" w:rsidRPr="005B4955" w:rsidRDefault="005B4955" w:rsidP="005B4955">
            <w:pPr>
              <w:keepNext/>
              <w:keepLines/>
              <w:spacing w:beforeLines="0" w:before="0" w:afterLines="0" w:after="0"/>
              <w:jc w:val="center"/>
              <w:rPr>
                <w:rFonts w:ascii="Arial" w:eastAsia="宋体" w:hAnsi="Arial"/>
                <w:b/>
                <w:sz w:val="18"/>
              </w:rPr>
            </w:pPr>
          </w:p>
        </w:tc>
      </w:tr>
      <w:tr w:rsidR="005B4955" w:rsidRPr="005B4955" w:rsidDel="00FC0501" w:rsidTr="005B4955">
        <w:trPr>
          <w:jc w:val="center"/>
        </w:trPr>
        <w:tc>
          <w:tcPr>
            <w:tcW w:w="0" w:type="auto"/>
            <w:shd w:val="clear" w:color="auto" w:fill="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0</w:t>
            </w:r>
          </w:p>
        </w:tc>
        <w:tc>
          <w:tcPr>
            <w:tcW w:w="0" w:type="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1</w:t>
            </w:r>
          </w:p>
        </w:tc>
        <w:tc>
          <w:tcPr>
            <w:tcW w:w="0" w:type="auto"/>
          </w:tcPr>
          <w:p w:rsidR="005B4955" w:rsidRPr="005B4955" w:rsidRDefault="005B4955" w:rsidP="005B4955">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6</w:t>
            </w:r>
          </w:p>
        </w:tc>
      </w:tr>
      <w:tr w:rsidR="005B4955" w:rsidRPr="005B4955" w:rsidDel="00FC0501" w:rsidTr="005B4955">
        <w:trPr>
          <w:jc w:val="center"/>
        </w:trPr>
        <w:tc>
          <w:tcPr>
            <w:tcW w:w="0" w:type="auto"/>
            <w:shd w:val="clear" w:color="auto" w:fill="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1</w:t>
            </w:r>
          </w:p>
        </w:tc>
        <w:tc>
          <w:tcPr>
            <w:tcW w:w="0" w:type="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0.5</w:t>
            </w:r>
          </w:p>
        </w:tc>
        <w:tc>
          <w:tcPr>
            <w:tcW w:w="0" w:type="auto"/>
          </w:tcPr>
          <w:p w:rsidR="005B4955" w:rsidRPr="005B4955" w:rsidRDefault="005B4955" w:rsidP="005B4955">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9</w:t>
            </w:r>
          </w:p>
        </w:tc>
      </w:tr>
      <w:tr w:rsidR="005B4955" w:rsidRPr="005B4955" w:rsidDel="00FC0501" w:rsidTr="005B4955">
        <w:trPr>
          <w:jc w:val="center"/>
        </w:trPr>
        <w:tc>
          <w:tcPr>
            <w:tcW w:w="0" w:type="auto"/>
            <w:shd w:val="clear" w:color="auto" w:fill="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2</w:t>
            </w:r>
          </w:p>
        </w:tc>
        <w:tc>
          <w:tcPr>
            <w:tcW w:w="0" w:type="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0.25</w:t>
            </w:r>
          </w:p>
        </w:tc>
        <w:tc>
          <w:tcPr>
            <w:tcW w:w="0" w:type="auto"/>
          </w:tcPr>
          <w:p w:rsidR="005B4955" w:rsidRPr="005B4955" w:rsidRDefault="005B4955" w:rsidP="005B4955">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15</w:t>
            </w:r>
          </w:p>
        </w:tc>
      </w:tr>
      <w:tr w:rsidR="005B4955" w:rsidRPr="005B4955" w:rsidDel="00FC0501" w:rsidTr="005B4955">
        <w:trPr>
          <w:jc w:val="center"/>
        </w:trPr>
        <w:tc>
          <w:tcPr>
            <w:tcW w:w="0" w:type="auto"/>
            <w:shd w:val="clear" w:color="auto" w:fill="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3</w:t>
            </w:r>
          </w:p>
        </w:tc>
        <w:tc>
          <w:tcPr>
            <w:tcW w:w="0" w:type="auto"/>
          </w:tcPr>
          <w:p w:rsidR="005B4955" w:rsidRPr="005B4955" w:rsidRDefault="005B4955" w:rsidP="005B4955">
            <w:pPr>
              <w:keepNext/>
              <w:keepLines/>
              <w:spacing w:beforeLines="0" w:before="0" w:afterLines="0" w:after="0"/>
              <w:jc w:val="center"/>
              <w:rPr>
                <w:rFonts w:ascii="Arial" w:eastAsia="宋体" w:hAnsi="Arial"/>
                <w:sz w:val="18"/>
              </w:rPr>
            </w:pPr>
            <w:r w:rsidRPr="005B4955">
              <w:rPr>
                <w:rFonts w:ascii="Arial" w:eastAsia="宋体" w:hAnsi="Arial"/>
                <w:sz w:val="18"/>
              </w:rPr>
              <w:t>0.125</w:t>
            </w:r>
          </w:p>
        </w:tc>
        <w:tc>
          <w:tcPr>
            <w:tcW w:w="0" w:type="auto"/>
          </w:tcPr>
          <w:p w:rsidR="005B4955" w:rsidRPr="005B4955" w:rsidRDefault="008C27AB" w:rsidP="005B4955">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28</w:t>
            </w:r>
          </w:p>
        </w:tc>
      </w:tr>
    </w:tbl>
    <w:p w:rsidR="005B4955" w:rsidRPr="005B4955" w:rsidRDefault="008C27AB" w:rsidP="009077C0">
      <w:pPr>
        <w:spacing w:before="120" w:after="120"/>
        <w:rPr>
          <w:rFonts w:eastAsiaTheme="minorEastAsia"/>
          <w:lang w:eastAsia="zh-CN"/>
        </w:rPr>
      </w:pPr>
      <w:r>
        <w:rPr>
          <w:rFonts w:eastAsiaTheme="minorEastAsia"/>
          <w:lang w:eastAsia="zh-CN"/>
        </w:rPr>
        <w:t>It is suggested to set the gap between PDCCH WUS and the next DRX on-duration as in Table 1.</w:t>
      </w:r>
      <w:r>
        <w:rPr>
          <w:rFonts w:eastAsiaTheme="minorEastAsia" w:hint="eastAsia"/>
          <w:lang w:eastAsia="zh-CN"/>
        </w:rPr>
        <w:t xml:space="preserve"> </w:t>
      </w:r>
      <w:r>
        <w:rPr>
          <w:rFonts w:eastAsiaTheme="minorEastAsia"/>
          <w:lang w:eastAsia="zh-CN"/>
        </w:rPr>
        <w:t xml:space="preserve">It is noted that the values in Table 1 are larger than the minimum WUS gaps defined in </w:t>
      </w:r>
      <w:r w:rsidRPr="008C27AB">
        <w:rPr>
          <w:rFonts w:eastAsiaTheme="minorEastAsia"/>
          <w:lang w:eastAsia="zh-CN"/>
        </w:rPr>
        <w:t>Table 10.3-1</w:t>
      </w:r>
      <w:r>
        <w:rPr>
          <w:rFonts w:eastAsiaTheme="minorEastAsia"/>
          <w:lang w:eastAsia="zh-CN"/>
        </w:rPr>
        <w:t xml:space="preserve"> of 38.213, so they should work for all UE capabilities for WUS reception.</w:t>
      </w:r>
    </w:p>
    <w:p w:rsidR="00D55875" w:rsidRPr="008C27AB" w:rsidRDefault="008C27AB" w:rsidP="008C27AB">
      <w:pPr>
        <w:spacing w:before="120" w:after="120"/>
        <w:rPr>
          <w:rFonts w:eastAsiaTheme="minorEastAsia"/>
          <w:b/>
          <w:lang w:eastAsia="zh-CN"/>
        </w:rPr>
      </w:pPr>
      <w:r w:rsidRPr="008C27AB">
        <w:rPr>
          <w:rFonts w:eastAsiaTheme="minorEastAsia" w:hint="eastAsia"/>
          <w:b/>
          <w:lang w:eastAsia="zh-CN"/>
        </w:rPr>
        <w:t>P</w:t>
      </w:r>
      <w:r w:rsidRPr="008C27AB">
        <w:rPr>
          <w:rFonts w:eastAsiaTheme="minorEastAsia"/>
          <w:b/>
          <w:lang w:eastAsia="zh-CN"/>
        </w:rPr>
        <w:t xml:space="preserve">roposal 3: </w:t>
      </w:r>
      <w:r w:rsidRPr="008C27AB">
        <w:rPr>
          <w:rFonts w:eastAsiaTheme="minorEastAsia" w:hint="eastAsia"/>
          <w:b/>
          <w:lang w:eastAsia="zh-CN"/>
        </w:rPr>
        <w:t>F</w:t>
      </w:r>
      <w:r w:rsidRPr="008C27AB">
        <w:rPr>
          <w:rFonts w:eastAsiaTheme="minorEastAsia"/>
          <w:b/>
          <w:lang w:eastAsia="zh-CN"/>
        </w:rPr>
        <w:t>or test cases with DCI 2_6, set the gap between PDCCH WUS and the next DRX on-duration as in Table 1.</w:t>
      </w:r>
    </w:p>
    <w:p w:rsidR="008C27AB" w:rsidRPr="005B4955" w:rsidRDefault="008C27AB" w:rsidP="008C27AB">
      <w:pPr>
        <w:spacing w:before="120" w:after="120"/>
        <w:jc w:val="center"/>
        <w:rPr>
          <w:rFonts w:eastAsiaTheme="minorEastAsia"/>
          <w:b/>
          <w:lang w:eastAsia="zh-CN"/>
        </w:rPr>
      </w:pPr>
      <w:r w:rsidRPr="005B4955">
        <w:rPr>
          <w:rFonts w:eastAsiaTheme="minorEastAsia" w:hint="eastAsia"/>
          <w:b/>
          <w:lang w:eastAsia="zh-CN"/>
        </w:rPr>
        <w:t>T</w:t>
      </w:r>
      <w:r w:rsidRPr="005B4955">
        <w:rPr>
          <w:rFonts w:eastAsiaTheme="minorEastAsia"/>
          <w:b/>
          <w:lang w:eastAsia="zh-CN"/>
        </w:rPr>
        <w:t>able 1: maximum dormancy switching delay for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1456"/>
        <w:gridCol w:w="3097"/>
      </w:tblGrid>
      <w:tr w:rsidR="008C27AB" w:rsidRPr="005B4955" w:rsidTr="00C14EA0">
        <w:trPr>
          <w:trHeight w:val="305"/>
          <w:jc w:val="center"/>
        </w:trPr>
        <w:tc>
          <w:tcPr>
            <w:tcW w:w="0" w:type="auto"/>
            <w:tcBorders>
              <w:bottom w:val="nil"/>
            </w:tcBorders>
            <w:shd w:val="clear" w:color="auto" w:fill="auto"/>
            <w:vAlign w:val="center"/>
          </w:tcPr>
          <w:p w:rsidR="008C27AB" w:rsidRPr="005B4955" w:rsidRDefault="008C27AB" w:rsidP="00C14EA0">
            <w:pPr>
              <w:keepNext/>
              <w:keepLines/>
              <w:spacing w:beforeLines="0" w:before="0" w:afterLines="0" w:after="0"/>
              <w:jc w:val="center"/>
              <w:rPr>
                <w:rFonts w:ascii="Arial" w:eastAsia="宋体" w:hAnsi="Arial"/>
                <w:b/>
                <w:sz w:val="18"/>
              </w:rPr>
            </w:pPr>
            <w:r w:rsidRPr="005B4955">
              <w:rPr>
                <w:rFonts w:ascii="Arial" w:eastAsia="宋体" w:hAnsi="Arial"/>
                <w:b/>
                <w:noProof/>
                <w:sz w:val="18"/>
                <w:lang w:val="en-US" w:eastAsia="zh-CN"/>
              </w:rPr>
              <w:drawing>
                <wp:inline distT="0" distB="0" distL="0" distR="0" wp14:anchorId="104A3BD9" wp14:editId="0AE6A0CB">
                  <wp:extent cx="142875" cy="161925"/>
                  <wp:effectExtent l="0" t="0" r="0" b="0"/>
                  <wp:docPr id="2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0" w:type="auto"/>
            <w:tcBorders>
              <w:bottom w:val="nil"/>
            </w:tcBorders>
          </w:tcPr>
          <w:p w:rsidR="008C27AB" w:rsidRPr="005B4955" w:rsidRDefault="008C27AB" w:rsidP="00C14EA0">
            <w:pPr>
              <w:keepNext/>
              <w:keepLines/>
              <w:spacing w:beforeLines="0" w:before="0" w:afterLines="0" w:after="0"/>
              <w:jc w:val="center"/>
              <w:rPr>
                <w:rFonts w:ascii="Arial" w:eastAsia="宋体" w:hAnsi="Arial"/>
                <w:b/>
                <w:sz w:val="18"/>
              </w:rPr>
            </w:pPr>
            <w:r w:rsidRPr="005B4955">
              <w:rPr>
                <w:rFonts w:ascii="Arial" w:eastAsia="宋体" w:hAnsi="Arial"/>
                <w:b/>
                <w:sz w:val="18"/>
              </w:rPr>
              <w:t xml:space="preserve">NR Slot length </w:t>
            </w:r>
          </w:p>
        </w:tc>
        <w:tc>
          <w:tcPr>
            <w:tcW w:w="0" w:type="auto"/>
            <w:tcBorders>
              <w:bottom w:val="nil"/>
            </w:tcBorders>
          </w:tcPr>
          <w:p w:rsidR="008C27AB" w:rsidRPr="005B4955" w:rsidRDefault="008C27AB" w:rsidP="00C14EA0">
            <w:pPr>
              <w:keepNext/>
              <w:keepLines/>
              <w:spacing w:beforeLines="0" w:before="0" w:afterLines="0" w:after="0"/>
              <w:jc w:val="center"/>
              <w:rPr>
                <w:rFonts w:ascii="Arial" w:eastAsia="宋体" w:hAnsi="Arial"/>
                <w:b/>
                <w:sz w:val="18"/>
                <w:lang w:eastAsia="zh-CN"/>
              </w:rPr>
            </w:pPr>
            <w:r>
              <w:rPr>
                <w:rFonts w:ascii="Arial" w:eastAsia="宋体" w:hAnsi="Arial"/>
                <w:b/>
                <w:sz w:val="18"/>
                <w:lang w:eastAsia="zh-CN"/>
              </w:rPr>
              <w:t>Dormancy switching delay (Slots)</w:t>
            </w:r>
          </w:p>
        </w:tc>
      </w:tr>
      <w:tr w:rsidR="008C27AB" w:rsidRPr="005B4955" w:rsidTr="00C14EA0">
        <w:trPr>
          <w:trHeight w:val="306"/>
          <w:jc w:val="center"/>
        </w:trPr>
        <w:tc>
          <w:tcPr>
            <w:tcW w:w="0" w:type="auto"/>
            <w:tcBorders>
              <w:top w:val="nil"/>
            </w:tcBorders>
            <w:shd w:val="clear" w:color="auto" w:fill="auto"/>
            <w:vAlign w:val="center"/>
          </w:tcPr>
          <w:p w:rsidR="008C27AB" w:rsidRPr="005B4955" w:rsidRDefault="008C27AB" w:rsidP="00C14EA0">
            <w:pPr>
              <w:keepNext/>
              <w:keepLines/>
              <w:spacing w:beforeLines="0" w:before="0" w:afterLines="0" w:after="0"/>
              <w:jc w:val="center"/>
              <w:rPr>
                <w:rFonts w:ascii="Arial" w:eastAsia="宋体" w:hAnsi="Arial"/>
                <w:b/>
                <w:sz w:val="18"/>
              </w:rPr>
            </w:pPr>
          </w:p>
        </w:tc>
        <w:tc>
          <w:tcPr>
            <w:tcW w:w="0" w:type="auto"/>
            <w:tcBorders>
              <w:top w:val="nil"/>
            </w:tcBorders>
          </w:tcPr>
          <w:p w:rsidR="008C27AB" w:rsidRPr="005B4955" w:rsidRDefault="008C27AB" w:rsidP="00C14EA0">
            <w:pPr>
              <w:keepNext/>
              <w:keepLines/>
              <w:spacing w:beforeLines="0" w:before="0" w:afterLines="0" w:after="0"/>
              <w:jc w:val="center"/>
              <w:rPr>
                <w:rFonts w:ascii="Arial" w:eastAsia="宋体" w:hAnsi="Arial"/>
                <w:b/>
                <w:sz w:val="18"/>
              </w:rPr>
            </w:pPr>
            <w:r w:rsidRPr="005B4955">
              <w:rPr>
                <w:rFonts w:ascii="Arial" w:eastAsia="宋体" w:hAnsi="Arial"/>
                <w:b/>
                <w:sz w:val="18"/>
              </w:rPr>
              <w:t>(ms)</w:t>
            </w:r>
          </w:p>
        </w:tc>
        <w:tc>
          <w:tcPr>
            <w:tcW w:w="0" w:type="auto"/>
            <w:tcBorders>
              <w:top w:val="nil"/>
            </w:tcBorders>
          </w:tcPr>
          <w:p w:rsidR="008C27AB" w:rsidRPr="005B4955" w:rsidRDefault="008C27AB" w:rsidP="00C14EA0">
            <w:pPr>
              <w:keepNext/>
              <w:keepLines/>
              <w:spacing w:beforeLines="0" w:before="0" w:afterLines="0" w:after="0"/>
              <w:jc w:val="center"/>
              <w:rPr>
                <w:rFonts w:ascii="Arial" w:eastAsia="宋体" w:hAnsi="Arial"/>
                <w:b/>
                <w:sz w:val="18"/>
              </w:rPr>
            </w:pP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1</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6</w:t>
            </w: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1</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0.5</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9</w:t>
            </w: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2</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0.25</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15</w:t>
            </w: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3</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0.125</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28</w:t>
            </w:r>
          </w:p>
        </w:tc>
      </w:tr>
    </w:tbl>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views on </w:t>
      </w:r>
      <w:r w:rsidR="00573801">
        <w:rPr>
          <w:rFonts w:eastAsia="宋体"/>
          <w:lang w:eastAsia="zh-CN"/>
        </w:rPr>
        <w:t>remaining issues in EMR core requirements</w:t>
      </w:r>
      <w:r w:rsidR="00210C78">
        <w:rPr>
          <w:rFonts w:eastAsia="宋体"/>
          <w:lang w:eastAsia="zh-CN"/>
        </w:rPr>
        <w:t>.</w:t>
      </w:r>
    </w:p>
    <w:p w:rsidR="008C27AB" w:rsidRPr="005F0822" w:rsidRDefault="008C27AB" w:rsidP="008C27AB">
      <w:pPr>
        <w:spacing w:before="120" w:after="120"/>
        <w:rPr>
          <w:rFonts w:eastAsiaTheme="minorEastAsia"/>
          <w:b/>
          <w:lang w:eastAsia="zh-CN"/>
        </w:rPr>
      </w:pPr>
      <w:r w:rsidRPr="005F0822">
        <w:rPr>
          <w:rFonts w:eastAsiaTheme="minorEastAsia" w:hint="eastAsia"/>
          <w:b/>
          <w:lang w:eastAsia="zh-CN"/>
        </w:rPr>
        <w:t>P</w:t>
      </w:r>
      <w:r w:rsidRPr="005F0822">
        <w:rPr>
          <w:rFonts w:eastAsiaTheme="minorEastAsia"/>
          <w:b/>
          <w:lang w:eastAsia="zh-CN"/>
        </w:rPr>
        <w:t>roposal 1: Test the switching from dormancy to non-dormancy but not the switching from non-dormancy to dormancy.</w:t>
      </w:r>
    </w:p>
    <w:p w:rsidR="004C063C" w:rsidRPr="005F0822" w:rsidRDefault="004C063C" w:rsidP="004C063C">
      <w:pPr>
        <w:spacing w:before="120" w:after="120"/>
        <w:rPr>
          <w:rFonts w:eastAsiaTheme="minorEastAsia"/>
          <w:b/>
          <w:lang w:eastAsia="zh-CN"/>
        </w:rPr>
      </w:pPr>
      <w:r w:rsidRPr="004C063C">
        <w:rPr>
          <w:rFonts w:eastAsiaTheme="minorEastAsia" w:hint="eastAsia"/>
          <w:b/>
          <w:lang w:eastAsia="zh-CN"/>
        </w:rPr>
        <w:t>P</w:t>
      </w:r>
      <w:r w:rsidRPr="004C063C">
        <w:rPr>
          <w:rFonts w:eastAsiaTheme="minorEastAsia"/>
          <w:b/>
          <w:lang w:eastAsia="zh-CN"/>
        </w:rPr>
        <w:t xml:space="preserve">roposal 2: </w:t>
      </w:r>
      <w:r>
        <w:rPr>
          <w:rFonts w:eastAsiaTheme="minorEastAsia"/>
          <w:b/>
          <w:lang w:eastAsia="zh-CN"/>
        </w:rPr>
        <w:t>Leave</w:t>
      </w:r>
      <w:r w:rsidRPr="004C063C">
        <w:rPr>
          <w:rFonts w:eastAsiaTheme="minorEastAsia"/>
          <w:b/>
          <w:lang w:eastAsia="zh-CN"/>
        </w:rPr>
        <w:t xml:space="preserve"> the </w:t>
      </w:r>
      <w:r>
        <w:rPr>
          <w:rFonts w:eastAsiaTheme="minorEastAsia"/>
          <w:b/>
          <w:lang w:eastAsia="zh-CN"/>
        </w:rPr>
        <w:t xml:space="preserve">choice of </w:t>
      </w:r>
      <w:r w:rsidRPr="004C063C">
        <w:rPr>
          <w:rFonts w:eastAsiaTheme="minorEastAsia"/>
          <w:b/>
          <w:lang w:eastAsia="zh-CN"/>
        </w:rPr>
        <w:t>scheduling method (Case 1 or Case 2) for the test cases with DCI 0_1/1_1</w:t>
      </w:r>
      <w:r>
        <w:rPr>
          <w:rFonts w:eastAsiaTheme="minorEastAsia"/>
          <w:b/>
          <w:lang w:eastAsia="zh-CN"/>
        </w:rPr>
        <w:t xml:space="preserve"> to RAN5 or TE implementation</w:t>
      </w:r>
      <w:r w:rsidRPr="004C063C">
        <w:rPr>
          <w:rFonts w:eastAsiaTheme="minorEastAsia"/>
          <w:b/>
          <w:lang w:eastAsia="zh-CN"/>
        </w:rPr>
        <w:t>.</w:t>
      </w:r>
    </w:p>
    <w:p w:rsidR="008C27AB" w:rsidRPr="008C27AB" w:rsidRDefault="008C27AB" w:rsidP="008C27AB">
      <w:pPr>
        <w:spacing w:before="120" w:after="120"/>
        <w:rPr>
          <w:rFonts w:eastAsiaTheme="minorEastAsia"/>
          <w:b/>
          <w:lang w:eastAsia="zh-CN"/>
        </w:rPr>
      </w:pPr>
      <w:r w:rsidRPr="008C27AB">
        <w:rPr>
          <w:rFonts w:eastAsiaTheme="minorEastAsia" w:hint="eastAsia"/>
          <w:b/>
          <w:lang w:eastAsia="zh-CN"/>
        </w:rPr>
        <w:t>P</w:t>
      </w:r>
      <w:r w:rsidRPr="008C27AB">
        <w:rPr>
          <w:rFonts w:eastAsiaTheme="minorEastAsia"/>
          <w:b/>
          <w:lang w:eastAsia="zh-CN"/>
        </w:rPr>
        <w:t xml:space="preserve">roposal 3: </w:t>
      </w:r>
      <w:r w:rsidRPr="008C27AB">
        <w:rPr>
          <w:rFonts w:eastAsiaTheme="minorEastAsia" w:hint="eastAsia"/>
          <w:b/>
          <w:lang w:eastAsia="zh-CN"/>
        </w:rPr>
        <w:t>F</w:t>
      </w:r>
      <w:r w:rsidRPr="008C27AB">
        <w:rPr>
          <w:rFonts w:eastAsiaTheme="minorEastAsia"/>
          <w:b/>
          <w:lang w:eastAsia="zh-CN"/>
        </w:rPr>
        <w:t>or test cases with DCI 2_6, set the gap between PDCCH WUS and the next DRX on-duration as in Table 1.</w:t>
      </w:r>
    </w:p>
    <w:p w:rsidR="008C27AB" w:rsidRPr="008C27AB" w:rsidRDefault="008C27AB" w:rsidP="008C27AB">
      <w:pPr>
        <w:pStyle w:val="af8"/>
        <w:numPr>
          <w:ilvl w:val="0"/>
          <w:numId w:val="12"/>
        </w:numPr>
        <w:spacing w:before="120" w:after="120"/>
        <w:jc w:val="center"/>
        <w:rPr>
          <w:rFonts w:eastAsiaTheme="minorEastAsia"/>
          <w:b/>
          <w:lang w:eastAsia="zh-CN"/>
        </w:rPr>
      </w:pPr>
      <w:r w:rsidRPr="008C27AB">
        <w:rPr>
          <w:rFonts w:eastAsiaTheme="minorEastAsia" w:hint="eastAsia"/>
          <w:b/>
          <w:lang w:eastAsia="zh-CN"/>
        </w:rPr>
        <w:t>T</w:t>
      </w:r>
      <w:r w:rsidRPr="008C27AB">
        <w:rPr>
          <w:rFonts w:eastAsiaTheme="minorEastAsia"/>
          <w:b/>
          <w:lang w:eastAsia="zh-CN"/>
        </w:rPr>
        <w:t>able 1: maximum dormancy switching delay for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1456"/>
        <w:gridCol w:w="3097"/>
      </w:tblGrid>
      <w:tr w:rsidR="008C27AB" w:rsidRPr="005B4955" w:rsidTr="00C14EA0">
        <w:trPr>
          <w:trHeight w:val="305"/>
          <w:jc w:val="center"/>
        </w:trPr>
        <w:tc>
          <w:tcPr>
            <w:tcW w:w="0" w:type="auto"/>
            <w:tcBorders>
              <w:bottom w:val="nil"/>
            </w:tcBorders>
            <w:shd w:val="clear" w:color="auto" w:fill="auto"/>
            <w:vAlign w:val="center"/>
          </w:tcPr>
          <w:p w:rsidR="008C27AB" w:rsidRPr="005B4955" w:rsidRDefault="008C27AB" w:rsidP="00C14EA0">
            <w:pPr>
              <w:keepNext/>
              <w:keepLines/>
              <w:spacing w:beforeLines="0" w:before="0" w:afterLines="0" w:after="0"/>
              <w:jc w:val="center"/>
              <w:rPr>
                <w:rFonts w:ascii="Arial" w:eastAsia="宋体" w:hAnsi="Arial"/>
                <w:b/>
                <w:sz w:val="18"/>
              </w:rPr>
            </w:pPr>
            <w:r w:rsidRPr="005B4955">
              <w:rPr>
                <w:rFonts w:ascii="Arial" w:eastAsia="宋体" w:hAnsi="Arial"/>
                <w:b/>
                <w:noProof/>
                <w:sz w:val="18"/>
                <w:lang w:val="en-US" w:eastAsia="zh-CN"/>
              </w:rPr>
              <w:drawing>
                <wp:inline distT="0" distB="0" distL="0" distR="0" wp14:anchorId="37A80DEC" wp14:editId="452AE5C9">
                  <wp:extent cx="142875" cy="161925"/>
                  <wp:effectExtent l="0" t="0" r="0" b="0"/>
                  <wp:docPr id="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0" w:type="auto"/>
            <w:tcBorders>
              <w:bottom w:val="nil"/>
            </w:tcBorders>
          </w:tcPr>
          <w:p w:rsidR="008C27AB" w:rsidRPr="005B4955" w:rsidRDefault="008C27AB" w:rsidP="00C14EA0">
            <w:pPr>
              <w:keepNext/>
              <w:keepLines/>
              <w:spacing w:beforeLines="0" w:before="0" w:afterLines="0" w:after="0"/>
              <w:jc w:val="center"/>
              <w:rPr>
                <w:rFonts w:ascii="Arial" w:eastAsia="宋体" w:hAnsi="Arial"/>
                <w:b/>
                <w:sz w:val="18"/>
              </w:rPr>
            </w:pPr>
            <w:r w:rsidRPr="005B4955">
              <w:rPr>
                <w:rFonts w:ascii="Arial" w:eastAsia="宋体" w:hAnsi="Arial"/>
                <w:b/>
                <w:sz w:val="18"/>
              </w:rPr>
              <w:t xml:space="preserve">NR Slot length </w:t>
            </w:r>
          </w:p>
        </w:tc>
        <w:tc>
          <w:tcPr>
            <w:tcW w:w="0" w:type="auto"/>
            <w:tcBorders>
              <w:bottom w:val="nil"/>
            </w:tcBorders>
          </w:tcPr>
          <w:p w:rsidR="008C27AB" w:rsidRPr="005B4955" w:rsidRDefault="008C27AB" w:rsidP="00C14EA0">
            <w:pPr>
              <w:keepNext/>
              <w:keepLines/>
              <w:spacing w:beforeLines="0" w:before="0" w:afterLines="0" w:after="0"/>
              <w:jc w:val="center"/>
              <w:rPr>
                <w:rFonts w:ascii="Arial" w:eastAsia="宋体" w:hAnsi="Arial"/>
                <w:b/>
                <w:sz w:val="18"/>
                <w:lang w:eastAsia="zh-CN"/>
              </w:rPr>
            </w:pPr>
            <w:r>
              <w:rPr>
                <w:rFonts w:ascii="Arial" w:eastAsia="宋体" w:hAnsi="Arial"/>
                <w:b/>
                <w:sz w:val="18"/>
                <w:lang w:eastAsia="zh-CN"/>
              </w:rPr>
              <w:t>Dormancy switching delay (Slots)</w:t>
            </w:r>
          </w:p>
        </w:tc>
      </w:tr>
      <w:tr w:rsidR="008C27AB" w:rsidRPr="005B4955" w:rsidTr="00C14EA0">
        <w:trPr>
          <w:trHeight w:val="306"/>
          <w:jc w:val="center"/>
        </w:trPr>
        <w:tc>
          <w:tcPr>
            <w:tcW w:w="0" w:type="auto"/>
            <w:tcBorders>
              <w:top w:val="nil"/>
            </w:tcBorders>
            <w:shd w:val="clear" w:color="auto" w:fill="auto"/>
            <w:vAlign w:val="center"/>
          </w:tcPr>
          <w:p w:rsidR="008C27AB" w:rsidRPr="005B4955" w:rsidRDefault="008C27AB" w:rsidP="00C14EA0">
            <w:pPr>
              <w:keepNext/>
              <w:keepLines/>
              <w:spacing w:beforeLines="0" w:before="0" w:afterLines="0" w:after="0"/>
              <w:jc w:val="center"/>
              <w:rPr>
                <w:rFonts w:ascii="Arial" w:eastAsia="宋体" w:hAnsi="Arial"/>
                <w:b/>
                <w:sz w:val="18"/>
              </w:rPr>
            </w:pPr>
          </w:p>
        </w:tc>
        <w:tc>
          <w:tcPr>
            <w:tcW w:w="0" w:type="auto"/>
            <w:tcBorders>
              <w:top w:val="nil"/>
            </w:tcBorders>
          </w:tcPr>
          <w:p w:rsidR="008C27AB" w:rsidRPr="005B4955" w:rsidRDefault="008C27AB" w:rsidP="00C14EA0">
            <w:pPr>
              <w:keepNext/>
              <w:keepLines/>
              <w:spacing w:beforeLines="0" w:before="0" w:afterLines="0" w:after="0"/>
              <w:jc w:val="center"/>
              <w:rPr>
                <w:rFonts w:ascii="Arial" w:eastAsia="宋体" w:hAnsi="Arial"/>
                <w:b/>
                <w:sz w:val="18"/>
              </w:rPr>
            </w:pPr>
            <w:r w:rsidRPr="005B4955">
              <w:rPr>
                <w:rFonts w:ascii="Arial" w:eastAsia="宋体" w:hAnsi="Arial"/>
                <w:b/>
                <w:sz w:val="18"/>
              </w:rPr>
              <w:t>(ms)</w:t>
            </w:r>
          </w:p>
        </w:tc>
        <w:tc>
          <w:tcPr>
            <w:tcW w:w="0" w:type="auto"/>
            <w:tcBorders>
              <w:top w:val="nil"/>
            </w:tcBorders>
          </w:tcPr>
          <w:p w:rsidR="008C27AB" w:rsidRPr="005B4955" w:rsidRDefault="008C27AB" w:rsidP="00C14EA0">
            <w:pPr>
              <w:keepNext/>
              <w:keepLines/>
              <w:spacing w:beforeLines="0" w:before="0" w:afterLines="0" w:after="0"/>
              <w:jc w:val="center"/>
              <w:rPr>
                <w:rFonts w:ascii="Arial" w:eastAsia="宋体" w:hAnsi="Arial"/>
                <w:b/>
                <w:sz w:val="18"/>
              </w:rPr>
            </w:pP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1</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6</w:t>
            </w: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1</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0.5</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9</w:t>
            </w: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2</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0.25</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15</w:t>
            </w:r>
          </w:p>
        </w:tc>
      </w:tr>
      <w:tr w:rsidR="008C27AB" w:rsidRPr="005B4955" w:rsidDel="00FC0501" w:rsidTr="00C14EA0">
        <w:trPr>
          <w:jc w:val="center"/>
        </w:trPr>
        <w:tc>
          <w:tcPr>
            <w:tcW w:w="0" w:type="auto"/>
            <w:shd w:val="clear" w:color="auto" w:fill="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3</w:t>
            </w:r>
          </w:p>
        </w:tc>
        <w:tc>
          <w:tcPr>
            <w:tcW w:w="0" w:type="auto"/>
          </w:tcPr>
          <w:p w:rsidR="008C27AB" w:rsidRPr="005B4955" w:rsidRDefault="008C27AB" w:rsidP="00C14EA0">
            <w:pPr>
              <w:keepNext/>
              <w:keepLines/>
              <w:spacing w:beforeLines="0" w:before="0" w:afterLines="0" w:after="0"/>
              <w:jc w:val="center"/>
              <w:rPr>
                <w:rFonts w:ascii="Arial" w:eastAsia="宋体" w:hAnsi="Arial"/>
                <w:sz w:val="18"/>
              </w:rPr>
            </w:pPr>
            <w:r w:rsidRPr="005B4955">
              <w:rPr>
                <w:rFonts w:ascii="Arial" w:eastAsia="宋体" w:hAnsi="Arial"/>
                <w:sz w:val="18"/>
              </w:rPr>
              <w:t>0.125</w:t>
            </w:r>
          </w:p>
        </w:tc>
        <w:tc>
          <w:tcPr>
            <w:tcW w:w="0" w:type="auto"/>
          </w:tcPr>
          <w:p w:rsidR="008C27AB" w:rsidRPr="005B4955" w:rsidRDefault="008C27AB" w:rsidP="00C14EA0">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28</w:t>
            </w:r>
          </w:p>
        </w:tc>
      </w:tr>
    </w:tbl>
    <w:p w:rsidR="00C0754F" w:rsidRDefault="00C0754F" w:rsidP="00C0754F">
      <w:pPr>
        <w:pStyle w:val="1"/>
        <w:jc w:val="both"/>
        <w:rPr>
          <w:lang w:val="en-US"/>
        </w:rPr>
      </w:pPr>
      <w:r w:rsidRPr="00C0754F">
        <w:rPr>
          <w:lang w:val="en-US"/>
        </w:rPr>
        <w:t>Reference</w:t>
      </w:r>
    </w:p>
    <w:p w:rsidR="00B71712" w:rsidRDefault="00125715" w:rsidP="00710E9E">
      <w:pPr>
        <w:numPr>
          <w:ilvl w:val="0"/>
          <w:numId w:val="5"/>
        </w:numPr>
        <w:spacing w:before="120" w:after="120"/>
        <w:rPr>
          <w:rFonts w:eastAsia="宋体"/>
          <w:lang w:eastAsia="zh-CN"/>
        </w:rPr>
      </w:pPr>
      <w:r w:rsidRPr="00125715">
        <w:rPr>
          <w:rFonts w:eastAsia="宋体"/>
          <w:lang w:eastAsia="zh-CN"/>
        </w:rPr>
        <w:t>R4-2017</w:t>
      </w:r>
      <w:r w:rsidR="00710E9E">
        <w:rPr>
          <w:rFonts w:eastAsia="宋体"/>
          <w:lang w:eastAsia="zh-CN"/>
        </w:rPr>
        <w:t>130</w:t>
      </w:r>
      <w:r w:rsidR="00D57591">
        <w:rPr>
          <w:rFonts w:eastAsia="宋体"/>
          <w:lang w:eastAsia="zh-CN"/>
        </w:rPr>
        <w:t xml:space="preserve">, </w:t>
      </w:r>
      <w:r w:rsidR="00710E9E" w:rsidRPr="00710E9E">
        <w:rPr>
          <w:rFonts w:eastAsia="宋体"/>
          <w:lang w:eastAsia="zh-CN"/>
        </w:rPr>
        <w:t>Way Forward on Test Cases for Direct SCell Activation and SCell Dormancy</w:t>
      </w:r>
      <w:r w:rsidR="007E7A02">
        <w:rPr>
          <w:rFonts w:eastAsia="宋体"/>
          <w:lang w:eastAsia="zh-CN"/>
        </w:rPr>
        <w:t xml:space="preserve">, </w:t>
      </w:r>
      <w:r w:rsidR="00710E9E" w:rsidRPr="00710E9E">
        <w:rPr>
          <w:rFonts w:eastAsia="宋体"/>
          <w:lang w:val="sv-SE" w:eastAsia="zh-CN"/>
        </w:rPr>
        <w:t>Ericsson</w:t>
      </w:r>
    </w:p>
    <w:sectPr w:rsidR="00B7171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31D" w:rsidRDefault="0073631D">
      <w:pPr>
        <w:spacing w:before="120" w:after="120"/>
      </w:pPr>
      <w:r>
        <w:separator/>
      </w:r>
    </w:p>
  </w:endnote>
  <w:endnote w:type="continuationSeparator" w:id="0">
    <w:p w:rsidR="0073631D" w:rsidRDefault="0073631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875" w:rsidRDefault="00D5587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55875" w:rsidRDefault="00D558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875" w:rsidRDefault="00D5587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60EEB">
      <w:rPr>
        <w:rStyle w:val="af1"/>
      </w:rPr>
      <w:t>3</w:t>
    </w:r>
    <w:r>
      <w:rPr>
        <w:rStyle w:val="af1"/>
      </w:rPr>
      <w:fldChar w:fldCharType="end"/>
    </w:r>
  </w:p>
  <w:p w:rsidR="00D55875" w:rsidRDefault="00D5587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31D" w:rsidRDefault="0073631D">
      <w:pPr>
        <w:spacing w:before="120" w:after="120"/>
      </w:pPr>
      <w:r>
        <w:separator/>
      </w:r>
    </w:p>
  </w:footnote>
  <w:footnote w:type="continuationSeparator" w:id="0">
    <w:p w:rsidR="0073631D" w:rsidRDefault="0073631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F5527"/>
    <w:multiLevelType w:val="hybridMultilevel"/>
    <w:tmpl w:val="E97E4D86"/>
    <w:lvl w:ilvl="0" w:tplc="A35A5F86">
      <w:start w:val="1"/>
      <w:numFmt w:val="bullet"/>
      <w:lvlText w:val="•"/>
      <w:lvlJc w:val="left"/>
      <w:pPr>
        <w:tabs>
          <w:tab w:val="num" w:pos="720"/>
        </w:tabs>
        <w:ind w:left="720" w:hanging="360"/>
      </w:pPr>
      <w:rPr>
        <w:rFonts w:ascii="Arial" w:hAnsi="Arial" w:hint="default"/>
      </w:rPr>
    </w:lvl>
    <w:lvl w:ilvl="1" w:tplc="100C09FC">
      <w:numFmt w:val="bullet"/>
      <w:lvlText w:val="–"/>
      <w:lvlJc w:val="left"/>
      <w:pPr>
        <w:tabs>
          <w:tab w:val="num" w:pos="1440"/>
        </w:tabs>
        <w:ind w:left="1440" w:hanging="360"/>
      </w:pPr>
      <w:rPr>
        <w:rFonts w:ascii="Arial" w:hAnsi="Arial" w:hint="default"/>
      </w:rPr>
    </w:lvl>
    <w:lvl w:ilvl="2" w:tplc="4FA4C614">
      <w:numFmt w:val="bullet"/>
      <w:lvlText w:val="•"/>
      <w:lvlJc w:val="left"/>
      <w:pPr>
        <w:tabs>
          <w:tab w:val="num" w:pos="2160"/>
        </w:tabs>
        <w:ind w:left="2160" w:hanging="360"/>
      </w:pPr>
      <w:rPr>
        <w:rFonts w:ascii="Arial" w:hAnsi="Arial" w:hint="default"/>
      </w:rPr>
    </w:lvl>
    <w:lvl w:ilvl="3" w:tplc="9070C652">
      <w:numFmt w:val="bullet"/>
      <w:lvlText w:val="–"/>
      <w:lvlJc w:val="left"/>
      <w:pPr>
        <w:tabs>
          <w:tab w:val="num" w:pos="2880"/>
        </w:tabs>
        <w:ind w:left="2880" w:hanging="360"/>
      </w:pPr>
      <w:rPr>
        <w:rFonts w:ascii="Arial" w:hAnsi="Arial" w:hint="default"/>
      </w:rPr>
    </w:lvl>
    <w:lvl w:ilvl="4" w:tplc="E50C863C" w:tentative="1">
      <w:start w:val="1"/>
      <w:numFmt w:val="bullet"/>
      <w:lvlText w:val="•"/>
      <w:lvlJc w:val="left"/>
      <w:pPr>
        <w:tabs>
          <w:tab w:val="num" w:pos="3600"/>
        </w:tabs>
        <w:ind w:left="3600" w:hanging="360"/>
      </w:pPr>
      <w:rPr>
        <w:rFonts w:ascii="Arial" w:hAnsi="Arial" w:hint="default"/>
      </w:rPr>
    </w:lvl>
    <w:lvl w:ilvl="5" w:tplc="24A8B5C0" w:tentative="1">
      <w:start w:val="1"/>
      <w:numFmt w:val="bullet"/>
      <w:lvlText w:val="•"/>
      <w:lvlJc w:val="left"/>
      <w:pPr>
        <w:tabs>
          <w:tab w:val="num" w:pos="4320"/>
        </w:tabs>
        <w:ind w:left="4320" w:hanging="360"/>
      </w:pPr>
      <w:rPr>
        <w:rFonts w:ascii="Arial" w:hAnsi="Arial" w:hint="default"/>
      </w:rPr>
    </w:lvl>
    <w:lvl w:ilvl="6" w:tplc="0F42DC36" w:tentative="1">
      <w:start w:val="1"/>
      <w:numFmt w:val="bullet"/>
      <w:lvlText w:val="•"/>
      <w:lvlJc w:val="left"/>
      <w:pPr>
        <w:tabs>
          <w:tab w:val="num" w:pos="5040"/>
        </w:tabs>
        <w:ind w:left="5040" w:hanging="360"/>
      </w:pPr>
      <w:rPr>
        <w:rFonts w:ascii="Arial" w:hAnsi="Arial" w:hint="default"/>
      </w:rPr>
    </w:lvl>
    <w:lvl w:ilvl="7" w:tplc="9C3AC634" w:tentative="1">
      <w:start w:val="1"/>
      <w:numFmt w:val="bullet"/>
      <w:lvlText w:val="•"/>
      <w:lvlJc w:val="left"/>
      <w:pPr>
        <w:tabs>
          <w:tab w:val="num" w:pos="5760"/>
        </w:tabs>
        <w:ind w:left="5760" w:hanging="360"/>
      </w:pPr>
      <w:rPr>
        <w:rFonts w:ascii="Arial" w:hAnsi="Arial" w:hint="default"/>
      </w:rPr>
    </w:lvl>
    <w:lvl w:ilvl="8" w:tplc="59A445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D10D0C"/>
    <w:multiLevelType w:val="hybridMultilevel"/>
    <w:tmpl w:val="810293A2"/>
    <w:lvl w:ilvl="0" w:tplc="341EAAFE">
      <w:start w:val="1"/>
      <w:numFmt w:val="bullet"/>
      <w:lvlText w:val="•"/>
      <w:lvlJc w:val="left"/>
      <w:pPr>
        <w:tabs>
          <w:tab w:val="num" w:pos="720"/>
        </w:tabs>
        <w:ind w:left="720" w:hanging="360"/>
      </w:pPr>
      <w:rPr>
        <w:rFonts w:ascii="Arial" w:hAnsi="Arial" w:hint="default"/>
      </w:rPr>
    </w:lvl>
    <w:lvl w:ilvl="1" w:tplc="4D0C1660">
      <w:numFmt w:val="bullet"/>
      <w:lvlText w:val="–"/>
      <w:lvlJc w:val="left"/>
      <w:pPr>
        <w:tabs>
          <w:tab w:val="num" w:pos="1440"/>
        </w:tabs>
        <w:ind w:left="1440" w:hanging="360"/>
      </w:pPr>
      <w:rPr>
        <w:rFonts w:ascii="Arial" w:hAnsi="Arial" w:hint="default"/>
      </w:rPr>
    </w:lvl>
    <w:lvl w:ilvl="2" w:tplc="B46627FA">
      <w:numFmt w:val="bullet"/>
      <w:lvlText w:val="•"/>
      <w:lvlJc w:val="left"/>
      <w:pPr>
        <w:tabs>
          <w:tab w:val="num" w:pos="2160"/>
        </w:tabs>
        <w:ind w:left="2160" w:hanging="360"/>
      </w:pPr>
      <w:rPr>
        <w:rFonts w:ascii="Arial" w:hAnsi="Arial" w:hint="default"/>
      </w:rPr>
    </w:lvl>
    <w:lvl w:ilvl="3" w:tplc="054A21C8" w:tentative="1">
      <w:start w:val="1"/>
      <w:numFmt w:val="bullet"/>
      <w:lvlText w:val="•"/>
      <w:lvlJc w:val="left"/>
      <w:pPr>
        <w:tabs>
          <w:tab w:val="num" w:pos="2880"/>
        </w:tabs>
        <w:ind w:left="2880" w:hanging="360"/>
      </w:pPr>
      <w:rPr>
        <w:rFonts w:ascii="Arial" w:hAnsi="Arial" w:hint="default"/>
      </w:rPr>
    </w:lvl>
    <w:lvl w:ilvl="4" w:tplc="7C1E31E0" w:tentative="1">
      <w:start w:val="1"/>
      <w:numFmt w:val="bullet"/>
      <w:lvlText w:val="•"/>
      <w:lvlJc w:val="left"/>
      <w:pPr>
        <w:tabs>
          <w:tab w:val="num" w:pos="3600"/>
        </w:tabs>
        <w:ind w:left="3600" w:hanging="360"/>
      </w:pPr>
      <w:rPr>
        <w:rFonts w:ascii="Arial" w:hAnsi="Arial" w:hint="default"/>
      </w:rPr>
    </w:lvl>
    <w:lvl w:ilvl="5" w:tplc="CA3A9D6E" w:tentative="1">
      <w:start w:val="1"/>
      <w:numFmt w:val="bullet"/>
      <w:lvlText w:val="•"/>
      <w:lvlJc w:val="left"/>
      <w:pPr>
        <w:tabs>
          <w:tab w:val="num" w:pos="4320"/>
        </w:tabs>
        <w:ind w:left="4320" w:hanging="360"/>
      </w:pPr>
      <w:rPr>
        <w:rFonts w:ascii="Arial" w:hAnsi="Arial" w:hint="default"/>
      </w:rPr>
    </w:lvl>
    <w:lvl w:ilvl="6" w:tplc="FDC40E5C" w:tentative="1">
      <w:start w:val="1"/>
      <w:numFmt w:val="bullet"/>
      <w:lvlText w:val="•"/>
      <w:lvlJc w:val="left"/>
      <w:pPr>
        <w:tabs>
          <w:tab w:val="num" w:pos="5040"/>
        </w:tabs>
        <w:ind w:left="5040" w:hanging="360"/>
      </w:pPr>
      <w:rPr>
        <w:rFonts w:ascii="Arial" w:hAnsi="Arial" w:hint="default"/>
      </w:rPr>
    </w:lvl>
    <w:lvl w:ilvl="7" w:tplc="41941D30" w:tentative="1">
      <w:start w:val="1"/>
      <w:numFmt w:val="bullet"/>
      <w:lvlText w:val="•"/>
      <w:lvlJc w:val="left"/>
      <w:pPr>
        <w:tabs>
          <w:tab w:val="num" w:pos="5760"/>
        </w:tabs>
        <w:ind w:left="5760" w:hanging="360"/>
      </w:pPr>
      <w:rPr>
        <w:rFonts w:ascii="Arial" w:hAnsi="Arial" w:hint="default"/>
      </w:rPr>
    </w:lvl>
    <w:lvl w:ilvl="8" w:tplc="1DA838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98830AD"/>
    <w:multiLevelType w:val="hybridMultilevel"/>
    <w:tmpl w:val="32C63DE0"/>
    <w:lvl w:ilvl="0" w:tplc="3FC619B8">
      <w:start w:val="1"/>
      <w:numFmt w:val="bullet"/>
      <w:lvlText w:val="•"/>
      <w:lvlJc w:val="left"/>
      <w:pPr>
        <w:tabs>
          <w:tab w:val="num" w:pos="720"/>
        </w:tabs>
        <w:ind w:left="720" w:hanging="360"/>
      </w:pPr>
      <w:rPr>
        <w:rFonts w:ascii="Arial" w:hAnsi="Arial" w:hint="default"/>
      </w:rPr>
    </w:lvl>
    <w:lvl w:ilvl="1" w:tplc="E604D1EE">
      <w:numFmt w:val="bullet"/>
      <w:lvlText w:val="–"/>
      <w:lvlJc w:val="left"/>
      <w:pPr>
        <w:tabs>
          <w:tab w:val="num" w:pos="1440"/>
        </w:tabs>
        <w:ind w:left="1440" w:hanging="360"/>
      </w:pPr>
      <w:rPr>
        <w:rFonts w:ascii="Arial" w:hAnsi="Arial" w:hint="default"/>
      </w:rPr>
    </w:lvl>
    <w:lvl w:ilvl="2" w:tplc="1D7A553E">
      <w:numFmt w:val="bullet"/>
      <w:lvlText w:val="•"/>
      <w:lvlJc w:val="left"/>
      <w:pPr>
        <w:tabs>
          <w:tab w:val="num" w:pos="2160"/>
        </w:tabs>
        <w:ind w:left="2160" w:hanging="360"/>
      </w:pPr>
      <w:rPr>
        <w:rFonts w:ascii="Arial" w:hAnsi="Arial" w:hint="default"/>
      </w:rPr>
    </w:lvl>
    <w:lvl w:ilvl="3" w:tplc="BA5019D0" w:tentative="1">
      <w:start w:val="1"/>
      <w:numFmt w:val="bullet"/>
      <w:lvlText w:val="•"/>
      <w:lvlJc w:val="left"/>
      <w:pPr>
        <w:tabs>
          <w:tab w:val="num" w:pos="2880"/>
        </w:tabs>
        <w:ind w:left="2880" w:hanging="360"/>
      </w:pPr>
      <w:rPr>
        <w:rFonts w:ascii="Arial" w:hAnsi="Arial" w:hint="default"/>
      </w:rPr>
    </w:lvl>
    <w:lvl w:ilvl="4" w:tplc="99EEEB54" w:tentative="1">
      <w:start w:val="1"/>
      <w:numFmt w:val="bullet"/>
      <w:lvlText w:val="•"/>
      <w:lvlJc w:val="left"/>
      <w:pPr>
        <w:tabs>
          <w:tab w:val="num" w:pos="3600"/>
        </w:tabs>
        <w:ind w:left="3600" w:hanging="360"/>
      </w:pPr>
      <w:rPr>
        <w:rFonts w:ascii="Arial" w:hAnsi="Arial" w:hint="default"/>
      </w:rPr>
    </w:lvl>
    <w:lvl w:ilvl="5" w:tplc="B74A36A4" w:tentative="1">
      <w:start w:val="1"/>
      <w:numFmt w:val="bullet"/>
      <w:lvlText w:val="•"/>
      <w:lvlJc w:val="left"/>
      <w:pPr>
        <w:tabs>
          <w:tab w:val="num" w:pos="4320"/>
        </w:tabs>
        <w:ind w:left="4320" w:hanging="360"/>
      </w:pPr>
      <w:rPr>
        <w:rFonts w:ascii="Arial" w:hAnsi="Arial" w:hint="default"/>
      </w:rPr>
    </w:lvl>
    <w:lvl w:ilvl="6" w:tplc="904E7F6A" w:tentative="1">
      <w:start w:val="1"/>
      <w:numFmt w:val="bullet"/>
      <w:lvlText w:val="•"/>
      <w:lvlJc w:val="left"/>
      <w:pPr>
        <w:tabs>
          <w:tab w:val="num" w:pos="5040"/>
        </w:tabs>
        <w:ind w:left="5040" w:hanging="360"/>
      </w:pPr>
      <w:rPr>
        <w:rFonts w:ascii="Arial" w:hAnsi="Arial" w:hint="default"/>
      </w:rPr>
    </w:lvl>
    <w:lvl w:ilvl="7" w:tplc="6F0C9D12" w:tentative="1">
      <w:start w:val="1"/>
      <w:numFmt w:val="bullet"/>
      <w:lvlText w:val="•"/>
      <w:lvlJc w:val="left"/>
      <w:pPr>
        <w:tabs>
          <w:tab w:val="num" w:pos="5760"/>
        </w:tabs>
        <w:ind w:left="5760" w:hanging="360"/>
      </w:pPr>
      <w:rPr>
        <w:rFonts w:ascii="Arial" w:hAnsi="Arial" w:hint="default"/>
      </w:rPr>
    </w:lvl>
    <w:lvl w:ilvl="8" w:tplc="255475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680C43"/>
    <w:multiLevelType w:val="hybridMultilevel"/>
    <w:tmpl w:val="9B5A57DC"/>
    <w:lvl w:ilvl="0" w:tplc="F5102B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7"/>
  </w:num>
  <w:num w:numId="3">
    <w:abstractNumId w:val="18"/>
  </w:num>
  <w:num w:numId="4">
    <w:abstractNumId w:val="4"/>
  </w:num>
  <w:num w:numId="5">
    <w:abstractNumId w:val="8"/>
  </w:num>
  <w:num w:numId="6">
    <w:abstractNumId w:val="15"/>
  </w:num>
  <w:num w:numId="7">
    <w:abstractNumId w:val="12"/>
  </w:num>
  <w:num w:numId="8">
    <w:abstractNumId w:val="19"/>
    <w:lvlOverride w:ilvl="0">
      <w:startOverride w:val="1"/>
    </w:lvlOverride>
  </w:num>
  <w:num w:numId="9">
    <w:abstractNumId w:val="14"/>
  </w:num>
  <w:num w:numId="10">
    <w:abstractNumId w:val="1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1"/>
  </w:num>
  <w:num w:numId="17">
    <w:abstractNumId w:val="2"/>
  </w:num>
  <w:num w:numId="18">
    <w:abstractNumId w:val="3"/>
  </w:num>
  <w:num w:numId="19">
    <w:abstractNumId w:val="10"/>
  </w:num>
  <w:num w:numId="2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B26"/>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715"/>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03D"/>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6C24"/>
    <w:rsid w:val="00277451"/>
    <w:rsid w:val="002778BD"/>
    <w:rsid w:val="002778DC"/>
    <w:rsid w:val="0027794D"/>
    <w:rsid w:val="00277A30"/>
    <w:rsid w:val="00277B68"/>
    <w:rsid w:val="00277C99"/>
    <w:rsid w:val="0028046D"/>
    <w:rsid w:val="00280813"/>
    <w:rsid w:val="00280D29"/>
    <w:rsid w:val="00280DAD"/>
    <w:rsid w:val="0028104A"/>
    <w:rsid w:val="002810E9"/>
    <w:rsid w:val="002812D3"/>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0E99"/>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901"/>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63C"/>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01"/>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3A7"/>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955"/>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822"/>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3F66"/>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0E9E"/>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1D"/>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1D6A"/>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EEB"/>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536"/>
    <w:rsid w:val="008C274C"/>
    <w:rsid w:val="008C27A7"/>
    <w:rsid w:val="008C27AB"/>
    <w:rsid w:val="008C2E5F"/>
    <w:rsid w:val="008C35B8"/>
    <w:rsid w:val="008C3BF2"/>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7C0"/>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0B8"/>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A12"/>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3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875"/>
    <w:rsid w:val="00D55B88"/>
    <w:rsid w:val="00D55D7A"/>
    <w:rsid w:val="00D560DE"/>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5FEF"/>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87E"/>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8D5"/>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3AE"/>
    <w:rsid w:val="00ED148B"/>
    <w:rsid w:val="00ED1E8E"/>
    <w:rsid w:val="00ED2295"/>
    <w:rsid w:val="00ED248E"/>
    <w:rsid w:val="00ED26C5"/>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7B3"/>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687"/>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594"/>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A66"/>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4926971">
      <w:bodyDiv w:val="1"/>
      <w:marLeft w:val="0"/>
      <w:marRight w:val="0"/>
      <w:marTop w:val="0"/>
      <w:marBottom w:val="0"/>
      <w:divBdr>
        <w:top w:val="none" w:sz="0" w:space="0" w:color="auto"/>
        <w:left w:val="none" w:sz="0" w:space="0" w:color="auto"/>
        <w:bottom w:val="none" w:sz="0" w:space="0" w:color="auto"/>
        <w:right w:val="none" w:sz="0" w:space="0" w:color="auto"/>
      </w:divBdr>
      <w:divsChild>
        <w:div w:id="1683970697">
          <w:marLeft w:val="547"/>
          <w:marRight w:val="0"/>
          <w:marTop w:val="154"/>
          <w:marBottom w:val="0"/>
          <w:divBdr>
            <w:top w:val="none" w:sz="0" w:space="0" w:color="auto"/>
            <w:left w:val="none" w:sz="0" w:space="0" w:color="auto"/>
            <w:bottom w:val="none" w:sz="0" w:space="0" w:color="auto"/>
            <w:right w:val="none" w:sz="0" w:space="0" w:color="auto"/>
          </w:divBdr>
        </w:div>
        <w:div w:id="723139545">
          <w:marLeft w:val="1166"/>
          <w:marRight w:val="0"/>
          <w:marTop w:val="134"/>
          <w:marBottom w:val="0"/>
          <w:divBdr>
            <w:top w:val="none" w:sz="0" w:space="0" w:color="auto"/>
            <w:left w:val="none" w:sz="0" w:space="0" w:color="auto"/>
            <w:bottom w:val="none" w:sz="0" w:space="0" w:color="auto"/>
            <w:right w:val="none" w:sz="0" w:space="0" w:color="auto"/>
          </w:divBdr>
        </w:div>
        <w:div w:id="2110006825">
          <w:marLeft w:val="1800"/>
          <w:marRight w:val="0"/>
          <w:marTop w:val="115"/>
          <w:marBottom w:val="0"/>
          <w:divBdr>
            <w:top w:val="none" w:sz="0" w:space="0" w:color="auto"/>
            <w:left w:val="none" w:sz="0" w:space="0" w:color="auto"/>
            <w:bottom w:val="none" w:sz="0" w:space="0" w:color="auto"/>
            <w:right w:val="none" w:sz="0" w:space="0" w:color="auto"/>
          </w:divBdr>
        </w:div>
        <w:div w:id="2020233690">
          <w:marLeft w:val="2520"/>
          <w:marRight w:val="0"/>
          <w:marTop w:val="96"/>
          <w:marBottom w:val="0"/>
          <w:divBdr>
            <w:top w:val="none" w:sz="0" w:space="0" w:color="auto"/>
            <w:left w:val="none" w:sz="0" w:space="0" w:color="auto"/>
            <w:bottom w:val="none" w:sz="0" w:space="0" w:color="auto"/>
            <w:right w:val="none" w:sz="0" w:space="0" w:color="auto"/>
          </w:divBdr>
        </w:div>
        <w:div w:id="1795557666">
          <w:marLeft w:val="2520"/>
          <w:marRight w:val="0"/>
          <w:marTop w:val="96"/>
          <w:marBottom w:val="0"/>
          <w:divBdr>
            <w:top w:val="none" w:sz="0" w:space="0" w:color="auto"/>
            <w:left w:val="none" w:sz="0" w:space="0" w:color="auto"/>
            <w:bottom w:val="none" w:sz="0" w:space="0" w:color="auto"/>
            <w:right w:val="none" w:sz="0" w:space="0" w:color="auto"/>
          </w:divBdr>
        </w:div>
        <w:div w:id="605164197">
          <w:marLeft w:val="1166"/>
          <w:marRight w:val="0"/>
          <w:marTop w:val="134"/>
          <w:marBottom w:val="0"/>
          <w:divBdr>
            <w:top w:val="none" w:sz="0" w:space="0" w:color="auto"/>
            <w:left w:val="none" w:sz="0" w:space="0" w:color="auto"/>
            <w:bottom w:val="none" w:sz="0" w:space="0" w:color="auto"/>
            <w:right w:val="none" w:sz="0" w:space="0" w:color="auto"/>
          </w:divBdr>
        </w:div>
        <w:div w:id="1609042785">
          <w:marLeft w:val="1800"/>
          <w:marRight w:val="0"/>
          <w:marTop w:val="115"/>
          <w:marBottom w:val="0"/>
          <w:divBdr>
            <w:top w:val="none" w:sz="0" w:space="0" w:color="auto"/>
            <w:left w:val="none" w:sz="0" w:space="0" w:color="auto"/>
            <w:bottom w:val="none" w:sz="0" w:space="0" w:color="auto"/>
            <w:right w:val="none" w:sz="0" w:space="0" w:color="auto"/>
          </w:divBdr>
        </w:div>
        <w:div w:id="772019582">
          <w:marLeft w:val="2520"/>
          <w:marRight w:val="0"/>
          <w:marTop w:val="9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1615853">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10413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5095236">
      <w:bodyDiv w:val="1"/>
      <w:marLeft w:val="0"/>
      <w:marRight w:val="0"/>
      <w:marTop w:val="0"/>
      <w:marBottom w:val="0"/>
      <w:divBdr>
        <w:top w:val="none" w:sz="0" w:space="0" w:color="auto"/>
        <w:left w:val="none" w:sz="0" w:space="0" w:color="auto"/>
        <w:bottom w:val="none" w:sz="0" w:space="0" w:color="auto"/>
        <w:right w:val="none" w:sz="0" w:space="0" w:color="auto"/>
      </w:divBdr>
      <w:divsChild>
        <w:div w:id="1465268685">
          <w:marLeft w:val="547"/>
          <w:marRight w:val="0"/>
          <w:marTop w:val="154"/>
          <w:marBottom w:val="0"/>
          <w:divBdr>
            <w:top w:val="none" w:sz="0" w:space="0" w:color="auto"/>
            <w:left w:val="none" w:sz="0" w:space="0" w:color="auto"/>
            <w:bottom w:val="none" w:sz="0" w:space="0" w:color="auto"/>
            <w:right w:val="none" w:sz="0" w:space="0" w:color="auto"/>
          </w:divBdr>
        </w:div>
        <w:div w:id="1224415845">
          <w:marLeft w:val="1166"/>
          <w:marRight w:val="0"/>
          <w:marTop w:val="134"/>
          <w:marBottom w:val="0"/>
          <w:divBdr>
            <w:top w:val="none" w:sz="0" w:space="0" w:color="auto"/>
            <w:left w:val="none" w:sz="0" w:space="0" w:color="auto"/>
            <w:bottom w:val="none" w:sz="0" w:space="0" w:color="auto"/>
            <w:right w:val="none" w:sz="0" w:space="0" w:color="auto"/>
          </w:divBdr>
        </w:div>
        <w:div w:id="1169952334">
          <w:marLeft w:val="1800"/>
          <w:marRight w:val="0"/>
          <w:marTop w:val="115"/>
          <w:marBottom w:val="0"/>
          <w:divBdr>
            <w:top w:val="none" w:sz="0" w:space="0" w:color="auto"/>
            <w:left w:val="none" w:sz="0" w:space="0" w:color="auto"/>
            <w:bottom w:val="none" w:sz="0" w:space="0" w:color="auto"/>
            <w:right w:val="none" w:sz="0" w:space="0" w:color="auto"/>
          </w:divBdr>
        </w:div>
      </w:divsChild>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2618525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5192697">
      <w:bodyDiv w:val="1"/>
      <w:marLeft w:val="0"/>
      <w:marRight w:val="0"/>
      <w:marTop w:val="0"/>
      <w:marBottom w:val="0"/>
      <w:divBdr>
        <w:top w:val="none" w:sz="0" w:space="0" w:color="auto"/>
        <w:left w:val="none" w:sz="0" w:space="0" w:color="auto"/>
        <w:bottom w:val="none" w:sz="0" w:space="0" w:color="auto"/>
        <w:right w:val="none" w:sz="0" w:space="0" w:color="auto"/>
      </w:divBdr>
      <w:divsChild>
        <w:div w:id="1799911269">
          <w:marLeft w:val="547"/>
          <w:marRight w:val="0"/>
          <w:marTop w:val="154"/>
          <w:marBottom w:val="0"/>
          <w:divBdr>
            <w:top w:val="none" w:sz="0" w:space="0" w:color="auto"/>
            <w:left w:val="none" w:sz="0" w:space="0" w:color="auto"/>
            <w:bottom w:val="none" w:sz="0" w:space="0" w:color="auto"/>
            <w:right w:val="none" w:sz="0" w:space="0" w:color="auto"/>
          </w:divBdr>
        </w:div>
        <w:div w:id="1342003489">
          <w:marLeft w:val="1166"/>
          <w:marRight w:val="0"/>
          <w:marTop w:val="134"/>
          <w:marBottom w:val="0"/>
          <w:divBdr>
            <w:top w:val="none" w:sz="0" w:space="0" w:color="auto"/>
            <w:left w:val="none" w:sz="0" w:space="0" w:color="auto"/>
            <w:bottom w:val="none" w:sz="0" w:space="0" w:color="auto"/>
            <w:right w:val="none" w:sz="0" w:space="0" w:color="auto"/>
          </w:divBdr>
        </w:div>
        <w:div w:id="491140629">
          <w:marLeft w:val="1800"/>
          <w:marRight w:val="0"/>
          <w:marTop w:val="115"/>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551785">
      <w:bodyDiv w:val="1"/>
      <w:marLeft w:val="0"/>
      <w:marRight w:val="0"/>
      <w:marTop w:val="0"/>
      <w:marBottom w:val="0"/>
      <w:divBdr>
        <w:top w:val="none" w:sz="0" w:space="0" w:color="auto"/>
        <w:left w:val="none" w:sz="0" w:space="0" w:color="auto"/>
        <w:bottom w:val="none" w:sz="0" w:space="0" w:color="auto"/>
        <w:right w:val="none" w:sz="0" w:space="0" w:color="auto"/>
      </w:divBdr>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6843642-751A-46E1-A948-7BD3072A8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13760</TotalTime>
  <Pages>1</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cp:revision>
  <cp:lastPrinted>2009-04-22T06:01:00Z</cp:lastPrinted>
  <dcterms:created xsi:type="dcterms:W3CDTF">2020-07-07T06:33:00Z</dcterms:created>
  <dcterms:modified xsi:type="dcterms:W3CDTF">2021-01-15T19:31:00Z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