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8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R4-2101960</w:t>
      </w:r>
    </w:p>
    <w:p>
      <w:pPr>
        <w:rPr>
          <w:rFonts w:hint="eastAsia" w:ascii="Arial" w:hAnsi="Arial" w:cs="Arial"/>
          <w:b/>
          <w:sz w:val="24"/>
          <w:szCs w:val="24"/>
          <w:highlight w:val="yellow"/>
        </w:rPr>
      </w:pP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before="240" w:after="0"/>
        <w:jc w:val="both"/>
        <w:rPr>
          <w:rFonts w:hint="default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7.4.3.2.1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Discussion on IAB test configurations</w:t>
      </w:r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100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0" w:name="OLE_LINK14"/>
      <w:bookmarkStart w:id="1" w:name="OLE_LINK13"/>
      <w:r>
        <w:rPr>
          <w:sz w:val="36"/>
          <w:szCs w:val="36"/>
        </w:rPr>
        <w:t>Introduction</w:t>
      </w:r>
    </w:p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>During RAN4#97e, WF for manufacturer declarations, test models and configurations including Rx FRC was approved for further study, therefore in this contribution, we want to share some initial considerations on test configurations perspective.</w:t>
      </w:r>
    </w:p>
    <w:p>
      <w:pPr>
        <w:pStyle w:val="100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Discussion</w:t>
      </w:r>
    </w:p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 xml:space="preserve">Firstly of all, since in-band/guard band NB-IoT is not supported for AAS based architecture, therefore NB-IoT should be removed from IAB-DU as IAB-DU only support IAB-DU 1-H and 1-O which is AAS based architecture. </w:t>
      </w:r>
    </w:p>
    <w:p>
      <w:pPr>
        <w:spacing w:before="120" w:after="0"/>
        <w:rPr>
          <w:rFonts w:hint="eastAsia" w:eastAsia="宋体"/>
          <w:b/>
          <w:bCs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Proposal 1: to remove in-band NB-IoT from test configurations for IAB-DU 1-H and 1-O.</w:t>
      </w:r>
    </w:p>
    <w:p>
      <w:pPr>
        <w:spacing w:before="120" w:after="0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>Secondly, as discussed in the last RAN4 meeting, lots of IAB-DU and IAB-MT have the same requirements. In addition, it</w:t>
      </w:r>
      <w:r>
        <w:rPr>
          <w:rFonts w:hint="default" w:eastAsia="宋体"/>
          <w:sz w:val="20"/>
          <w:szCs w:val="22"/>
          <w:lang w:val="en-US" w:eastAsia="zh-CN"/>
        </w:rPr>
        <w:t>’</w:t>
      </w:r>
      <w:r>
        <w:rPr>
          <w:rFonts w:hint="eastAsia" w:eastAsia="宋体"/>
          <w:sz w:val="20"/>
          <w:szCs w:val="22"/>
          <w:lang w:val="en-US" w:eastAsia="zh-CN"/>
        </w:rPr>
        <w:t xml:space="preserve">s highly possible that IAB-DU and IAB-MT share the same hardware which means the same configuration could be applied for both IAB-DU and IAB-MT, therefore we propose to have the same test configurations for IAB-DU and IAB-MT which could be inherited from existing BS test configurations. </w:t>
      </w:r>
    </w:p>
    <w:p>
      <w:pPr>
        <w:spacing w:before="120" w:after="0"/>
        <w:rPr>
          <w:rFonts w:hint="default" w:eastAsia="宋体"/>
          <w:b/>
          <w:bCs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Proposal 2: to define the same test configurations for IAB-DU and IAB-MT.</w:t>
      </w:r>
    </w:p>
    <w:p>
      <w:pPr>
        <w:pStyle w:val="5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jc w:val="left"/>
        <w:textAlignment w:val="auto"/>
        <w:rPr>
          <w:rFonts w:hint="default" w:ascii="Times New Roman" w:hAnsi="Times New Roman" w:eastAsia="宋体" w:cs="Times New Roman"/>
          <w:b w:val="0"/>
          <w:sz w:val="20"/>
          <w:szCs w:val="22"/>
          <w:lang w:val="en-US" w:eastAsia="zh-CN" w:bidi="ar-SA"/>
        </w:rPr>
      </w:pPr>
      <w:bookmarkStart w:id="2" w:name="_Ref516750404"/>
      <w:r>
        <w:rPr>
          <w:rFonts w:hint="eastAsia" w:ascii="Times New Roman" w:hAnsi="Times New Roman" w:eastAsia="宋体" w:cs="Times New Roman"/>
          <w:b w:val="0"/>
          <w:sz w:val="20"/>
          <w:szCs w:val="22"/>
          <w:lang w:val="en-US" w:eastAsia="zh-CN" w:bidi="ar-SA"/>
        </w:rPr>
        <w:t>One exception case is for IAB-MT, the minimum channel bandwidth for IAB-MT is 10MHz for FR1, therefore the following table should be updated with 10MHz for F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vertAlign w:val="subscript"/>
          <w:lang w:val="en-US" w:eastAsia="zh-CN" w:bidi="ar-SA"/>
        </w:rPr>
        <w:t>DL_high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lang w:val="en-US" w:eastAsia="zh-CN" w:bidi="ar-SA"/>
        </w:rPr>
        <w:t xml:space="preserve"> – F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vertAlign w:val="subscript"/>
          <w:lang w:val="en-US" w:eastAsia="zh-CN" w:bidi="ar-SA"/>
        </w:rPr>
        <w:t>DL_low</w:t>
      </w:r>
      <w:r>
        <w:rPr>
          <w:rFonts w:hint="eastAsia" w:ascii="Times New Roman" w:hAnsi="Times New Roman" w:eastAsia="宋体" w:cs="Times New Roman"/>
          <w:b w:val="0"/>
          <w:sz w:val="20"/>
          <w:szCs w:val="22"/>
          <w:lang w:val="en-US" w:eastAsia="zh-CN" w:bidi="ar-SA"/>
        </w:rPr>
        <w:t xml:space="preserve"> &lt;100 MHz.</w:t>
      </w:r>
    </w:p>
    <w:p>
      <w:pPr>
        <w:pStyle w:val="59"/>
        <w:ind w:left="568" w:firstLine="284"/>
      </w:pPr>
      <w:r>
        <w:t>Table</w:t>
      </w:r>
      <w:bookmarkEnd w:id="2"/>
      <w:r>
        <w:t xml:space="preserve"> 4.7.2-1: Signal to be used to build NR TCs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75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gridSpan w:val="2"/>
            <w:shd w:val="clear" w:color="auto" w:fill="auto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/>
              </w:rPr>
              <w:t>Operating Band characteristics</w:t>
            </w:r>
          </w:p>
        </w:tc>
        <w:tc>
          <w:tcPr>
            <w:tcW w:w="1968" w:type="dxa"/>
            <w:shd w:val="clear" w:color="auto" w:fill="auto"/>
          </w:tcPr>
          <w:p>
            <w:pPr>
              <w:pStyle w:val="55"/>
              <w:rPr>
                <w:lang w:val="en-US"/>
              </w:rPr>
            </w:pPr>
            <w:r>
              <w:t>F</w:t>
            </w:r>
            <w:r>
              <w:rPr>
                <w:vertAlign w:val="subscript"/>
              </w:rPr>
              <w:t>DL_high</w:t>
            </w:r>
            <w:r>
              <w:t xml:space="preserve"> – F</w:t>
            </w:r>
            <w:r>
              <w:rPr>
                <w:vertAlign w:val="subscript"/>
              </w:rPr>
              <w:t>DL_low</w:t>
            </w:r>
            <w:r>
              <w:rPr>
                <w:lang w:val="en-US"/>
              </w:rPr>
              <w:t xml:space="preserve"> &lt;100 MHz</w:t>
            </w:r>
          </w:p>
        </w:tc>
        <w:tc>
          <w:tcPr>
            <w:tcW w:w="1968" w:type="dxa"/>
            <w:shd w:val="clear" w:color="auto" w:fill="auto"/>
          </w:tcPr>
          <w:p>
            <w:pPr>
              <w:pStyle w:val="55"/>
              <w:rPr>
                <w:lang w:val="en-US"/>
              </w:rPr>
            </w:pPr>
            <w:r>
              <w:t>F</w:t>
            </w:r>
            <w:r>
              <w:rPr>
                <w:vertAlign w:val="subscript"/>
              </w:rPr>
              <w:t>DL_high</w:t>
            </w:r>
            <w:r>
              <w:t xml:space="preserve"> – F</w:t>
            </w:r>
            <w:r>
              <w:rPr>
                <w:vertAlign w:val="subscript"/>
              </w:rPr>
              <w:t>DL_low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75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 xml:space="preserve">TC signal </w:t>
            </w:r>
          </w:p>
        </w:tc>
        <w:tc>
          <w:tcPr>
            <w:tcW w:w="1975" w:type="dxa"/>
            <w:shd w:val="clear" w:color="auto" w:fill="auto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channel</w:t>
            </w:r>
          </w:p>
        </w:tc>
        <w:tc>
          <w:tcPr>
            <w:tcW w:w="1968" w:type="dxa"/>
            <w:shd w:val="clear" w:color="auto" w:fill="auto"/>
          </w:tcPr>
          <w:p>
            <w:pPr>
              <w:pStyle w:val="56"/>
            </w:pPr>
            <w:r>
              <w:rPr>
                <w:lang w:val="en-US"/>
              </w:rPr>
              <w:t>5 MHz (Note 1)</w:t>
            </w:r>
          </w:p>
        </w:tc>
        <w:tc>
          <w:tcPr>
            <w:tcW w:w="1968" w:type="dxa"/>
            <w:shd w:val="clear" w:color="auto" w:fill="auto"/>
          </w:tcPr>
          <w:p>
            <w:pPr>
              <w:pStyle w:val="56"/>
            </w:pPr>
            <w:r>
              <w:rPr>
                <w:lang w:val="en-US"/>
              </w:rPr>
              <w:t>20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75" w:type="dxa"/>
            <w:tcBorders>
              <w:top w:val="nil"/>
            </w:tcBorders>
            <w:shd w:val="clear" w:color="auto" w:fill="auto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characteristics</w:t>
            </w:r>
          </w:p>
        </w:tc>
        <w:tc>
          <w:tcPr>
            <w:tcW w:w="1975" w:type="dxa"/>
            <w:shd w:val="clear" w:color="auto" w:fill="auto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3936" w:type="dxa"/>
            <w:gridSpan w:val="2"/>
            <w:shd w:val="clear" w:color="auto" w:fill="auto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Smallest supported subcarrier spacing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86" w:type="dxa"/>
            <w:gridSpan w:val="4"/>
            <w:shd w:val="clear" w:color="auto" w:fill="auto"/>
          </w:tcPr>
          <w:p>
            <w:pPr>
              <w:pStyle w:val="70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If this channel bandwidth is not supported, the narrowest supported channel bandwidth shall be used.</w:t>
            </w:r>
          </w:p>
        </w:tc>
      </w:tr>
    </w:tbl>
    <w:p>
      <w:pPr>
        <w:spacing w:before="120" w:after="0"/>
        <w:rPr>
          <w:rFonts w:hint="default" w:eastAsia="宋体"/>
          <w:b/>
          <w:bCs/>
          <w:sz w:val="20"/>
          <w:szCs w:val="22"/>
          <w:lang w:val="en-US" w:eastAsia="zh-CN"/>
        </w:rPr>
      </w:pPr>
    </w:p>
    <w:p>
      <w:pPr>
        <w:pStyle w:val="100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Conclusion</w:t>
      </w:r>
    </w:p>
    <w:p>
      <w:pPr>
        <w:spacing w:before="120" w:after="0"/>
        <w:rPr>
          <w:rFonts w:hint="default" w:eastAsia="宋体"/>
          <w:b w:val="0"/>
          <w:bCs w:val="0"/>
          <w:sz w:val="20"/>
          <w:szCs w:val="22"/>
          <w:lang w:val="en-US" w:eastAsia="zh-CN"/>
        </w:rPr>
      </w:pPr>
      <w:r>
        <w:rPr>
          <w:rFonts w:hint="eastAsia" w:eastAsia="宋体"/>
          <w:b w:val="0"/>
          <w:bCs w:val="0"/>
          <w:sz w:val="20"/>
          <w:szCs w:val="22"/>
          <w:lang w:val="en-US" w:eastAsia="zh-CN"/>
        </w:rPr>
        <w:t>In this contribution, we share some initial understandings on the IAB-MT test configurations and proposals are made as following:</w:t>
      </w:r>
    </w:p>
    <w:p>
      <w:pPr>
        <w:spacing w:before="120" w:after="0"/>
        <w:rPr>
          <w:rFonts w:hint="eastAsia" w:eastAsia="宋体"/>
          <w:b/>
          <w:bCs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Proposal 1: to remove in-band NB-IoT  from test configurations for IAB-DU 1-H and 1-O.</w:t>
      </w:r>
    </w:p>
    <w:p>
      <w:pPr>
        <w:spacing w:before="120" w:after="0"/>
        <w:rPr>
          <w:rFonts w:hint="default" w:eastAsia="宋体"/>
          <w:b/>
          <w:bCs/>
          <w:sz w:val="20"/>
          <w:szCs w:val="22"/>
          <w:lang w:val="en-US" w:eastAsia="zh-CN"/>
        </w:rPr>
      </w:pPr>
      <w:r>
        <w:rPr>
          <w:rFonts w:hint="eastAsia" w:eastAsia="宋体"/>
          <w:b/>
          <w:bCs/>
          <w:sz w:val="20"/>
          <w:szCs w:val="22"/>
          <w:lang w:val="en-US" w:eastAsia="zh-CN"/>
        </w:rPr>
        <w:t>Proposal 2: to define the same test configurations for IAB-DU and IAB-MT.</w:t>
      </w:r>
    </w:p>
    <w:p>
      <w:pPr>
        <w:pStyle w:val="100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360"/>
        <w:ind w:left="360" w:leftChars="0" w:hanging="360" w:firstLineChars="0"/>
        <w:outlineLvl w:val="0"/>
        <w:rPr>
          <w:sz w:val="36"/>
        </w:rPr>
      </w:pPr>
      <w:r>
        <w:rPr>
          <w:sz w:val="36"/>
        </w:rPr>
        <w:t>References</w:t>
      </w:r>
    </w:p>
    <w:bookmarkEnd w:id="0"/>
    <w:bookmarkEnd w:id="1"/>
    <w:p>
      <w:pPr>
        <w:pStyle w:val="100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R4-2017672</w:t>
      </w:r>
      <w:r>
        <w:rPr>
          <w:rFonts w:hint="eastAsia" w:ascii="Times New Roman" w:hAnsi="Times New Roman" w:eastAsia="宋体"/>
          <w:sz w:val="20"/>
          <w:szCs w:val="22"/>
          <w:lang w:val="en-US" w:eastAsia="zh-CN"/>
        </w:rPr>
        <w:t>,</w:t>
      </w:r>
      <w:r>
        <w:rPr>
          <w:rFonts w:ascii="Times New Roman" w:hAnsi="Times New Roman"/>
          <w:sz w:val="20"/>
          <w:szCs w:val="22"/>
        </w:rPr>
        <w:t>WF on manufacturer declarations, test models and configurations including Rx FRC</w:t>
      </w:r>
      <w:r>
        <w:rPr>
          <w:rFonts w:hint="eastAsia" w:ascii="Times New Roman" w:hAnsi="Times New Roman" w:eastAsia="宋体"/>
          <w:sz w:val="20"/>
          <w:szCs w:val="22"/>
          <w:lang w:val="en-US" w:eastAsia="zh-CN"/>
        </w:rPr>
        <w:t>, Ericsson, approved.</w:t>
      </w:r>
    </w:p>
    <w:p>
      <w:pPr>
        <w:pStyle w:val="100"/>
        <w:numPr>
          <w:ilvl w:val="0"/>
          <w:numId w:val="0"/>
        </w:numPr>
        <w:spacing w:before="240"/>
        <w:ind w:left="357" w:leftChars="0"/>
        <w:contextualSpacing w:val="0"/>
        <w:rPr>
          <w:rFonts w:ascii="Times New Roman" w:hAnsi="Times New Roman"/>
          <w:sz w:val="20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411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877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61E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3BC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27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0D71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1BE7F2B"/>
    <w:rsid w:val="022D538D"/>
    <w:rsid w:val="024172D6"/>
    <w:rsid w:val="02A324A4"/>
    <w:rsid w:val="03233CCB"/>
    <w:rsid w:val="033B1A7E"/>
    <w:rsid w:val="033E7DCD"/>
    <w:rsid w:val="03E84C94"/>
    <w:rsid w:val="053A2824"/>
    <w:rsid w:val="055A1636"/>
    <w:rsid w:val="058624CB"/>
    <w:rsid w:val="05A71C3A"/>
    <w:rsid w:val="05CD2851"/>
    <w:rsid w:val="06EE4AE7"/>
    <w:rsid w:val="07702B5C"/>
    <w:rsid w:val="07DC3A7E"/>
    <w:rsid w:val="08173423"/>
    <w:rsid w:val="08661CBB"/>
    <w:rsid w:val="08995033"/>
    <w:rsid w:val="089B2B4D"/>
    <w:rsid w:val="08B05456"/>
    <w:rsid w:val="08E56E27"/>
    <w:rsid w:val="090672A8"/>
    <w:rsid w:val="0971788A"/>
    <w:rsid w:val="098966B1"/>
    <w:rsid w:val="0A11556B"/>
    <w:rsid w:val="0AE40B9A"/>
    <w:rsid w:val="0AE4453E"/>
    <w:rsid w:val="0B712EAE"/>
    <w:rsid w:val="0C036937"/>
    <w:rsid w:val="0CF44C1E"/>
    <w:rsid w:val="0DDA4A51"/>
    <w:rsid w:val="0E1B6EE7"/>
    <w:rsid w:val="0E9D145B"/>
    <w:rsid w:val="0F8014FC"/>
    <w:rsid w:val="1017676B"/>
    <w:rsid w:val="108A41C1"/>
    <w:rsid w:val="11340BC4"/>
    <w:rsid w:val="116D1DA0"/>
    <w:rsid w:val="12134028"/>
    <w:rsid w:val="12A16824"/>
    <w:rsid w:val="13203BCC"/>
    <w:rsid w:val="13DA5D61"/>
    <w:rsid w:val="14365B33"/>
    <w:rsid w:val="149F1EA7"/>
    <w:rsid w:val="15D9531F"/>
    <w:rsid w:val="15DD65B4"/>
    <w:rsid w:val="162E3F4E"/>
    <w:rsid w:val="176E7C44"/>
    <w:rsid w:val="17747377"/>
    <w:rsid w:val="18123E5A"/>
    <w:rsid w:val="1820336C"/>
    <w:rsid w:val="183D56FF"/>
    <w:rsid w:val="184122B8"/>
    <w:rsid w:val="19E958AC"/>
    <w:rsid w:val="1A626189"/>
    <w:rsid w:val="1BB33317"/>
    <w:rsid w:val="1C2807AD"/>
    <w:rsid w:val="1C4F39BD"/>
    <w:rsid w:val="1C7565C1"/>
    <w:rsid w:val="1D556AEE"/>
    <w:rsid w:val="1D797B44"/>
    <w:rsid w:val="1D9244A6"/>
    <w:rsid w:val="1E4C0BBE"/>
    <w:rsid w:val="1EB240E2"/>
    <w:rsid w:val="1ECC1E49"/>
    <w:rsid w:val="1F624A77"/>
    <w:rsid w:val="200E2514"/>
    <w:rsid w:val="204D7FC9"/>
    <w:rsid w:val="20863787"/>
    <w:rsid w:val="210356C9"/>
    <w:rsid w:val="21981D4B"/>
    <w:rsid w:val="2382415F"/>
    <w:rsid w:val="23EA7F03"/>
    <w:rsid w:val="24E55D1F"/>
    <w:rsid w:val="25317BD4"/>
    <w:rsid w:val="267C2504"/>
    <w:rsid w:val="26D018BA"/>
    <w:rsid w:val="26D144FB"/>
    <w:rsid w:val="27166DE2"/>
    <w:rsid w:val="27604A2A"/>
    <w:rsid w:val="2829687D"/>
    <w:rsid w:val="28794805"/>
    <w:rsid w:val="28BB70D3"/>
    <w:rsid w:val="29540A8F"/>
    <w:rsid w:val="2B2959B2"/>
    <w:rsid w:val="2B325D6C"/>
    <w:rsid w:val="2B8F0CB9"/>
    <w:rsid w:val="2CBC49BD"/>
    <w:rsid w:val="2CBE382B"/>
    <w:rsid w:val="2CE923EC"/>
    <w:rsid w:val="2EB84D47"/>
    <w:rsid w:val="2EBB0A8C"/>
    <w:rsid w:val="2ECB57EB"/>
    <w:rsid w:val="2F681733"/>
    <w:rsid w:val="2FD648B1"/>
    <w:rsid w:val="30575902"/>
    <w:rsid w:val="30F3143C"/>
    <w:rsid w:val="320B7D87"/>
    <w:rsid w:val="329578BE"/>
    <w:rsid w:val="33477224"/>
    <w:rsid w:val="337461EE"/>
    <w:rsid w:val="33CF5A7C"/>
    <w:rsid w:val="3416007A"/>
    <w:rsid w:val="34BF4209"/>
    <w:rsid w:val="35027F08"/>
    <w:rsid w:val="359D28A0"/>
    <w:rsid w:val="35E2285C"/>
    <w:rsid w:val="37F74580"/>
    <w:rsid w:val="38467E80"/>
    <w:rsid w:val="39603927"/>
    <w:rsid w:val="3A736956"/>
    <w:rsid w:val="3A883DDB"/>
    <w:rsid w:val="3B9D2EA1"/>
    <w:rsid w:val="3BBC31AC"/>
    <w:rsid w:val="3BDA52DB"/>
    <w:rsid w:val="3BEF72DF"/>
    <w:rsid w:val="3C4A4C17"/>
    <w:rsid w:val="3C614E83"/>
    <w:rsid w:val="3CFB244D"/>
    <w:rsid w:val="3DB63A46"/>
    <w:rsid w:val="3DBB7AC5"/>
    <w:rsid w:val="3E243FDC"/>
    <w:rsid w:val="3E8B3D71"/>
    <w:rsid w:val="3ECB43D3"/>
    <w:rsid w:val="3EE60E1C"/>
    <w:rsid w:val="3EEF18FC"/>
    <w:rsid w:val="3F1247B2"/>
    <w:rsid w:val="3FB02D03"/>
    <w:rsid w:val="3FC32A86"/>
    <w:rsid w:val="40B14CAC"/>
    <w:rsid w:val="424C0D81"/>
    <w:rsid w:val="42685559"/>
    <w:rsid w:val="43287EB0"/>
    <w:rsid w:val="433A541C"/>
    <w:rsid w:val="44333B88"/>
    <w:rsid w:val="443352F1"/>
    <w:rsid w:val="44D81629"/>
    <w:rsid w:val="45581A6E"/>
    <w:rsid w:val="468307FB"/>
    <w:rsid w:val="474929F2"/>
    <w:rsid w:val="47C92DA1"/>
    <w:rsid w:val="48027D71"/>
    <w:rsid w:val="4918141A"/>
    <w:rsid w:val="49D169DA"/>
    <w:rsid w:val="4A815995"/>
    <w:rsid w:val="4ADE7F36"/>
    <w:rsid w:val="4B3F5CA9"/>
    <w:rsid w:val="4B665A14"/>
    <w:rsid w:val="4B7379AA"/>
    <w:rsid w:val="4D5E190B"/>
    <w:rsid w:val="4D681118"/>
    <w:rsid w:val="4DAB4DEC"/>
    <w:rsid w:val="4E122207"/>
    <w:rsid w:val="4EB06D40"/>
    <w:rsid w:val="4F253FDE"/>
    <w:rsid w:val="4FBB0321"/>
    <w:rsid w:val="4FF04801"/>
    <w:rsid w:val="505F77C2"/>
    <w:rsid w:val="50635799"/>
    <w:rsid w:val="5064598A"/>
    <w:rsid w:val="508C616F"/>
    <w:rsid w:val="518D2ABD"/>
    <w:rsid w:val="52012ECC"/>
    <w:rsid w:val="522016C8"/>
    <w:rsid w:val="52862EB3"/>
    <w:rsid w:val="529909F2"/>
    <w:rsid w:val="53350C85"/>
    <w:rsid w:val="5338246A"/>
    <w:rsid w:val="53DE68B8"/>
    <w:rsid w:val="544900D5"/>
    <w:rsid w:val="550A31B7"/>
    <w:rsid w:val="55F91656"/>
    <w:rsid w:val="55FE28AE"/>
    <w:rsid w:val="560A3296"/>
    <w:rsid w:val="56D01943"/>
    <w:rsid w:val="572904AC"/>
    <w:rsid w:val="57686E6B"/>
    <w:rsid w:val="579E5CCB"/>
    <w:rsid w:val="57C45EDF"/>
    <w:rsid w:val="58241E37"/>
    <w:rsid w:val="58F861F0"/>
    <w:rsid w:val="59461D8B"/>
    <w:rsid w:val="59A00FF7"/>
    <w:rsid w:val="5A5C28AE"/>
    <w:rsid w:val="5B273F45"/>
    <w:rsid w:val="5B9D0FAC"/>
    <w:rsid w:val="5C384F0A"/>
    <w:rsid w:val="5C3E0BA6"/>
    <w:rsid w:val="5CDE643A"/>
    <w:rsid w:val="5CFA03C1"/>
    <w:rsid w:val="5D5F221D"/>
    <w:rsid w:val="5DAE5FB1"/>
    <w:rsid w:val="5FA82E3D"/>
    <w:rsid w:val="604A6168"/>
    <w:rsid w:val="607A59C2"/>
    <w:rsid w:val="61390383"/>
    <w:rsid w:val="61B0525F"/>
    <w:rsid w:val="622F3F71"/>
    <w:rsid w:val="626A12CD"/>
    <w:rsid w:val="62995D82"/>
    <w:rsid w:val="63771B8E"/>
    <w:rsid w:val="65403EE0"/>
    <w:rsid w:val="65E54532"/>
    <w:rsid w:val="660D7AF0"/>
    <w:rsid w:val="67311B66"/>
    <w:rsid w:val="677C3939"/>
    <w:rsid w:val="67FA5F1C"/>
    <w:rsid w:val="6894744B"/>
    <w:rsid w:val="68BB76EA"/>
    <w:rsid w:val="68C90BA8"/>
    <w:rsid w:val="68D12531"/>
    <w:rsid w:val="692339EF"/>
    <w:rsid w:val="69E85E13"/>
    <w:rsid w:val="6A9A1DD8"/>
    <w:rsid w:val="6AF4699E"/>
    <w:rsid w:val="6C0B1E30"/>
    <w:rsid w:val="6C2466D8"/>
    <w:rsid w:val="6C2776E1"/>
    <w:rsid w:val="6C620AD1"/>
    <w:rsid w:val="6C8E046E"/>
    <w:rsid w:val="6CAE0A68"/>
    <w:rsid w:val="6CBD281E"/>
    <w:rsid w:val="6D2F55AB"/>
    <w:rsid w:val="6E3C7EFB"/>
    <w:rsid w:val="6E8A4EAF"/>
    <w:rsid w:val="6F2C6DAF"/>
    <w:rsid w:val="6F480D71"/>
    <w:rsid w:val="6FB03864"/>
    <w:rsid w:val="6FDF4331"/>
    <w:rsid w:val="702A7659"/>
    <w:rsid w:val="71186AFC"/>
    <w:rsid w:val="720700E9"/>
    <w:rsid w:val="73851298"/>
    <w:rsid w:val="74F22325"/>
    <w:rsid w:val="75071B75"/>
    <w:rsid w:val="758C6930"/>
    <w:rsid w:val="75AA7ED3"/>
    <w:rsid w:val="7652671D"/>
    <w:rsid w:val="76627F33"/>
    <w:rsid w:val="76A557C5"/>
    <w:rsid w:val="76B921A3"/>
    <w:rsid w:val="76D90A47"/>
    <w:rsid w:val="76DA6683"/>
    <w:rsid w:val="78057CE9"/>
    <w:rsid w:val="7837219D"/>
    <w:rsid w:val="794E04F4"/>
    <w:rsid w:val="7A1B6F02"/>
    <w:rsid w:val="7AAD0CAE"/>
    <w:rsid w:val="7ACC3113"/>
    <w:rsid w:val="7BA53A89"/>
    <w:rsid w:val="7BDE4CF5"/>
    <w:rsid w:val="7C9745F8"/>
    <w:rsid w:val="7CB80BD7"/>
    <w:rsid w:val="7CF73460"/>
    <w:rsid w:val="7D1A0707"/>
    <w:rsid w:val="7D2A73E0"/>
    <w:rsid w:val="7D572186"/>
    <w:rsid w:val="7D9F0797"/>
    <w:rsid w:val="7DAF1E0B"/>
    <w:rsid w:val="7DBF5902"/>
    <w:rsid w:val="7E4C5DA4"/>
    <w:rsid w:val="7E896923"/>
    <w:rsid w:val="7F052433"/>
    <w:rsid w:val="7F267253"/>
    <w:rsid w:val="7FD6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9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2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annotation reference"/>
    <w:basedOn w:val="46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5"/>
    <w:qFormat/>
    <w:uiPriority w:val="0"/>
    <w:rPr>
      <w:b/>
    </w:rPr>
  </w:style>
  <w:style w:type="paragraph" w:customStyle="1" w:styleId="56">
    <w:name w:val="TAC"/>
    <w:basedOn w:val="57"/>
    <w:link w:val="93"/>
    <w:qFormat/>
    <w:uiPriority w:val="0"/>
    <w:pPr>
      <w:jc w:val="center"/>
    </w:pPr>
  </w:style>
  <w:style w:type="paragraph" w:customStyle="1" w:styleId="57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link w:val="10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link w:val="96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link w:val="87"/>
    <w:qFormat/>
    <w:uiPriority w:val="0"/>
  </w:style>
  <w:style w:type="paragraph" w:customStyle="1" w:styleId="80">
    <w:name w:val="B2"/>
    <w:basedOn w:val="13"/>
    <w:link w:val="88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IvD bodytext"/>
    <w:basedOn w:val="30"/>
    <w:link w:val="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0">
    <w:name w:val="IvD bodytext Char"/>
    <w:link w:val="89"/>
    <w:qFormat/>
    <w:uiPriority w:val="0"/>
    <w:rPr>
      <w:rFonts w:ascii="Arial" w:hAnsi="Arial"/>
      <w:spacing w:val="2"/>
      <w:lang w:val="en-US" w:eastAsia="en-US"/>
    </w:rPr>
  </w:style>
  <w:style w:type="character" w:customStyle="1" w:styleId="91">
    <w:name w:val="Body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C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N Char"/>
    <w:link w:val="70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100">
    <w:name w:val="List Paragraph"/>
    <w:basedOn w:val="1"/>
    <w:link w:val="103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1">
    <w:name w:val="EQ Char"/>
    <w:link w:val="66"/>
    <w:qFormat/>
    <w:uiPriority w:val="0"/>
    <w:rPr>
      <w:rFonts w:ascii="Times New Roman" w:hAnsi="Times New Roman"/>
      <w:lang w:val="en-GB" w:eastAsia="en-US"/>
    </w:rPr>
  </w:style>
  <w:style w:type="character" w:styleId="102">
    <w:name w:val="Placeholder Text"/>
    <w:basedOn w:val="46"/>
    <w:semiHidden/>
    <w:qFormat/>
    <w:uiPriority w:val="99"/>
    <w:rPr>
      <w:color w:val="808080"/>
    </w:rPr>
  </w:style>
  <w:style w:type="character" w:customStyle="1" w:styleId="103">
    <w:name w:val="List Paragraph Char"/>
    <w:link w:val="100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4">
    <w:name w:val="IvD Instructiontext"/>
    <w:basedOn w:val="30"/>
    <w:link w:val="10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5">
    <w:name w:val="IvD Instructiontext Char"/>
    <w:link w:val="104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6">
    <w:name w:val="Guidance"/>
    <w:basedOn w:val="1"/>
    <w:link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7">
    <w:name w:val="Guidance Char"/>
    <w:link w:val="106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8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/>
</ds:datastoreItem>
</file>

<file path=customXml/itemProps3.xml><?xml version="1.0" encoding="utf-8"?>
<ds:datastoreItem xmlns:ds="http://schemas.openxmlformats.org/officeDocument/2006/customXml" ds:itemID="{B68BFF61-86BD-418D-90B6-8074BC4996A6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F89CB629-713A-48FC-851D-00967F0366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265</Words>
  <Characters>1517</Characters>
  <Lines>12</Lines>
  <Paragraphs>3</Paragraphs>
  <TotalTime>4</TotalTime>
  <ScaleCrop>false</ScaleCrop>
  <LinksUpToDate>false</LinksUpToDate>
  <CharactersWithSpaces>1779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ZTE</cp:lastModifiedBy>
  <cp:lastPrinted>2411-12-31T15:59:00Z</cp:lastPrinted>
  <dcterms:modified xsi:type="dcterms:W3CDTF">2021-01-15T15:03:01Z</dcterms:modified>
  <dc:title>3GPP Change Request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2052-11.8.2.9022</vt:lpwstr>
  </property>
</Properties>
</file>