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70106E12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E02456">
        <w:rPr>
          <w:rFonts w:ascii="Arial" w:hAnsi="Arial" w:cs="Times New Roman" w:hint="eastAsia"/>
          <w:b/>
          <w:sz w:val="24"/>
          <w:szCs w:val="20"/>
          <w:lang w:val="en-GB" w:eastAsia="zh-CN"/>
        </w:rPr>
        <w:t>5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A51F0E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0</w:t>
      </w:r>
      <w:r w:rsidR="007B1F50">
        <w:rPr>
          <w:rFonts w:ascii="Arial" w:hAnsi="Arial" w:cs="Times New Roman"/>
          <w:b/>
          <w:bCs/>
          <w:sz w:val="24"/>
          <w:szCs w:val="20"/>
          <w:lang w:val="en-GB" w:eastAsia="zh-CN"/>
        </w:rPr>
        <w:t>8197</w:t>
      </w:r>
    </w:p>
    <w:bookmarkEnd w:id="0"/>
    <w:bookmarkEnd w:id="1"/>
    <w:p w14:paraId="06F8135D" w14:textId="4C6037DF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>May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>5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June 5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7954B93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223A7">
        <w:rPr>
          <w:rFonts w:ascii="Arial" w:eastAsia="Calibri" w:hAnsi="Arial" w:cs="Arial" w:hint="eastAsia"/>
          <w:b/>
          <w:bCs/>
          <w:sz w:val="24"/>
          <w:lang w:val="en-GB"/>
        </w:rPr>
        <w:t>T</w:t>
      </w:r>
      <w:r w:rsidR="008223A7">
        <w:rPr>
          <w:rFonts w:ascii="Arial" w:eastAsia="Calibri" w:hAnsi="Arial" w:cs="Arial"/>
          <w:b/>
          <w:bCs/>
          <w:sz w:val="24"/>
          <w:lang w:val="en-GB"/>
        </w:rPr>
        <w:t>iming requirements for IAB-MT</w:t>
      </w:r>
    </w:p>
    <w:p w14:paraId="16C6760A" w14:textId="13CF543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13A5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8223A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223A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E2FD4DA" w14:textId="40EB2806" w:rsidR="00B16D71" w:rsidRPr="009E684D" w:rsidRDefault="00E76531" w:rsidP="00A33070">
      <w:pPr>
        <w:spacing w:before="240" w:after="0"/>
      </w:pPr>
      <w:r>
        <w:rPr>
          <w:lang w:val="en-GB"/>
        </w:rPr>
        <w:t>In RAN4#9</w:t>
      </w:r>
      <w:r w:rsidR="005017F5">
        <w:rPr>
          <w:lang w:val="en-GB"/>
        </w:rPr>
        <w:t>4</w:t>
      </w:r>
      <w:r w:rsidR="00801AF4">
        <w:rPr>
          <w:lang w:val="en-GB"/>
        </w:rPr>
        <w:t>-e</w:t>
      </w:r>
      <w:r w:rsidR="009C7379">
        <w:rPr>
          <w:lang w:val="en-GB"/>
        </w:rPr>
        <w:t>-bis</w:t>
      </w:r>
      <w:r>
        <w:rPr>
          <w:lang w:val="en-GB"/>
        </w:rPr>
        <w:t xml:space="preserve"> meeting, </w:t>
      </w:r>
      <w:r w:rsidR="009B73C7">
        <w:rPr>
          <w:lang w:val="en-GB"/>
        </w:rPr>
        <w:t xml:space="preserve">a TP on </w:t>
      </w:r>
      <w:r w:rsidR="00752CEA">
        <w:rPr>
          <w:lang w:val="en-GB"/>
        </w:rPr>
        <w:t>Transmit Timing requirements for IAB-MT was approved in [1]</w:t>
      </w:r>
      <w:r>
        <w:rPr>
          <w:lang w:val="en-GB"/>
        </w:rPr>
        <w:t>.</w:t>
      </w:r>
      <w:r w:rsidR="00B16D71">
        <w:rPr>
          <w:lang w:val="en-GB"/>
        </w:rPr>
        <w:t xml:space="preserve"> </w:t>
      </w:r>
      <w:r w:rsidR="00752CEA">
        <w:rPr>
          <w:lang w:val="en-GB"/>
        </w:rPr>
        <w:t>The TP is mainly followed NR Rel-15 UE requirements with some update</w:t>
      </w:r>
      <w:r w:rsidR="00953F39">
        <w:rPr>
          <w:lang w:val="en-GB"/>
        </w:rPr>
        <w:t xml:space="preserve">. However, SSB periodicity larger than 160ms, CA scenarios and DRX mode are not considered in the requirements. </w:t>
      </w:r>
      <w:r w:rsidR="00752CEA">
        <w:rPr>
          <w:lang w:val="en-GB"/>
        </w:rPr>
        <w:t xml:space="preserve"> </w:t>
      </w:r>
    </w:p>
    <w:p w14:paraId="0778A3F2" w14:textId="22177686" w:rsidR="00C0485C" w:rsidRPr="00C0485C" w:rsidRDefault="00C0485C" w:rsidP="005C23A4">
      <w:r>
        <w:t xml:space="preserve">In this contribution we </w:t>
      </w:r>
      <w:r w:rsidR="00752CEA">
        <w:t>will discuss</w:t>
      </w:r>
      <w:r w:rsidR="00122FFC">
        <w:t xml:space="preserve"> and provide our view</w:t>
      </w:r>
      <w:r>
        <w:t xml:space="preserve"> </w:t>
      </w:r>
      <w:r w:rsidR="00B16D71">
        <w:t xml:space="preserve">on </w:t>
      </w:r>
      <w:r w:rsidR="00953F39">
        <w:t xml:space="preserve">these issued for </w:t>
      </w:r>
      <w:r w:rsidR="00752CEA">
        <w:rPr>
          <w:lang w:eastAsia="zh-CN"/>
        </w:rPr>
        <w:t>the transmit timing requirements for IAB-MT</w:t>
      </w:r>
      <w:r w:rsidR="00B16D71"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0DD485AA" w14:textId="560B45E2" w:rsidR="00C837B7" w:rsidRDefault="00C837B7" w:rsidP="00C837B7">
      <w:pPr>
        <w:pStyle w:val="RAN4H2"/>
        <w:rPr>
          <w:lang w:val="en-GB"/>
        </w:rPr>
      </w:pPr>
      <w:r>
        <w:rPr>
          <w:lang w:val="en-GB"/>
        </w:rPr>
        <w:t>SSB</w:t>
      </w:r>
      <w:r w:rsidR="00953F39">
        <w:rPr>
          <w:lang w:val="en-GB"/>
        </w:rPr>
        <w:t xml:space="preserve"> transmission</w:t>
      </w:r>
      <w:r>
        <w:rPr>
          <w:lang w:val="en-GB"/>
        </w:rPr>
        <w:t xml:space="preserve"> periodicity</w:t>
      </w:r>
    </w:p>
    <w:p w14:paraId="7B9D7567" w14:textId="47B32073" w:rsidR="00C837B7" w:rsidRPr="002613DD" w:rsidRDefault="00AA2116" w:rsidP="00C837B7">
      <w:r>
        <w:rPr>
          <w:lang w:eastAsia="zh-CN"/>
        </w:rPr>
        <w:t xml:space="preserve">SSB transmission periodicity </w:t>
      </w:r>
      <w:r w:rsidR="00C23ACC">
        <w:rPr>
          <w:lang w:eastAsia="zh-CN"/>
        </w:rPr>
        <w:t xml:space="preserve">for inter-IAB node discovery/measurements </w:t>
      </w:r>
      <w:r>
        <w:rPr>
          <w:lang w:eastAsia="zh-CN"/>
        </w:rPr>
        <w:t xml:space="preserve">was agreed to be </w:t>
      </w:r>
      <w:r w:rsidR="00C23ACC">
        <w:rPr>
          <w:lang w:eastAsia="zh-CN"/>
        </w:rPr>
        <w:t>{</w:t>
      </w:r>
      <w:r w:rsidR="00C23ACC" w:rsidRPr="00C23ACC">
        <w:rPr>
          <w:szCs w:val="20"/>
          <w:lang w:eastAsia="zh-CN"/>
        </w:rPr>
        <w:t>5ms, 10ms, 20ms, 40ms, 80ms, 160ms, 320ms</w:t>
      </w:r>
      <w:r w:rsidR="00C23ACC" w:rsidRPr="00C23ACC">
        <w:rPr>
          <w:rFonts w:hint="eastAsia"/>
          <w:szCs w:val="20"/>
          <w:lang w:eastAsia="zh-CN"/>
        </w:rPr>
        <w:t>,</w:t>
      </w:r>
      <w:r w:rsidR="00C23ACC" w:rsidRPr="00C23ACC">
        <w:rPr>
          <w:szCs w:val="20"/>
          <w:lang w:eastAsia="zh-CN"/>
        </w:rPr>
        <w:t xml:space="preserve"> 640ms</w:t>
      </w:r>
      <w:r w:rsidR="00C23ACC">
        <w:rPr>
          <w:szCs w:val="20"/>
          <w:lang w:eastAsia="zh-CN"/>
        </w:rPr>
        <w:t>}</w:t>
      </w:r>
      <w:r>
        <w:rPr>
          <w:lang w:eastAsia="zh-CN"/>
        </w:rPr>
        <w:t xml:space="preserve"> </w:t>
      </w:r>
      <w:r w:rsidR="00C23ACC">
        <w:rPr>
          <w:lang w:eastAsia="zh-CN"/>
        </w:rPr>
        <w:t>in RAN1#96bis meeting. However, i</w:t>
      </w:r>
      <w:r w:rsidR="00C837B7">
        <w:rPr>
          <w:lang w:eastAsia="zh-CN"/>
        </w:rPr>
        <w:t xml:space="preserve">n the agreed TP on transmit timing requirements for IAB-MT in [1], </w:t>
      </w:r>
      <w:r w:rsidR="00E86524">
        <w:rPr>
          <w:lang w:eastAsia="zh-CN"/>
        </w:rPr>
        <w:t xml:space="preserve">it is limited to be in 160ms when IAB-MT </w:t>
      </w:r>
      <w:r w:rsidR="00E86524" w:rsidRPr="00E86524">
        <w:rPr>
          <w:lang w:eastAsia="zh-CN"/>
        </w:rPr>
        <w:t>shall meet the Te requirement for an initial transmission</w:t>
      </w:r>
      <w:r w:rsidR="00E86524">
        <w:rPr>
          <w:lang w:eastAsia="zh-CN"/>
        </w:rPr>
        <w:t xml:space="preserve">. </w:t>
      </w:r>
      <w:r w:rsidR="00E77925">
        <w:rPr>
          <w:lang w:eastAsia="zh-CN"/>
        </w:rPr>
        <w:t xml:space="preserve">In other words, </w:t>
      </w:r>
      <w:r w:rsidR="00C23ACC">
        <w:rPr>
          <w:lang w:eastAsia="zh-CN"/>
        </w:rPr>
        <w:t>the</w:t>
      </w:r>
      <w:r w:rsidR="0033200C">
        <w:rPr>
          <w:lang w:eastAsia="zh-CN"/>
        </w:rPr>
        <w:t xml:space="preserve"> Te</w:t>
      </w:r>
      <w:r w:rsidR="00C23ACC">
        <w:rPr>
          <w:lang w:eastAsia="zh-CN"/>
        </w:rPr>
        <w:t xml:space="preserve"> requirement</w:t>
      </w:r>
      <w:r w:rsidR="0033200C">
        <w:rPr>
          <w:lang w:eastAsia="zh-CN"/>
        </w:rPr>
        <w:t>s</w:t>
      </w:r>
      <w:r w:rsidR="00953F39">
        <w:rPr>
          <w:lang w:eastAsia="zh-CN"/>
        </w:rPr>
        <w:t xml:space="preserve"> for SSB periodicity larger than 160ms are missing from current specification.</w:t>
      </w:r>
      <w:r w:rsidR="00C23ACC" w:rsidRPr="00C23ACC">
        <w:rPr>
          <w:lang w:eastAsia="zh-CN"/>
        </w:rPr>
        <w:t xml:space="preserve"> </w:t>
      </w:r>
      <w:r w:rsidR="00953F39">
        <w:rPr>
          <w:lang w:eastAsia="zh-CN"/>
        </w:rPr>
        <w:t>From our point of view, we do not see the difference of Te requirements for IAB-MT between SSB periodicity &gt; 160ms and SSB periodicity &lt;=160ms, current Te requirements can be applied also for SSB periodicity &gt; 160ms.</w:t>
      </w:r>
    </w:p>
    <w:p w14:paraId="62ADF411" w14:textId="44932C2C" w:rsidR="00C837B7" w:rsidRPr="00C837B7" w:rsidRDefault="00042694" w:rsidP="00C837B7">
      <w:pPr>
        <w:pStyle w:val="RAN4proposal"/>
        <w:rPr>
          <w:lang w:val="en-GB"/>
        </w:rPr>
      </w:pPr>
      <w:r>
        <w:rPr>
          <w:lang w:val="en-GB"/>
        </w:rPr>
        <w:t xml:space="preserve">The </w:t>
      </w:r>
      <w:r w:rsidR="00E90C2F">
        <w:rPr>
          <w:lang w:val="en-GB"/>
        </w:rPr>
        <w:t xml:space="preserve">current </w:t>
      </w:r>
      <w:r>
        <w:rPr>
          <w:lang w:val="en-GB"/>
        </w:rPr>
        <w:t xml:space="preserve">Te requirements for IAB-MT </w:t>
      </w:r>
      <w:r w:rsidR="00E90C2F">
        <w:rPr>
          <w:lang w:val="en-GB"/>
        </w:rPr>
        <w:t xml:space="preserve">should be applied </w:t>
      </w:r>
      <w:r>
        <w:rPr>
          <w:lang w:val="en-GB"/>
        </w:rPr>
        <w:t xml:space="preserve">for SSB periodicity </w:t>
      </w:r>
      <w:r w:rsidR="00E90C2F">
        <w:rPr>
          <w:lang w:val="en-GB"/>
        </w:rPr>
        <w:t xml:space="preserve">larger than 160ms. </w:t>
      </w:r>
    </w:p>
    <w:p w14:paraId="1611ACF5" w14:textId="4067995A" w:rsidR="00445D19" w:rsidRDefault="009C29E8" w:rsidP="00445D19">
      <w:pPr>
        <w:pStyle w:val="RAN4H2"/>
        <w:rPr>
          <w:lang w:val="en-GB"/>
        </w:rPr>
      </w:pPr>
      <w:r>
        <w:rPr>
          <w:lang w:val="en-GB"/>
        </w:rPr>
        <w:t>CA support</w:t>
      </w:r>
    </w:p>
    <w:p w14:paraId="58AF41EE" w14:textId="5658A17B" w:rsidR="002613DD" w:rsidRDefault="00A96571" w:rsidP="002613DD">
      <w:pPr>
        <w:rPr>
          <w:lang w:val="en-GB"/>
        </w:rPr>
      </w:pPr>
      <w:r>
        <w:rPr>
          <w:lang w:val="en-GB"/>
        </w:rPr>
        <w:t>I</w:t>
      </w:r>
      <w:r w:rsidR="002A2860">
        <w:rPr>
          <w:lang w:val="en-GB"/>
        </w:rPr>
        <w:t>n RAN4 RF session</w:t>
      </w:r>
      <w:r>
        <w:rPr>
          <w:lang w:val="en-GB"/>
        </w:rPr>
        <w:t xml:space="preserve">, it was agreed that </w:t>
      </w:r>
      <w:r>
        <w:t xml:space="preserve">"For the multi-band, multi-carrier and CA requirements, IAB-MT requirements follow BS approach for all wide area IAB-MT class only, other IAB-MT class FFS.". </w:t>
      </w:r>
      <w:r>
        <w:rPr>
          <w:lang w:val="en-GB"/>
        </w:rPr>
        <w:t xml:space="preserve">For local area IAB-MT, CA also will be supported, which way to capture the requirements are still under discussion. Anyway, CA is supported for IAB-MT. </w:t>
      </w:r>
    </w:p>
    <w:p w14:paraId="2F930851" w14:textId="5CC898A9" w:rsidR="005C006F" w:rsidRPr="002613DD" w:rsidRDefault="005C006F" w:rsidP="005C006F">
      <w:pPr>
        <w:tabs>
          <w:tab w:val="num" w:pos="720"/>
        </w:tabs>
      </w:pPr>
      <w:bookmarkStart w:id="3" w:name="_Hlk40472692"/>
      <w:r w:rsidRPr="006A24DE">
        <w:rPr>
          <w:b/>
        </w:rPr>
        <w:t>Observation 1:</w:t>
      </w:r>
      <w:r w:rsidRPr="006A24DE">
        <w:t xml:space="preserve"> </w:t>
      </w:r>
      <w:r>
        <w:rPr>
          <w:lang w:val="en-GB"/>
        </w:rPr>
        <w:t>CA scenarios need to be considered in IAB-MT RRM requirements.</w:t>
      </w:r>
    </w:p>
    <w:bookmarkEnd w:id="3"/>
    <w:p w14:paraId="77A0C94F" w14:textId="4BBB4206" w:rsidR="00A96571" w:rsidRPr="00A96571" w:rsidRDefault="00A96571" w:rsidP="00CB0460">
      <w:pPr>
        <w:rPr>
          <w:lang w:val="en-GB" w:eastAsia="zh-CN"/>
        </w:rPr>
      </w:pPr>
      <w:r>
        <w:rPr>
          <w:lang w:val="en-GB"/>
        </w:rPr>
        <w:t xml:space="preserve">However, </w:t>
      </w:r>
      <w:r>
        <w:rPr>
          <w:lang w:eastAsia="zh-CN"/>
        </w:rPr>
        <w:t>in the agreed TP on transmit timing requirements for IAB-MT in [1], CA supporting is missing from the requirements.</w:t>
      </w:r>
      <w:r>
        <w:rPr>
          <w:lang w:val="en-GB"/>
        </w:rPr>
        <w:t xml:space="preserve"> Since it is already agreed in RF session that CA is supported for IAB-MT, we also need to have CA requirements for transmit timing. </w:t>
      </w:r>
      <w:r w:rsidR="00CB0460">
        <w:rPr>
          <w:lang w:val="en-GB"/>
        </w:rPr>
        <w:t xml:space="preserve">As agreed, </w:t>
      </w:r>
      <w:r>
        <w:rPr>
          <w:lang w:val="en-GB"/>
        </w:rPr>
        <w:t xml:space="preserve">IAB-MT transmit timing requirements follows Rel-15 NR UE requirements, we can </w:t>
      </w:r>
      <w:r w:rsidR="00CB0460">
        <w:rPr>
          <w:lang w:val="en-GB"/>
        </w:rPr>
        <w:t>also follow Rel-15 UE requirements for CA scenarios.</w:t>
      </w:r>
    </w:p>
    <w:p w14:paraId="6FA9BA8B" w14:textId="05AD6111" w:rsidR="00445D19" w:rsidRPr="002613DD" w:rsidRDefault="00CB0460" w:rsidP="005C006F">
      <w:pPr>
        <w:pStyle w:val="RAN4proposal"/>
        <w:rPr>
          <w:lang w:eastAsia="zh-CN"/>
        </w:rPr>
      </w:pPr>
      <w:r>
        <w:rPr>
          <w:lang w:val="en-GB"/>
        </w:rPr>
        <w:t xml:space="preserve">IAB-MT </w:t>
      </w:r>
      <w:r w:rsidR="005C006F">
        <w:rPr>
          <w:lang w:val="en-GB"/>
        </w:rPr>
        <w:t xml:space="preserve">CA scenarios </w:t>
      </w:r>
      <w:r>
        <w:rPr>
          <w:lang w:val="en-GB"/>
        </w:rPr>
        <w:t>requirements for transmit timing can reuse the related requirements for Rel-15 NR UE.</w:t>
      </w:r>
      <w:r w:rsidR="005C006F" w:rsidRPr="002613DD">
        <w:rPr>
          <w:rFonts w:hint="eastAsia"/>
          <w:lang w:eastAsia="zh-CN"/>
        </w:rPr>
        <w:t xml:space="preserve"> </w:t>
      </w:r>
    </w:p>
    <w:p w14:paraId="56F29155" w14:textId="2ADF73FF" w:rsidR="009C29E8" w:rsidRPr="007141C8" w:rsidRDefault="009C29E8" w:rsidP="009C29E8">
      <w:pPr>
        <w:pStyle w:val="RAN4H2"/>
        <w:rPr>
          <w:lang w:val="en-GB"/>
        </w:rPr>
      </w:pPr>
      <w:r>
        <w:rPr>
          <w:lang w:val="en-GB"/>
        </w:rPr>
        <w:t>DRX</w:t>
      </w:r>
      <w:r w:rsidR="00E977A1">
        <w:rPr>
          <w:lang w:val="en-GB"/>
        </w:rPr>
        <w:t xml:space="preserve"> mode</w:t>
      </w:r>
    </w:p>
    <w:p w14:paraId="3191D8A2" w14:textId="63EFEB5F" w:rsidR="00A85C06" w:rsidRDefault="00C4675F" w:rsidP="002613DD">
      <w:r>
        <w:rPr>
          <w:rFonts w:hint="eastAsia"/>
          <w:lang w:eastAsia="zh-CN"/>
        </w:rPr>
        <w:t>In</w:t>
      </w:r>
      <w:r>
        <w:rPr>
          <w:rFonts w:hint="eastAsia"/>
        </w:rPr>
        <w:t xml:space="preserve"> </w:t>
      </w:r>
      <w:r>
        <w:t xml:space="preserve">RAN4#94e meeting, we have agreed that </w:t>
      </w:r>
      <w:r w:rsidRPr="00C4675F">
        <w:t>RLM requirements for IAB-MTs</w:t>
      </w:r>
      <w:r>
        <w:t xml:space="preserve"> and BFD/CBD requirements for IAB-MTs are defined for no-DRX </w:t>
      </w:r>
      <w:r>
        <w:rPr>
          <w:rFonts w:hint="eastAsia"/>
          <w:lang w:eastAsia="zh-CN"/>
        </w:rPr>
        <w:t>mode</w:t>
      </w:r>
      <w:r>
        <w:t xml:space="preserve"> only. However</w:t>
      </w:r>
      <w:r w:rsidR="000F2E10">
        <w:t>,</w:t>
      </w:r>
      <w:r>
        <w:t xml:space="preserve"> DRX mode is optional for IAB-MT as agreed in </w:t>
      </w:r>
      <w:r w:rsidR="000A0F60" w:rsidRPr="000A0F60">
        <w:t>RAN2#109bis</w:t>
      </w:r>
      <w:r w:rsidR="00A85C06">
        <w:t>, DRX mode should not be excluded from other IAB-MT requirements.</w:t>
      </w:r>
    </w:p>
    <w:p w14:paraId="2FD45A9A" w14:textId="00D46CDF" w:rsidR="008006BA" w:rsidRPr="006A24DE" w:rsidRDefault="008006BA" w:rsidP="008006BA">
      <w:pPr>
        <w:tabs>
          <w:tab w:val="num" w:pos="720"/>
        </w:tabs>
        <w:rPr>
          <w:b/>
        </w:rPr>
      </w:pPr>
      <w:r w:rsidRPr="006A24DE">
        <w:rPr>
          <w:b/>
        </w:rPr>
        <w:t xml:space="preserve">Observation </w:t>
      </w:r>
      <w:r w:rsidR="005C006F">
        <w:rPr>
          <w:b/>
        </w:rPr>
        <w:t>2</w:t>
      </w:r>
      <w:r w:rsidRPr="006A24DE">
        <w:rPr>
          <w:b/>
        </w:rPr>
        <w:t>:</w:t>
      </w:r>
      <w:r w:rsidRPr="006A24DE">
        <w:t xml:space="preserve"> </w:t>
      </w:r>
      <w:r>
        <w:t>DRX mode should not be excluded from IAB-MT requirements except RLM/BFD/CBD requirements.</w:t>
      </w:r>
    </w:p>
    <w:p w14:paraId="1C47F8CD" w14:textId="3A529E13" w:rsidR="00E977A1" w:rsidRPr="002613DD" w:rsidRDefault="008006BA" w:rsidP="002613DD">
      <w:r>
        <w:rPr>
          <w:lang w:eastAsia="zh-CN"/>
        </w:rPr>
        <w:lastRenderedPageBreak/>
        <w:t>In the agreed TP on transmit timing requirements for IAB-MT in [1], DRX mode support was removed directly</w:t>
      </w:r>
      <w:r w:rsidR="00017FE4">
        <w:rPr>
          <w:lang w:eastAsia="zh-CN"/>
        </w:rPr>
        <w:t xml:space="preserve"> compared to Rel-15 NR UE requirements.</w:t>
      </w:r>
      <w:r>
        <w:rPr>
          <w:lang w:eastAsia="zh-CN"/>
        </w:rPr>
        <w:t xml:space="preserve"> </w:t>
      </w:r>
      <w:r w:rsidR="00017FE4">
        <w:rPr>
          <w:lang w:eastAsia="zh-CN"/>
        </w:rPr>
        <w:t xml:space="preserve">With this observation, the requirements will be incomplete since DRX mode support is excluded for IAB-MT. we would propose to add DRX mode support for </w:t>
      </w:r>
      <w:r w:rsidR="006C2194">
        <w:rPr>
          <w:lang w:eastAsia="zh-CN"/>
        </w:rPr>
        <w:t>transmit timing requirements for IAB-MT and we can follow Rel-15 NR UE requirements.</w:t>
      </w:r>
    </w:p>
    <w:p w14:paraId="00E413AA" w14:textId="255CB231" w:rsidR="00C837B7" w:rsidRPr="00C837B7" w:rsidRDefault="008006BA" w:rsidP="00C837B7">
      <w:pPr>
        <w:pStyle w:val="RAN4proposal"/>
        <w:rPr>
          <w:lang w:val="en-GB"/>
        </w:rPr>
      </w:pPr>
      <w:r>
        <w:rPr>
          <w:lang w:val="en-GB"/>
        </w:rPr>
        <w:t xml:space="preserve">DRX mode support for transmit timing requirements for IAB-MT can reuse the requirements for Rel-15 NR UE. </w:t>
      </w:r>
    </w:p>
    <w:p w14:paraId="42E0CEAB" w14:textId="7172FDDB" w:rsidR="004E0AEF" w:rsidRPr="00FE165D" w:rsidRDefault="00FE165D" w:rsidP="004E0AEF">
      <w:r>
        <w:t>Th</w:t>
      </w:r>
      <w:r w:rsidR="00C837B7">
        <w:t>e</w:t>
      </w:r>
      <w:r>
        <w:t>s</w:t>
      </w:r>
      <w:r w:rsidR="00C837B7">
        <w:t>e</w:t>
      </w:r>
      <w:r>
        <w:t xml:space="preserve"> proposals will be captured in [2].</w:t>
      </w: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789B6A4C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</w:t>
      </w:r>
      <w:r w:rsidR="00932654">
        <w:rPr>
          <w:lang w:val="en-GB"/>
        </w:rPr>
        <w:t>transmit timing</w:t>
      </w:r>
      <w:r w:rsidR="0069428B">
        <w:rPr>
          <w:lang w:val="en-GB"/>
        </w:rPr>
        <w:t xml:space="preserve"> requirements </w:t>
      </w:r>
      <w:r w:rsidR="00932654">
        <w:rPr>
          <w:lang w:val="en-GB"/>
        </w:rPr>
        <w:t xml:space="preserve">for IAB-MT. </w:t>
      </w:r>
      <w:r w:rsidRPr="00B02B34">
        <w:rPr>
          <w:lang w:val="en-GB"/>
        </w:rPr>
        <w:t>We have made the following observations and proposals:</w:t>
      </w:r>
    </w:p>
    <w:p w14:paraId="69DCE3E9" w14:textId="77777777" w:rsidR="00886DC7" w:rsidRPr="00886DC7" w:rsidRDefault="00886DC7" w:rsidP="00886DC7">
      <w:pPr>
        <w:pStyle w:val="RAN4proposal"/>
        <w:numPr>
          <w:ilvl w:val="0"/>
          <w:numId w:val="41"/>
        </w:numPr>
        <w:rPr>
          <w:lang w:val="en-GB"/>
        </w:rPr>
      </w:pPr>
      <w:r w:rsidRPr="00886DC7">
        <w:rPr>
          <w:lang w:val="en-GB"/>
        </w:rPr>
        <w:t xml:space="preserve">The current Te requirements for IAB-MT should be applied for SSB periodicity larger than 160ms. </w:t>
      </w:r>
    </w:p>
    <w:p w14:paraId="439DA48F" w14:textId="77777777" w:rsidR="00886DC7" w:rsidRPr="002613DD" w:rsidRDefault="00886DC7" w:rsidP="00886DC7">
      <w:pPr>
        <w:tabs>
          <w:tab w:val="num" w:pos="720"/>
        </w:tabs>
      </w:pPr>
      <w:r w:rsidRPr="006A24DE">
        <w:rPr>
          <w:b/>
        </w:rPr>
        <w:t>Observation 1:</w:t>
      </w:r>
      <w:r w:rsidRPr="006A24DE">
        <w:t xml:space="preserve"> </w:t>
      </w:r>
      <w:r>
        <w:rPr>
          <w:lang w:val="en-GB"/>
        </w:rPr>
        <w:t>CA scenarios need to be considered in IAB-MT RRM requirements.</w:t>
      </w:r>
    </w:p>
    <w:p w14:paraId="60A3F5D5" w14:textId="3B5A22AB" w:rsidR="00886DC7" w:rsidRDefault="00886DC7" w:rsidP="00886DC7">
      <w:pPr>
        <w:pStyle w:val="RAN4proposal"/>
        <w:rPr>
          <w:lang w:eastAsia="zh-CN"/>
        </w:rPr>
      </w:pPr>
      <w:r>
        <w:rPr>
          <w:lang w:val="en-GB"/>
        </w:rPr>
        <w:t>IAB-MT CA scenarios requirements for transmit timing can reuse the related requirements for Rel-15 NR UE.</w:t>
      </w:r>
      <w:r w:rsidRPr="002613DD">
        <w:rPr>
          <w:rFonts w:hint="eastAsia"/>
          <w:lang w:eastAsia="zh-CN"/>
        </w:rPr>
        <w:t xml:space="preserve"> </w:t>
      </w:r>
    </w:p>
    <w:p w14:paraId="0BF0DF81" w14:textId="32BB1083" w:rsidR="00886DC7" w:rsidRPr="00886DC7" w:rsidRDefault="00886DC7" w:rsidP="00886DC7">
      <w:pPr>
        <w:rPr>
          <w:lang w:eastAsia="zh-CN"/>
        </w:rPr>
      </w:pPr>
      <w:r w:rsidRPr="00886DC7">
        <w:rPr>
          <w:b/>
          <w:iCs/>
          <w:szCs w:val="18"/>
        </w:rPr>
        <w:t xml:space="preserve">Observation 2: </w:t>
      </w:r>
      <w:r w:rsidRPr="00886DC7">
        <w:rPr>
          <w:iCs/>
          <w:szCs w:val="18"/>
        </w:rPr>
        <w:t>DRX mode should not be excluded from IAB-MT requirements except RLM/BFD/CBD requirements.</w:t>
      </w:r>
    </w:p>
    <w:p w14:paraId="2642BCBA" w14:textId="1F0D9DAE" w:rsidR="00886DC7" w:rsidRPr="007669C1" w:rsidRDefault="00886DC7" w:rsidP="006169F3">
      <w:pPr>
        <w:pStyle w:val="RAN4proposal"/>
        <w:rPr>
          <w:lang w:val="en-GB" w:eastAsia="zh-CN"/>
        </w:rPr>
      </w:pPr>
      <w:r w:rsidRPr="007669C1">
        <w:rPr>
          <w:lang w:val="en-GB"/>
        </w:rPr>
        <w:t xml:space="preserve">DRX mode support for transmit timing requirements for IAB-MT can reuse the requirements for Rel-15 NR UE. </w:t>
      </w:r>
    </w:p>
    <w:p w14:paraId="39D36443" w14:textId="00403C68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1A31755" w14:textId="32EB536A" w:rsidR="00DB18FC" w:rsidRPr="00FE165D" w:rsidRDefault="00CD2036" w:rsidP="00FE165D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CD2036">
        <w:rPr>
          <w:lang w:val="en-GB"/>
        </w:rPr>
        <w:t>R4-2004250</w:t>
      </w:r>
      <w:r w:rsidRPr="00CD2036">
        <w:rPr>
          <w:lang w:val="en-GB"/>
        </w:rPr>
        <w:tab/>
        <w:t>TP to TS 38.174 on transmit timing requirement for IAB-MT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</w:t>
      </w:r>
      <w:r w:rsidRPr="00CD2036">
        <w:rPr>
          <w:lang w:val="en-GB" w:eastAsia="zh-CN"/>
        </w:rPr>
        <w:t>Huawei, Hisilicon</w:t>
      </w:r>
    </w:p>
    <w:p w14:paraId="137E76DE" w14:textId="2819B587" w:rsidR="00932654" w:rsidRPr="00A51E2F" w:rsidRDefault="00932654" w:rsidP="00A51E2F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rPr>
          <w:lang w:val="en-GB" w:eastAsia="zh-CN"/>
        </w:rPr>
        <w:t>R4-200</w:t>
      </w:r>
      <w:r w:rsidR="00715309">
        <w:rPr>
          <w:lang w:val="en-GB" w:eastAsia="zh-CN"/>
        </w:rPr>
        <w:t>8239</w:t>
      </w:r>
      <w:bookmarkStart w:id="4" w:name="_GoBack"/>
      <w:bookmarkEnd w:id="4"/>
      <w:r>
        <w:rPr>
          <w:lang w:val="en-GB" w:eastAsia="zh-CN"/>
        </w:rPr>
        <w:t xml:space="preserve"> </w:t>
      </w:r>
      <w:r w:rsidR="007669C1">
        <w:rPr>
          <w:lang w:val="en-GB" w:eastAsia="zh-CN"/>
        </w:rPr>
        <w:t>Correction on transmit timing requirements for IAB-MT, Nokia, Nokia Shanghai Bell.</w:t>
      </w:r>
      <w:r>
        <w:rPr>
          <w:lang w:val="en-GB" w:eastAsia="zh-CN"/>
        </w:rPr>
        <w:t xml:space="preserve"> </w:t>
      </w:r>
    </w:p>
    <w:p w14:paraId="725896C5" w14:textId="77777777" w:rsidR="00CE0137" w:rsidRPr="00CD2036" w:rsidRDefault="00CE0137" w:rsidP="00CE0137">
      <w:pPr>
        <w:pStyle w:val="ListParagraph"/>
        <w:ind w:left="360" w:right="-22"/>
      </w:pPr>
    </w:p>
    <w:sectPr w:rsidR="00CE0137" w:rsidRPr="00CD203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EF09A" w14:textId="77777777" w:rsidR="00023C05" w:rsidRDefault="00023C05" w:rsidP="00001C9B">
      <w:pPr>
        <w:spacing w:after="0" w:line="240" w:lineRule="auto"/>
      </w:pPr>
      <w:r>
        <w:separator/>
      </w:r>
    </w:p>
  </w:endnote>
  <w:endnote w:type="continuationSeparator" w:id="0">
    <w:p w14:paraId="0BE1384A" w14:textId="77777777" w:rsidR="00023C05" w:rsidRDefault="00023C0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D16D6" w14:textId="77777777" w:rsidR="00023C05" w:rsidRDefault="00023C05" w:rsidP="00001C9B">
      <w:pPr>
        <w:spacing w:after="0" w:line="240" w:lineRule="auto"/>
      </w:pPr>
      <w:r>
        <w:separator/>
      </w:r>
    </w:p>
  </w:footnote>
  <w:footnote w:type="continuationSeparator" w:id="0">
    <w:p w14:paraId="2A7BCDF6" w14:textId="77777777" w:rsidR="00023C05" w:rsidRDefault="00023C0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DF1459"/>
    <w:multiLevelType w:val="hybridMultilevel"/>
    <w:tmpl w:val="9B86E260"/>
    <w:lvl w:ilvl="0" w:tplc="F966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63894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8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E3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84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D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47D60"/>
    <w:multiLevelType w:val="hybridMultilevel"/>
    <w:tmpl w:val="231C4162"/>
    <w:lvl w:ilvl="0" w:tplc="AD948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09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2C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0E3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A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0F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8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275292"/>
    <w:multiLevelType w:val="hybridMultilevel"/>
    <w:tmpl w:val="FCD06DF6"/>
    <w:lvl w:ilvl="0" w:tplc="105E6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A464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4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A6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A4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4F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9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0E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02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3B11"/>
    <w:multiLevelType w:val="hybridMultilevel"/>
    <w:tmpl w:val="3DDC995E"/>
    <w:lvl w:ilvl="0" w:tplc="275A24A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80B7A"/>
    <w:multiLevelType w:val="hybridMultilevel"/>
    <w:tmpl w:val="18000A64"/>
    <w:lvl w:ilvl="0" w:tplc="E16A5B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CCDA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F4F2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3CE2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43C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BAFE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07E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F2C5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7418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1635D1B"/>
    <w:multiLevelType w:val="hybridMultilevel"/>
    <w:tmpl w:val="57D2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C066BF"/>
    <w:multiLevelType w:val="hybridMultilevel"/>
    <w:tmpl w:val="E512896A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5839"/>
    <w:multiLevelType w:val="hybridMultilevel"/>
    <w:tmpl w:val="75326C32"/>
    <w:lvl w:ilvl="0" w:tplc="31C2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4F88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427A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C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C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6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037F60"/>
    <w:multiLevelType w:val="hybridMultilevel"/>
    <w:tmpl w:val="DCE4C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01A24"/>
    <w:multiLevelType w:val="hybridMultilevel"/>
    <w:tmpl w:val="3774B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766DD3"/>
    <w:multiLevelType w:val="hybridMultilevel"/>
    <w:tmpl w:val="F94EC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F7BB4"/>
    <w:multiLevelType w:val="hybridMultilevel"/>
    <w:tmpl w:val="DDCC9756"/>
    <w:lvl w:ilvl="0" w:tplc="2FA0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E1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A8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67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8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4A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0C7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E7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8"/>
  </w:num>
  <w:num w:numId="5">
    <w:abstractNumId w:val="25"/>
  </w:num>
  <w:num w:numId="6">
    <w:abstractNumId w:val="17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4"/>
  </w:num>
  <w:num w:numId="18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"/>
  </w:num>
  <w:num w:numId="22">
    <w:abstractNumId w:val="3"/>
  </w:num>
  <w:num w:numId="23">
    <w:abstractNumId w:val="4"/>
  </w:num>
  <w:num w:numId="24">
    <w:abstractNumId w:val="9"/>
  </w:num>
  <w:num w:numId="25">
    <w:abstractNumId w:val="18"/>
  </w:num>
  <w:num w:numId="26">
    <w:abstractNumId w:val="14"/>
  </w:num>
  <w:num w:numId="27">
    <w:abstractNumId w:val="20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26"/>
  </w:num>
  <w:num w:numId="30">
    <w:abstractNumId w:val="1"/>
  </w:num>
  <w:num w:numId="31">
    <w:abstractNumId w:val="15"/>
  </w:num>
  <w:num w:numId="32">
    <w:abstractNumId w:val="6"/>
  </w:num>
  <w:num w:numId="33">
    <w:abstractNumId w:val="19"/>
  </w:num>
  <w:num w:numId="34">
    <w:abstractNumId w:val="21"/>
  </w:num>
  <w:num w:numId="35">
    <w:abstractNumId w:val="12"/>
  </w:num>
  <w:num w:numId="36">
    <w:abstractNumId w:val="20"/>
    <w:lvlOverride w:ilvl="0">
      <w:startOverride w:val="1"/>
    </w:lvlOverride>
  </w:num>
  <w:num w:numId="37">
    <w:abstractNumId w:val="7"/>
  </w:num>
  <w:num w:numId="38">
    <w:abstractNumId w:val="13"/>
  </w:num>
  <w:num w:numId="39">
    <w:abstractNumId w:val="11"/>
  </w:num>
  <w:num w:numId="40">
    <w:abstractNumId w:val="23"/>
  </w:num>
  <w:num w:numId="41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17FE4"/>
    <w:rsid w:val="00023C05"/>
    <w:rsid w:val="000306AA"/>
    <w:rsid w:val="0003658C"/>
    <w:rsid w:val="0003689C"/>
    <w:rsid w:val="00040687"/>
    <w:rsid w:val="00042694"/>
    <w:rsid w:val="00070045"/>
    <w:rsid w:val="0007121B"/>
    <w:rsid w:val="000733A5"/>
    <w:rsid w:val="0008612A"/>
    <w:rsid w:val="000A0F60"/>
    <w:rsid w:val="000A6C14"/>
    <w:rsid w:val="000B0056"/>
    <w:rsid w:val="000B3851"/>
    <w:rsid w:val="000B765D"/>
    <w:rsid w:val="000D242F"/>
    <w:rsid w:val="000D2C5F"/>
    <w:rsid w:val="000F2E10"/>
    <w:rsid w:val="000F4183"/>
    <w:rsid w:val="000F506F"/>
    <w:rsid w:val="00111F4C"/>
    <w:rsid w:val="00120DC9"/>
    <w:rsid w:val="00122FFC"/>
    <w:rsid w:val="00130041"/>
    <w:rsid w:val="00164C74"/>
    <w:rsid w:val="00173997"/>
    <w:rsid w:val="001745F8"/>
    <w:rsid w:val="00175A2F"/>
    <w:rsid w:val="001838CD"/>
    <w:rsid w:val="001838CF"/>
    <w:rsid w:val="00195D39"/>
    <w:rsid w:val="001A3BA4"/>
    <w:rsid w:val="001B7147"/>
    <w:rsid w:val="001E30F6"/>
    <w:rsid w:val="00203104"/>
    <w:rsid w:val="00206422"/>
    <w:rsid w:val="00235F5C"/>
    <w:rsid w:val="00237498"/>
    <w:rsid w:val="00247CDF"/>
    <w:rsid w:val="002613DD"/>
    <w:rsid w:val="00275F08"/>
    <w:rsid w:val="002A2860"/>
    <w:rsid w:val="002B4922"/>
    <w:rsid w:val="002C1BC0"/>
    <w:rsid w:val="002C2D19"/>
    <w:rsid w:val="002C5B8E"/>
    <w:rsid w:val="002D10FA"/>
    <w:rsid w:val="002D14DE"/>
    <w:rsid w:val="002D4C55"/>
    <w:rsid w:val="00302F8C"/>
    <w:rsid w:val="00305A9B"/>
    <w:rsid w:val="00316102"/>
    <w:rsid w:val="0033140B"/>
    <w:rsid w:val="0033200C"/>
    <w:rsid w:val="003360C2"/>
    <w:rsid w:val="00342243"/>
    <w:rsid w:val="003718C4"/>
    <w:rsid w:val="003A736A"/>
    <w:rsid w:val="003B659E"/>
    <w:rsid w:val="003E0246"/>
    <w:rsid w:val="003E0263"/>
    <w:rsid w:val="00404FA3"/>
    <w:rsid w:val="00413E29"/>
    <w:rsid w:val="00417770"/>
    <w:rsid w:val="004321D6"/>
    <w:rsid w:val="0043750A"/>
    <w:rsid w:val="00445D19"/>
    <w:rsid w:val="004541F2"/>
    <w:rsid w:val="00464393"/>
    <w:rsid w:val="004670C1"/>
    <w:rsid w:val="00471DB0"/>
    <w:rsid w:val="004D744A"/>
    <w:rsid w:val="004E0AEF"/>
    <w:rsid w:val="004E5E66"/>
    <w:rsid w:val="005017F5"/>
    <w:rsid w:val="00503B4D"/>
    <w:rsid w:val="00504EE9"/>
    <w:rsid w:val="0054442C"/>
    <w:rsid w:val="00550285"/>
    <w:rsid w:val="0055679E"/>
    <w:rsid w:val="005736C1"/>
    <w:rsid w:val="00574324"/>
    <w:rsid w:val="00576356"/>
    <w:rsid w:val="005824C3"/>
    <w:rsid w:val="005836F8"/>
    <w:rsid w:val="005918FA"/>
    <w:rsid w:val="005A46C0"/>
    <w:rsid w:val="005B7E55"/>
    <w:rsid w:val="005C006F"/>
    <w:rsid w:val="005C23A4"/>
    <w:rsid w:val="005D1CDF"/>
    <w:rsid w:val="005D4789"/>
    <w:rsid w:val="005E61A8"/>
    <w:rsid w:val="005F6419"/>
    <w:rsid w:val="006067AF"/>
    <w:rsid w:val="00616DAF"/>
    <w:rsid w:val="00617400"/>
    <w:rsid w:val="00627AC4"/>
    <w:rsid w:val="00652AC1"/>
    <w:rsid w:val="00664950"/>
    <w:rsid w:val="00683220"/>
    <w:rsid w:val="00687FA0"/>
    <w:rsid w:val="0069428B"/>
    <w:rsid w:val="006972DE"/>
    <w:rsid w:val="006A21E2"/>
    <w:rsid w:val="006A337F"/>
    <w:rsid w:val="006B7010"/>
    <w:rsid w:val="006C2194"/>
    <w:rsid w:val="006D6296"/>
    <w:rsid w:val="006F0CFC"/>
    <w:rsid w:val="006F62AE"/>
    <w:rsid w:val="00703A5B"/>
    <w:rsid w:val="00710835"/>
    <w:rsid w:val="00711C32"/>
    <w:rsid w:val="007141C8"/>
    <w:rsid w:val="007145FF"/>
    <w:rsid w:val="00715309"/>
    <w:rsid w:val="00720CD0"/>
    <w:rsid w:val="00733B44"/>
    <w:rsid w:val="00740FE5"/>
    <w:rsid w:val="00743D09"/>
    <w:rsid w:val="00751515"/>
    <w:rsid w:val="00752CEA"/>
    <w:rsid w:val="007669C1"/>
    <w:rsid w:val="0076769C"/>
    <w:rsid w:val="00785232"/>
    <w:rsid w:val="007877FB"/>
    <w:rsid w:val="007A6E80"/>
    <w:rsid w:val="007A751F"/>
    <w:rsid w:val="007B1F50"/>
    <w:rsid w:val="007C3ED0"/>
    <w:rsid w:val="007E01B5"/>
    <w:rsid w:val="007F7423"/>
    <w:rsid w:val="008006BA"/>
    <w:rsid w:val="00801AF4"/>
    <w:rsid w:val="00806A76"/>
    <w:rsid w:val="00811C9D"/>
    <w:rsid w:val="008139E8"/>
    <w:rsid w:val="00816C80"/>
    <w:rsid w:val="008178EA"/>
    <w:rsid w:val="008223A7"/>
    <w:rsid w:val="00841BCD"/>
    <w:rsid w:val="00851A8E"/>
    <w:rsid w:val="00860184"/>
    <w:rsid w:val="00864888"/>
    <w:rsid w:val="00866A89"/>
    <w:rsid w:val="008826C1"/>
    <w:rsid w:val="00886DC7"/>
    <w:rsid w:val="00887467"/>
    <w:rsid w:val="008A0151"/>
    <w:rsid w:val="008B5BFD"/>
    <w:rsid w:val="008B63EC"/>
    <w:rsid w:val="008B726D"/>
    <w:rsid w:val="008C5BDA"/>
    <w:rsid w:val="008C754A"/>
    <w:rsid w:val="008F1B16"/>
    <w:rsid w:val="0090091A"/>
    <w:rsid w:val="009042BD"/>
    <w:rsid w:val="00932654"/>
    <w:rsid w:val="00935FFF"/>
    <w:rsid w:val="00943933"/>
    <w:rsid w:val="00950577"/>
    <w:rsid w:val="00953F39"/>
    <w:rsid w:val="00977E1D"/>
    <w:rsid w:val="009869B5"/>
    <w:rsid w:val="00990419"/>
    <w:rsid w:val="00995625"/>
    <w:rsid w:val="009B73C7"/>
    <w:rsid w:val="009C29E8"/>
    <w:rsid w:val="009C7379"/>
    <w:rsid w:val="00A10540"/>
    <w:rsid w:val="00A22B78"/>
    <w:rsid w:val="00A25AE5"/>
    <w:rsid w:val="00A33070"/>
    <w:rsid w:val="00A36FA8"/>
    <w:rsid w:val="00A37002"/>
    <w:rsid w:val="00A51E2F"/>
    <w:rsid w:val="00A51F0E"/>
    <w:rsid w:val="00A85C06"/>
    <w:rsid w:val="00A953D5"/>
    <w:rsid w:val="00A95DE0"/>
    <w:rsid w:val="00A96571"/>
    <w:rsid w:val="00AA1B0E"/>
    <w:rsid w:val="00AA2116"/>
    <w:rsid w:val="00AC5CA7"/>
    <w:rsid w:val="00AE1BBB"/>
    <w:rsid w:val="00AE56B1"/>
    <w:rsid w:val="00B017FF"/>
    <w:rsid w:val="00B01817"/>
    <w:rsid w:val="00B02B34"/>
    <w:rsid w:val="00B06216"/>
    <w:rsid w:val="00B073FE"/>
    <w:rsid w:val="00B13863"/>
    <w:rsid w:val="00B16D71"/>
    <w:rsid w:val="00B31EBA"/>
    <w:rsid w:val="00B3260E"/>
    <w:rsid w:val="00B33626"/>
    <w:rsid w:val="00B4335F"/>
    <w:rsid w:val="00B73862"/>
    <w:rsid w:val="00B86893"/>
    <w:rsid w:val="00B91230"/>
    <w:rsid w:val="00BA6E48"/>
    <w:rsid w:val="00BB462D"/>
    <w:rsid w:val="00BB5E57"/>
    <w:rsid w:val="00BD394A"/>
    <w:rsid w:val="00BF2218"/>
    <w:rsid w:val="00BF3C74"/>
    <w:rsid w:val="00C0485C"/>
    <w:rsid w:val="00C10470"/>
    <w:rsid w:val="00C23ACC"/>
    <w:rsid w:val="00C35922"/>
    <w:rsid w:val="00C42E4F"/>
    <w:rsid w:val="00C4675F"/>
    <w:rsid w:val="00C71093"/>
    <w:rsid w:val="00C7686A"/>
    <w:rsid w:val="00C837B7"/>
    <w:rsid w:val="00C85B5D"/>
    <w:rsid w:val="00C872B8"/>
    <w:rsid w:val="00C95314"/>
    <w:rsid w:val="00CB0460"/>
    <w:rsid w:val="00CD2036"/>
    <w:rsid w:val="00CD7492"/>
    <w:rsid w:val="00CD7B70"/>
    <w:rsid w:val="00CE0137"/>
    <w:rsid w:val="00CE3A6B"/>
    <w:rsid w:val="00D00211"/>
    <w:rsid w:val="00D02584"/>
    <w:rsid w:val="00D06309"/>
    <w:rsid w:val="00D1114A"/>
    <w:rsid w:val="00D2108B"/>
    <w:rsid w:val="00D351EA"/>
    <w:rsid w:val="00D43403"/>
    <w:rsid w:val="00D558AF"/>
    <w:rsid w:val="00D62E71"/>
    <w:rsid w:val="00D740CA"/>
    <w:rsid w:val="00D8402D"/>
    <w:rsid w:val="00D85728"/>
    <w:rsid w:val="00D916E4"/>
    <w:rsid w:val="00D91857"/>
    <w:rsid w:val="00DB18FC"/>
    <w:rsid w:val="00DC7DAD"/>
    <w:rsid w:val="00DD3E18"/>
    <w:rsid w:val="00DD55C7"/>
    <w:rsid w:val="00DF2997"/>
    <w:rsid w:val="00E02456"/>
    <w:rsid w:val="00E06DED"/>
    <w:rsid w:val="00E27A54"/>
    <w:rsid w:val="00E32E79"/>
    <w:rsid w:val="00E474C8"/>
    <w:rsid w:val="00E70EF5"/>
    <w:rsid w:val="00E76531"/>
    <w:rsid w:val="00E77925"/>
    <w:rsid w:val="00E85425"/>
    <w:rsid w:val="00E86524"/>
    <w:rsid w:val="00E90C2F"/>
    <w:rsid w:val="00E977A1"/>
    <w:rsid w:val="00EB07C4"/>
    <w:rsid w:val="00EC7BC3"/>
    <w:rsid w:val="00ED08F0"/>
    <w:rsid w:val="00ED7600"/>
    <w:rsid w:val="00F079E6"/>
    <w:rsid w:val="00F1362C"/>
    <w:rsid w:val="00F6251E"/>
    <w:rsid w:val="00F65941"/>
    <w:rsid w:val="00F73481"/>
    <w:rsid w:val="00F824F5"/>
    <w:rsid w:val="00F9430F"/>
    <w:rsid w:val="00FC29B9"/>
    <w:rsid w:val="00FC6FD3"/>
    <w:rsid w:val="00FD13A5"/>
    <w:rsid w:val="00FE165D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DC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D1E84-2059-4B4B-BC29-E86B7C43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124</cp:revision>
  <dcterms:created xsi:type="dcterms:W3CDTF">2019-06-10T11:05:00Z</dcterms:created>
  <dcterms:modified xsi:type="dcterms:W3CDTF">2020-05-15T20:49:00Z</dcterms:modified>
</cp:coreProperties>
</file>