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984FC" w14:textId="51EE702D" w:rsidR="001F6CA4" w:rsidRPr="00DB3907" w:rsidRDefault="001F6CA4" w:rsidP="001F6CA4">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#95-e</w:t>
      </w:r>
      <w:r w:rsidRPr="00DB3907">
        <w:rPr>
          <w:rFonts w:cs="Arial"/>
          <w:sz w:val="24"/>
          <w:szCs w:val="24"/>
          <w:lang w:val="de-DE"/>
        </w:rPr>
        <w:tab/>
        <w:t>R4-</w:t>
      </w:r>
      <w:r>
        <w:rPr>
          <w:rFonts w:cs="Arial"/>
          <w:sz w:val="24"/>
          <w:szCs w:val="24"/>
          <w:lang w:val="de-DE"/>
        </w:rPr>
        <w:t>200</w:t>
      </w:r>
      <w:r w:rsidR="00DA1A94">
        <w:rPr>
          <w:rFonts w:cs="Arial"/>
          <w:sz w:val="24"/>
          <w:szCs w:val="24"/>
          <w:lang w:val="de-DE"/>
        </w:rPr>
        <w:t>8124</w:t>
      </w:r>
      <w:bookmarkStart w:id="0" w:name="_GoBack"/>
      <w:bookmarkEnd w:id="0"/>
    </w:p>
    <w:p w14:paraId="322F8FF7" w14:textId="77777777" w:rsidR="001F6CA4" w:rsidRPr="00DB3907" w:rsidRDefault="001F6CA4" w:rsidP="001F6CA4">
      <w:pPr>
        <w:pStyle w:val="Header"/>
        <w:tabs>
          <w:tab w:val="left" w:pos="6521"/>
        </w:tabs>
        <w:rPr>
          <w:rFonts w:cs="Arial"/>
          <w:sz w:val="24"/>
          <w:szCs w:val="24"/>
        </w:rPr>
      </w:pPr>
      <w:r>
        <w:rPr>
          <w:rFonts w:cs="Arial"/>
          <w:sz w:val="24"/>
          <w:szCs w:val="24"/>
        </w:rPr>
        <w:t>May 25</w:t>
      </w:r>
      <w:r>
        <w:rPr>
          <w:rFonts w:cs="Arial"/>
          <w:sz w:val="24"/>
          <w:szCs w:val="24"/>
          <w:vertAlign w:val="superscript"/>
        </w:rPr>
        <w:t>th</w:t>
      </w:r>
      <w:r>
        <w:rPr>
          <w:rFonts w:cs="Arial"/>
          <w:sz w:val="24"/>
          <w:szCs w:val="24"/>
        </w:rPr>
        <w:t xml:space="preserve"> ‒ June 5</w:t>
      </w:r>
      <w:r>
        <w:rPr>
          <w:rFonts w:cs="Arial"/>
          <w:sz w:val="24"/>
          <w:szCs w:val="24"/>
          <w:vertAlign w:val="superscript"/>
        </w:rPr>
        <w:t>th</w:t>
      </w:r>
      <w:r>
        <w:rPr>
          <w:rFonts w:cs="Arial"/>
          <w:sz w:val="24"/>
          <w:szCs w:val="24"/>
        </w:rPr>
        <w:t>, 2020</w:t>
      </w:r>
    </w:p>
    <w:p w14:paraId="65B2B718" w14:textId="77777777" w:rsidR="001F6CA4" w:rsidRPr="00DB3907" w:rsidRDefault="001F6CA4" w:rsidP="001F6CA4">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6A8AB89F"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694F5D">
        <w:rPr>
          <w:rFonts w:ascii="Arial" w:hAnsi="Arial"/>
          <w:sz w:val="24"/>
          <w:lang w:val="en-US"/>
        </w:rPr>
        <w:t>6.1.2.1</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788C8181"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1" w:name="_Hlk36624600"/>
      <w:r w:rsidR="00676DCA">
        <w:rPr>
          <w:rFonts w:ascii="Arial" w:hAnsi="Arial"/>
          <w:sz w:val="24"/>
          <w:lang w:val="en-US"/>
        </w:rPr>
        <w:t xml:space="preserve">NR-U </w:t>
      </w:r>
      <w:bookmarkEnd w:id="1"/>
      <w:r w:rsidR="005E6619">
        <w:rPr>
          <w:rFonts w:ascii="Arial" w:hAnsi="Arial"/>
          <w:sz w:val="24"/>
          <w:lang w:val="en-US"/>
        </w:rPr>
        <w:t>In-band emissions requirement</w:t>
      </w:r>
    </w:p>
    <w:p w14:paraId="013F978F" w14:textId="5EDB7CD0"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DC3A53">
        <w:rPr>
          <w:rFonts w:ascii="Arial" w:hAnsi="Arial"/>
          <w:sz w:val="24"/>
          <w:lang w:val="en-US"/>
        </w:rPr>
        <w:t>Discussion</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76290628" w14:textId="0BB92EE1" w:rsidR="00676DCA" w:rsidRPr="00676DCA" w:rsidRDefault="001F6CA4" w:rsidP="00676DCA">
      <w:pPr>
        <w:rPr>
          <w:lang w:val="en-US"/>
        </w:rPr>
      </w:pPr>
      <w:r>
        <w:rPr>
          <w:lang w:val="en-US"/>
        </w:rPr>
        <w:t xml:space="preserve">This contribution is an update to [1] on an NR-U </w:t>
      </w:r>
      <w:r w:rsidR="005E6619">
        <w:rPr>
          <w:lang w:val="en-US"/>
        </w:rPr>
        <w:t>in-band emissions requirement</w:t>
      </w:r>
      <w:r w:rsidR="000058BF">
        <w:rPr>
          <w:lang w:val="en-US"/>
        </w:rPr>
        <w:t xml:space="preserve"> with corrections to the simulation results due to an error in signal generation and in setting the mask</w:t>
      </w:r>
      <w:r w:rsidR="00676DCA">
        <w:rPr>
          <w:lang w:val="en-US"/>
        </w:rPr>
        <w:t>.</w:t>
      </w:r>
      <w:r w:rsidR="005E6619">
        <w:rPr>
          <w:lang w:val="en-US"/>
        </w:rPr>
        <w:t xml:space="preserve">  </w:t>
      </w:r>
      <w:r>
        <w:rPr>
          <w:lang w:val="en-US"/>
        </w:rPr>
        <w:t>I</w:t>
      </w:r>
      <w:r w:rsidR="005E6619">
        <w:rPr>
          <w:lang w:val="en-US"/>
        </w:rPr>
        <w:t>t was agreed in [</w:t>
      </w:r>
      <w:r>
        <w:rPr>
          <w:lang w:val="en-US"/>
        </w:rPr>
        <w:t>2</w:t>
      </w:r>
      <w:r w:rsidR="005E6619">
        <w:rPr>
          <w:lang w:val="en-US"/>
        </w:rPr>
        <w:t>]</w:t>
      </w:r>
      <w:r>
        <w:rPr>
          <w:lang w:val="en-US"/>
        </w:rPr>
        <w:t xml:space="preserve"> and [3]</w:t>
      </w:r>
      <w:r w:rsidR="005E6619">
        <w:rPr>
          <w:lang w:val="en-US"/>
        </w:rPr>
        <w:t xml:space="preserve"> that the eLAA definition could be used as a starting point.  </w:t>
      </w:r>
      <w:r>
        <w:rPr>
          <w:lang w:val="en-US"/>
        </w:rPr>
        <w:t>Starting with the eLAA definition, this contribution provides simulations results to illustrate how it can be adapted for NR-U with power class 5.</w:t>
      </w:r>
    </w:p>
    <w:p w14:paraId="10F6602E" w14:textId="66F72777" w:rsidR="007E1E78" w:rsidRDefault="007E1E78" w:rsidP="0099327E">
      <w:pPr>
        <w:pStyle w:val="Heading1"/>
        <w:tabs>
          <w:tab w:val="clear" w:pos="432"/>
          <w:tab w:val="num" w:pos="522"/>
        </w:tabs>
        <w:ind w:left="522" w:hanging="522"/>
        <w:rPr>
          <w:lang w:val="en-US"/>
        </w:rPr>
      </w:pPr>
      <w:r>
        <w:rPr>
          <w:lang w:val="en-US"/>
        </w:rPr>
        <w:t>Discussion</w:t>
      </w:r>
    </w:p>
    <w:p w14:paraId="32B1EBE7" w14:textId="57E72C6A" w:rsidR="005E6619" w:rsidRDefault="005E6619" w:rsidP="005E6619">
      <w:pPr>
        <w:rPr>
          <w:lang w:val="en-US"/>
        </w:rPr>
      </w:pPr>
      <w:r>
        <w:rPr>
          <w:lang w:val="en-US"/>
        </w:rPr>
        <w:t>The eLAA requirement for in-band emissions from 36.101 is shown below where the relevant sections related to frame structure 3 for Band 46 are highlighted.</w:t>
      </w:r>
    </w:p>
    <w:p w14:paraId="73722A6D" w14:textId="77777777" w:rsidR="005E6619" w:rsidRPr="001D386E" w:rsidRDefault="005E6619" w:rsidP="005E6619">
      <w:pPr>
        <w:pStyle w:val="Heading5"/>
        <w:numPr>
          <w:ilvl w:val="0"/>
          <w:numId w:val="0"/>
        </w:numPr>
        <w:ind w:left="1152" w:hanging="1152"/>
      </w:pPr>
      <w:bookmarkStart w:id="2" w:name="_Toc368026283"/>
      <w:r w:rsidRPr="001D386E">
        <w:t>6.5.2.3.1</w:t>
      </w:r>
      <w:r w:rsidRPr="001D386E">
        <w:tab/>
      </w:r>
      <w:r w:rsidRPr="001D386E">
        <w:tab/>
        <w:t>Minimum requirements</w:t>
      </w:r>
      <w:bookmarkEnd w:id="2"/>
    </w:p>
    <w:p w14:paraId="7DD27E52" w14:textId="77777777" w:rsidR="005E6619" w:rsidRPr="001D386E" w:rsidRDefault="005E6619" w:rsidP="005E6619">
      <w:pPr>
        <w:rPr>
          <w:rFonts w:cs="v5.0.0"/>
        </w:rPr>
      </w:pPr>
      <w:r w:rsidRPr="001D386E">
        <w:t>The relative in-band emission shall not exceed the values specified in Table 6.5.2.3.1-1</w:t>
      </w:r>
      <w:r w:rsidRPr="001D386E">
        <w:rPr>
          <w:rFonts w:cs="v5.0.0"/>
        </w:rPr>
        <w:t>.</w:t>
      </w:r>
    </w:p>
    <w:p w14:paraId="0F451132" w14:textId="77777777" w:rsidR="005E6619" w:rsidRPr="001D386E" w:rsidRDefault="005E6619" w:rsidP="005E6619">
      <w:pPr>
        <w:pStyle w:val="TH"/>
      </w:pPr>
      <w:r w:rsidRPr="001D386E">
        <w:t>Table 6.5.2.3.1-1: Minimum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5E6619" w:rsidRPr="001D386E" w14:paraId="21B35107" w14:textId="77777777" w:rsidTr="00CD1AA0">
        <w:trPr>
          <w:jc w:val="center"/>
        </w:trPr>
        <w:tc>
          <w:tcPr>
            <w:tcW w:w="1205" w:type="dxa"/>
            <w:tcBorders>
              <w:bottom w:val="single" w:sz="4" w:space="0" w:color="auto"/>
              <w:right w:val="single" w:sz="4" w:space="0" w:color="auto"/>
            </w:tcBorders>
            <w:shd w:val="clear" w:color="auto" w:fill="auto"/>
            <w:vAlign w:val="center"/>
          </w:tcPr>
          <w:p w14:paraId="67B152F3" w14:textId="77777777" w:rsidR="005E6619" w:rsidRPr="001D386E" w:rsidRDefault="005E6619" w:rsidP="00CD1AA0">
            <w:pPr>
              <w:pStyle w:val="TAH"/>
              <w:rPr>
                <w:rFonts w:cs="Arial"/>
                <w:i/>
                <w:iCs/>
              </w:rPr>
            </w:pPr>
            <w:r w:rsidRPr="001D386E">
              <w:rPr>
                <w:rFonts w:cs="Arial"/>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18C81F6D" w14:textId="77777777" w:rsidR="005E6619" w:rsidRPr="001D386E" w:rsidRDefault="005E6619" w:rsidP="00CD1AA0">
            <w:pPr>
              <w:pStyle w:val="TAH"/>
              <w:rPr>
                <w:rFonts w:cs="Arial"/>
              </w:rPr>
            </w:pPr>
            <w:r w:rsidRPr="001D386E">
              <w:rPr>
                <w:rFonts w:cs="Arial"/>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506A68B2" w14:textId="77777777" w:rsidR="005E6619" w:rsidRPr="001D386E" w:rsidRDefault="005E6619" w:rsidP="00CD1AA0">
            <w:pPr>
              <w:pStyle w:val="TAH"/>
              <w:rPr>
                <w:rFonts w:cs="Arial"/>
              </w:rPr>
            </w:pPr>
            <w:r w:rsidRPr="001D386E">
              <w:rPr>
                <w:rFonts w:cs="Arial"/>
              </w:rPr>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1D3F552D" w14:textId="77777777" w:rsidR="005E6619" w:rsidRPr="001D386E" w:rsidRDefault="005E6619" w:rsidP="00CD1AA0">
            <w:pPr>
              <w:pStyle w:val="TAH"/>
              <w:rPr>
                <w:rFonts w:cs="Arial"/>
              </w:rPr>
            </w:pPr>
            <w:r w:rsidRPr="001D386E">
              <w:rPr>
                <w:rFonts w:cs="Arial"/>
              </w:rPr>
              <w:t>Applicable Frequencies</w:t>
            </w:r>
          </w:p>
        </w:tc>
      </w:tr>
      <w:tr w:rsidR="005E6619" w:rsidRPr="001D386E" w14:paraId="45BF9AE2" w14:textId="77777777" w:rsidTr="00CD1AA0">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77383D6D" w14:textId="77777777" w:rsidR="005E6619" w:rsidRPr="001D386E" w:rsidRDefault="005E6619" w:rsidP="00CD1AA0">
            <w:pPr>
              <w:pStyle w:val="TAH"/>
              <w:rPr>
                <w:rFonts w:cs="Arial"/>
              </w:rPr>
            </w:pPr>
            <w:r w:rsidRPr="001D386E">
              <w:rPr>
                <w:rFonts w:cs="Arial"/>
              </w:rPr>
              <w:t>General</w:t>
            </w:r>
          </w:p>
        </w:tc>
        <w:tc>
          <w:tcPr>
            <w:tcW w:w="1293" w:type="dxa"/>
            <w:tcBorders>
              <w:top w:val="single" w:sz="4" w:space="0" w:color="auto"/>
              <w:left w:val="single" w:sz="4" w:space="0" w:color="auto"/>
              <w:bottom w:val="single" w:sz="4" w:space="0" w:color="auto"/>
              <w:right w:val="single" w:sz="4" w:space="0" w:color="auto"/>
            </w:tcBorders>
            <w:vAlign w:val="center"/>
          </w:tcPr>
          <w:p w14:paraId="43996E2A" w14:textId="77777777" w:rsidR="005E6619" w:rsidRPr="001D386E" w:rsidRDefault="005E6619" w:rsidP="00CD1AA0">
            <w:pPr>
              <w:pStyle w:val="TAC"/>
              <w:rPr>
                <w:rFonts w:cs="Arial"/>
              </w:rPr>
            </w:pPr>
            <w:r w:rsidRPr="001D386E">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70242CED" w14:textId="77777777" w:rsidR="005E6619" w:rsidRPr="001D386E" w:rsidRDefault="005E6619" w:rsidP="00CD1AA0">
            <w:pPr>
              <w:pStyle w:val="TAC"/>
              <w:rPr>
                <w:rFonts w:eastAsia="Malgun Gothic" w:cs="Arial"/>
              </w:rPr>
            </w:pPr>
            <w:r w:rsidRPr="001D386E">
              <w:t>For Frame Structure Type 1 and Frame Structure Type 2:</w:t>
            </w:r>
          </w:p>
          <w:p w14:paraId="36DC80FA" w14:textId="77777777" w:rsidR="005E6619" w:rsidRPr="001D386E" w:rsidRDefault="005E6619" w:rsidP="00CD1AA0">
            <w:pPr>
              <w:pStyle w:val="TAC"/>
              <w:rPr>
                <w:rFonts w:cs="Arial"/>
              </w:rPr>
            </w:pPr>
            <w:r w:rsidRPr="001D386E">
              <w:rPr>
                <w:rFonts w:cs="Arial"/>
                <w:position w:val="-50"/>
              </w:rPr>
              <w:object w:dxaOrig="3980" w:dyaOrig="1120" w14:anchorId="48CA56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5pt;height:44.65pt" o:ole="">
                  <v:imagedata r:id="rId8" o:title=""/>
                </v:shape>
                <o:OLEObject Type="Embed" ProgID="Equation.3" ShapeID="_x0000_i1025" DrawAspect="Content" ObjectID="_1651056992" r:id="rId9"/>
              </w:object>
            </w:r>
          </w:p>
          <w:p w14:paraId="444CBA7B" w14:textId="77777777" w:rsidR="005E6619" w:rsidRPr="005E6619" w:rsidRDefault="005E6619" w:rsidP="00CD1AA0">
            <w:pPr>
              <w:pStyle w:val="TAC"/>
              <w:rPr>
                <w:highlight w:val="yellow"/>
              </w:rPr>
            </w:pPr>
            <w:r w:rsidRPr="005E6619">
              <w:rPr>
                <w:highlight w:val="yellow"/>
              </w:rPr>
              <w:t>For Frame Structure Type 3, 10 MHz and 20 MHz channel bandwidths:</w:t>
            </w:r>
          </w:p>
          <w:p w14:paraId="4E9ADB59" w14:textId="33C28AA2" w:rsidR="005E6619" w:rsidRPr="005E6619" w:rsidRDefault="00853B24" w:rsidP="00CD1AA0">
            <w:pPr>
              <w:pStyle w:val="TAC"/>
              <w:rPr>
                <w:rFonts w:cs="Arial"/>
              </w:rPr>
            </w:pPr>
            <m:oMathPara>
              <m:oMath>
                <m:func>
                  <m:funcPr>
                    <m:ctrlPr>
                      <w:rPr>
                        <w:rFonts w:ascii="Cambria Math" w:hAnsi="Cambria Math"/>
                        <w:i/>
                        <w:highlight w:val="yellow"/>
                      </w:rPr>
                    </m:ctrlPr>
                  </m:funcPr>
                  <m:fName>
                    <m:r>
                      <m:rPr>
                        <m:sty m:val="p"/>
                      </m:rPr>
                      <w:rPr>
                        <w:rFonts w:ascii="Cambria Math" w:hAnsi="Cambria Math"/>
                        <w:highlight w:val="yellow"/>
                      </w:rPr>
                      <m:t>max</m:t>
                    </m:r>
                  </m:fName>
                  <m:e>
                    <m:d>
                      <m:dPr>
                        <m:begChr m:val="{"/>
                        <m:endChr m:val="}"/>
                        <m:ctrlPr>
                          <w:rPr>
                            <w:rFonts w:ascii="Cambria Math" w:eastAsia="Calibri" w:hAnsi="Cambria Math"/>
                            <w:i/>
                            <w:sz w:val="22"/>
                            <w:szCs w:val="22"/>
                            <w:highlight w:val="yellow"/>
                            <w:lang w:val="sv-SE"/>
                          </w:rPr>
                        </m:ctrlPr>
                      </m:dPr>
                      <m:e>
                        <m:eqArr>
                          <m:eqArrPr>
                            <m:ctrlPr>
                              <w:rPr>
                                <w:rFonts w:ascii="Cambria Math" w:hAnsi="Cambria Math"/>
                                <w:i/>
                                <w:highlight w:val="yellow"/>
                              </w:rPr>
                            </m:ctrlPr>
                          </m:eqArrPr>
                          <m:e>
                            <m:r>
                              <w:rPr>
                                <w:rFonts w:ascii="Cambria Math" w:hAnsi="Cambria Math"/>
                                <w:highlight w:val="yellow"/>
                              </w:rPr>
                              <m:t>-10-6</m:t>
                            </m:r>
                            <m:d>
                              <m:dPr>
                                <m:ctrlPr>
                                  <w:rPr>
                                    <w:rFonts w:ascii="Cambria Math" w:hAnsi="Cambria Math"/>
                                    <w:i/>
                                    <w:highlight w:val="yellow"/>
                                  </w:rPr>
                                </m:ctrlPr>
                              </m:dPr>
                              <m:e>
                                <m:d>
                                  <m:dPr>
                                    <m:begChr m:val="|"/>
                                    <m:endChr m:val="|"/>
                                    <m:ctrlPr>
                                      <w:rPr>
                                        <w:rFonts w:ascii="Cambria Math" w:eastAsia="Calibri" w:hAnsi="Cambria Math"/>
                                        <w:i/>
                                        <w:sz w:val="22"/>
                                        <w:szCs w:val="22"/>
                                        <w:highlight w:val="yellow"/>
                                        <w:lang w:val="sv-SE"/>
                                      </w:rPr>
                                    </m:ctrlPr>
                                  </m:dPr>
                                  <m:e>
                                    <m:sSub>
                                      <m:sSubPr>
                                        <m:ctrlPr>
                                          <w:rPr>
                                            <w:rFonts w:ascii="Cambria Math" w:eastAsia="Calibri" w:hAnsi="Cambria Math"/>
                                            <w:i/>
                                            <w:sz w:val="22"/>
                                            <w:szCs w:val="22"/>
                                            <w:highlight w:val="yellow"/>
                                            <w:lang w:val="sv-SE"/>
                                          </w:rPr>
                                        </m:ctrlPr>
                                      </m:sSubPr>
                                      <m:e>
                                        <m:r>
                                          <w:rPr>
                                            <w:rFonts w:ascii="Cambria Math" w:hAnsi="Cambria Math"/>
                                            <w:highlight w:val="yellow"/>
                                          </w:rPr>
                                          <m:t>∆</m:t>
                                        </m:r>
                                      </m:e>
                                      <m:sub>
                                        <m:r>
                                          <w:rPr>
                                            <w:rFonts w:ascii="Cambria Math" w:hAnsi="Cambria Math"/>
                                            <w:highlight w:val="yellow"/>
                                          </w:rPr>
                                          <m:t>RB</m:t>
                                        </m:r>
                                      </m:sub>
                                    </m:sSub>
                                  </m:e>
                                </m:d>
                                <m:r>
                                  <w:rPr>
                                    <w:rFonts w:ascii="Cambria Math" w:hAnsi="Cambria Math"/>
                                    <w:highlight w:val="yellow"/>
                                  </w:rPr>
                                  <m:t>-1</m:t>
                                </m:r>
                              </m:e>
                            </m:d>
                            <m:r>
                              <w:rPr>
                                <w:rFonts w:ascii="Cambria Math" w:hAnsi="Cambria Math"/>
                                <w:highlight w:val="yellow"/>
                              </w:rPr>
                              <m:t>,</m:t>
                            </m:r>
                          </m:e>
                          <m:e>
                            <m:r>
                              <w:rPr>
                                <w:rFonts w:ascii="Cambria Math" w:hAnsi="Cambria Math"/>
                                <w:highlight w:val="yellow"/>
                              </w:rPr>
                              <m:t>-57</m:t>
                            </m:r>
                            <m:f>
                              <m:fPr>
                                <m:ctrlPr>
                                  <w:rPr>
                                    <w:rFonts w:ascii="Cambria Math" w:hAnsi="Cambria Math"/>
                                    <w:i/>
                                  </w:rPr>
                                </m:ctrlPr>
                              </m:fPr>
                              <m:num>
                                <m:r>
                                  <w:rPr>
                                    <w:rFonts w:ascii="Cambria Math" w:hAnsi="Cambria Math"/>
                                    <w:highlight w:val="yellow"/>
                                  </w:rPr>
                                  <m:t>dBm</m:t>
                                </m:r>
                              </m:num>
                              <m:den>
                                <m:r>
                                  <w:rPr>
                                    <w:rFonts w:ascii="Cambria Math" w:hAnsi="Cambria Math"/>
                                    <w:highlight w:val="yellow"/>
                                  </w:rPr>
                                  <m:t>180</m:t>
                                </m:r>
                              </m:den>
                            </m:f>
                            <m:r>
                              <w:rPr>
                                <w:rFonts w:ascii="Cambria Math" w:hAnsi="Cambria Math"/>
                                <w:highlight w:val="yellow"/>
                              </w:rPr>
                              <m:t>kHz-</m:t>
                            </m:r>
                            <m:sSub>
                              <m:sSubPr>
                                <m:ctrlPr>
                                  <w:rPr>
                                    <w:rFonts w:ascii="Cambria Math" w:eastAsia="Calibri" w:hAnsi="Cambria Math"/>
                                    <w:i/>
                                    <w:sz w:val="22"/>
                                    <w:szCs w:val="22"/>
                                    <w:highlight w:val="yellow"/>
                                    <w:lang w:val="sv-SE"/>
                                  </w:rPr>
                                </m:ctrlPr>
                              </m:sSubPr>
                              <m:e>
                                <m:r>
                                  <w:rPr>
                                    <w:rFonts w:ascii="Cambria Math" w:hAnsi="Cambria Math"/>
                                    <w:highlight w:val="yellow"/>
                                  </w:rPr>
                                  <m:t>P</m:t>
                                </m:r>
                              </m:e>
                              <m:sub>
                                <m:r>
                                  <w:rPr>
                                    <w:rFonts w:ascii="Cambria Math" w:hAnsi="Cambria Math"/>
                                    <w:highlight w:val="yellow"/>
                                  </w:rPr>
                                  <m:t>RB</m:t>
                                </m:r>
                              </m:sub>
                            </m:sSub>
                          </m:e>
                        </m:eqArr>
                      </m:e>
                    </m:d>
                  </m:e>
                </m:func>
              </m:oMath>
            </m:oMathPara>
          </w:p>
        </w:tc>
        <w:tc>
          <w:tcPr>
            <w:tcW w:w="1682" w:type="dxa"/>
            <w:tcBorders>
              <w:top w:val="single" w:sz="4" w:space="0" w:color="auto"/>
              <w:left w:val="single" w:sz="4" w:space="0" w:color="auto"/>
              <w:bottom w:val="single" w:sz="4" w:space="0" w:color="auto"/>
              <w:right w:val="single" w:sz="4" w:space="0" w:color="auto"/>
            </w:tcBorders>
            <w:vAlign w:val="center"/>
          </w:tcPr>
          <w:p w14:paraId="25DDB6EE" w14:textId="77777777" w:rsidR="005E6619" w:rsidRPr="001D386E" w:rsidRDefault="005E6619" w:rsidP="00CD1AA0">
            <w:pPr>
              <w:pStyle w:val="TAC"/>
              <w:rPr>
                <w:rFonts w:cs="Arial"/>
              </w:rPr>
            </w:pPr>
            <w:r w:rsidRPr="001D386E">
              <w:rPr>
                <w:rFonts w:cs="Arial"/>
              </w:rPr>
              <w:t>Any non-allocated (NOTE 2)</w:t>
            </w:r>
          </w:p>
        </w:tc>
      </w:tr>
      <w:tr w:rsidR="005E6619" w:rsidRPr="001D386E" w14:paraId="44632279" w14:textId="77777777" w:rsidTr="00CD1AA0">
        <w:trPr>
          <w:jc w:val="center"/>
        </w:trPr>
        <w:tc>
          <w:tcPr>
            <w:tcW w:w="1205" w:type="dxa"/>
            <w:vMerge w:val="restart"/>
            <w:tcBorders>
              <w:top w:val="single" w:sz="4" w:space="0" w:color="auto"/>
              <w:right w:val="single" w:sz="4" w:space="0" w:color="auto"/>
            </w:tcBorders>
            <w:shd w:val="clear" w:color="auto" w:fill="auto"/>
            <w:vAlign w:val="center"/>
          </w:tcPr>
          <w:p w14:paraId="62A5A272" w14:textId="77777777" w:rsidR="005E6619" w:rsidRPr="001D386E" w:rsidRDefault="005E6619" w:rsidP="00CD1AA0">
            <w:pPr>
              <w:pStyle w:val="TAH"/>
              <w:rPr>
                <w:rFonts w:cs="Arial"/>
              </w:rPr>
            </w:pPr>
            <w:r w:rsidRPr="001D386E">
              <w:rPr>
                <w:rFonts w:cs="Arial"/>
              </w:rPr>
              <w:t>IQ Image</w:t>
            </w:r>
          </w:p>
        </w:tc>
        <w:tc>
          <w:tcPr>
            <w:tcW w:w="1293" w:type="dxa"/>
            <w:vMerge w:val="restart"/>
            <w:tcBorders>
              <w:top w:val="single" w:sz="4" w:space="0" w:color="auto"/>
              <w:left w:val="single" w:sz="4" w:space="0" w:color="auto"/>
              <w:right w:val="single" w:sz="4" w:space="0" w:color="auto"/>
            </w:tcBorders>
            <w:vAlign w:val="center"/>
          </w:tcPr>
          <w:p w14:paraId="0755E129" w14:textId="77777777" w:rsidR="005E6619" w:rsidRPr="001D386E" w:rsidRDefault="005E6619" w:rsidP="00CD1AA0">
            <w:pPr>
              <w:pStyle w:val="TAC"/>
              <w:rPr>
                <w:rFonts w:cs="Arial"/>
              </w:rPr>
            </w:pPr>
            <w:r w:rsidRPr="001D386E">
              <w:rPr>
                <w:rFonts w:cs="Arial"/>
              </w:rPr>
              <w:t>dB</w:t>
            </w:r>
          </w:p>
        </w:tc>
        <w:tc>
          <w:tcPr>
            <w:tcW w:w="1265" w:type="dxa"/>
            <w:tcBorders>
              <w:top w:val="single" w:sz="4" w:space="0" w:color="auto"/>
              <w:left w:val="single" w:sz="4" w:space="0" w:color="auto"/>
              <w:right w:val="single" w:sz="4" w:space="0" w:color="auto"/>
            </w:tcBorders>
            <w:vAlign w:val="center"/>
          </w:tcPr>
          <w:p w14:paraId="04AB8B09" w14:textId="77777777" w:rsidR="005E6619" w:rsidRPr="001D386E" w:rsidRDefault="005E6619" w:rsidP="00CD1AA0">
            <w:pPr>
              <w:pStyle w:val="TAC"/>
              <w:rPr>
                <w:rFonts w:cs="Arial"/>
              </w:rPr>
            </w:pPr>
            <w:r w:rsidRPr="001D386E">
              <w:rPr>
                <w:rFonts w:cs="Arial"/>
              </w:rPr>
              <w:t>-28</w:t>
            </w:r>
          </w:p>
        </w:tc>
        <w:tc>
          <w:tcPr>
            <w:tcW w:w="4155" w:type="dxa"/>
            <w:tcBorders>
              <w:top w:val="single" w:sz="4" w:space="0" w:color="auto"/>
              <w:left w:val="single" w:sz="4" w:space="0" w:color="auto"/>
              <w:right w:val="single" w:sz="4" w:space="0" w:color="auto"/>
            </w:tcBorders>
            <w:vAlign w:val="center"/>
          </w:tcPr>
          <w:p w14:paraId="44018108" w14:textId="77777777" w:rsidR="005E6619" w:rsidRPr="001D386E" w:rsidRDefault="005E6619" w:rsidP="00CD1AA0">
            <w:pPr>
              <w:pStyle w:val="TAL"/>
              <w:rPr>
                <w:rFonts w:cs="Arial"/>
              </w:rPr>
            </w:pPr>
            <w:r w:rsidRPr="001D386E">
              <w:rPr>
                <w:rFonts w:cs="Arial"/>
              </w:rPr>
              <w:t>Image frequencies when carrier center frequency &lt; 1 GHz and Output power &gt; 10 dBm</w:t>
            </w:r>
          </w:p>
        </w:tc>
        <w:tc>
          <w:tcPr>
            <w:tcW w:w="1682" w:type="dxa"/>
            <w:vMerge w:val="restart"/>
            <w:tcBorders>
              <w:top w:val="single" w:sz="4" w:space="0" w:color="auto"/>
              <w:left w:val="single" w:sz="4" w:space="0" w:color="auto"/>
              <w:right w:val="single" w:sz="4" w:space="0" w:color="auto"/>
            </w:tcBorders>
            <w:vAlign w:val="center"/>
          </w:tcPr>
          <w:p w14:paraId="08BFE28E" w14:textId="77777777" w:rsidR="005E6619" w:rsidRPr="001D386E" w:rsidRDefault="005E6619" w:rsidP="00CD1AA0">
            <w:pPr>
              <w:pStyle w:val="TAC"/>
              <w:rPr>
                <w:rFonts w:cs="Arial"/>
              </w:rPr>
            </w:pPr>
            <w:r w:rsidRPr="001D386E">
              <w:rPr>
                <w:rFonts w:cs="Arial"/>
              </w:rPr>
              <w:t>Image frequencies (NOTES 2, 3)</w:t>
            </w:r>
          </w:p>
        </w:tc>
      </w:tr>
      <w:tr w:rsidR="005E6619" w:rsidRPr="001D386E" w14:paraId="1B753233" w14:textId="77777777" w:rsidTr="00CD1AA0">
        <w:trPr>
          <w:jc w:val="center"/>
        </w:trPr>
        <w:tc>
          <w:tcPr>
            <w:tcW w:w="1205" w:type="dxa"/>
            <w:vMerge/>
            <w:tcBorders>
              <w:right w:val="single" w:sz="4" w:space="0" w:color="auto"/>
            </w:tcBorders>
            <w:shd w:val="clear" w:color="auto" w:fill="auto"/>
            <w:vAlign w:val="center"/>
          </w:tcPr>
          <w:p w14:paraId="2A2E6156" w14:textId="77777777" w:rsidR="005E6619" w:rsidRPr="001D386E" w:rsidRDefault="005E6619" w:rsidP="00CD1AA0">
            <w:pPr>
              <w:pStyle w:val="TAH"/>
              <w:rPr>
                <w:rFonts w:cs="Arial"/>
              </w:rPr>
            </w:pPr>
          </w:p>
        </w:tc>
        <w:tc>
          <w:tcPr>
            <w:tcW w:w="1293" w:type="dxa"/>
            <w:vMerge/>
            <w:tcBorders>
              <w:left w:val="single" w:sz="4" w:space="0" w:color="auto"/>
              <w:right w:val="single" w:sz="4" w:space="0" w:color="auto"/>
            </w:tcBorders>
            <w:vAlign w:val="center"/>
          </w:tcPr>
          <w:p w14:paraId="5058F0DD" w14:textId="77777777" w:rsidR="005E6619" w:rsidRPr="001D386E" w:rsidRDefault="005E6619" w:rsidP="00CD1AA0">
            <w:pPr>
              <w:pStyle w:val="TAC"/>
              <w:rPr>
                <w:rFonts w:cs="Arial"/>
              </w:rPr>
            </w:pPr>
          </w:p>
        </w:tc>
        <w:tc>
          <w:tcPr>
            <w:tcW w:w="1265" w:type="dxa"/>
            <w:tcBorders>
              <w:top w:val="single" w:sz="4" w:space="0" w:color="auto"/>
              <w:left w:val="single" w:sz="4" w:space="0" w:color="auto"/>
              <w:right w:val="single" w:sz="4" w:space="0" w:color="auto"/>
            </w:tcBorders>
            <w:vAlign w:val="center"/>
          </w:tcPr>
          <w:p w14:paraId="7F1D3934" w14:textId="77777777" w:rsidR="005E6619" w:rsidRPr="001D386E" w:rsidRDefault="005E6619" w:rsidP="00CD1AA0">
            <w:pPr>
              <w:pStyle w:val="TAC"/>
              <w:rPr>
                <w:rFonts w:cs="Arial"/>
              </w:rPr>
            </w:pPr>
            <w:r w:rsidRPr="001D386E">
              <w:rPr>
                <w:rFonts w:cs="Arial"/>
              </w:rPr>
              <w:t>-25</w:t>
            </w:r>
          </w:p>
        </w:tc>
        <w:tc>
          <w:tcPr>
            <w:tcW w:w="4155" w:type="dxa"/>
            <w:tcBorders>
              <w:top w:val="single" w:sz="4" w:space="0" w:color="auto"/>
              <w:left w:val="single" w:sz="4" w:space="0" w:color="auto"/>
              <w:right w:val="single" w:sz="4" w:space="0" w:color="auto"/>
            </w:tcBorders>
            <w:vAlign w:val="center"/>
          </w:tcPr>
          <w:p w14:paraId="1F2887D0" w14:textId="77777777" w:rsidR="005E6619" w:rsidRPr="001D386E" w:rsidRDefault="005E6619" w:rsidP="00CD1AA0">
            <w:pPr>
              <w:pStyle w:val="TAL"/>
              <w:rPr>
                <w:rFonts w:cs="Arial"/>
              </w:rPr>
            </w:pPr>
            <w:r w:rsidRPr="001D386E">
              <w:rPr>
                <w:rFonts w:cs="Arial"/>
              </w:rPr>
              <w:t>Image frequencies when carrier center frequency &lt; 1 GHz and Output power ≤ 10 dBm</w:t>
            </w:r>
          </w:p>
        </w:tc>
        <w:tc>
          <w:tcPr>
            <w:tcW w:w="1682" w:type="dxa"/>
            <w:vMerge/>
            <w:tcBorders>
              <w:left w:val="single" w:sz="4" w:space="0" w:color="auto"/>
              <w:right w:val="single" w:sz="4" w:space="0" w:color="auto"/>
            </w:tcBorders>
            <w:vAlign w:val="center"/>
          </w:tcPr>
          <w:p w14:paraId="70EEFD38" w14:textId="77777777" w:rsidR="005E6619" w:rsidRPr="001D386E" w:rsidRDefault="005E6619" w:rsidP="00CD1AA0">
            <w:pPr>
              <w:pStyle w:val="TAC"/>
              <w:rPr>
                <w:rFonts w:cs="Arial"/>
              </w:rPr>
            </w:pPr>
          </w:p>
        </w:tc>
      </w:tr>
      <w:tr w:rsidR="005E6619" w:rsidRPr="001D386E" w14:paraId="1DD488C3" w14:textId="77777777" w:rsidTr="00CD1AA0">
        <w:trPr>
          <w:jc w:val="center"/>
        </w:trPr>
        <w:tc>
          <w:tcPr>
            <w:tcW w:w="1205" w:type="dxa"/>
            <w:vMerge/>
            <w:tcBorders>
              <w:right w:val="single" w:sz="4" w:space="0" w:color="auto"/>
            </w:tcBorders>
            <w:shd w:val="clear" w:color="auto" w:fill="auto"/>
            <w:vAlign w:val="center"/>
          </w:tcPr>
          <w:p w14:paraId="7A1394E2" w14:textId="77777777" w:rsidR="005E6619" w:rsidRPr="001D386E" w:rsidRDefault="005E6619" w:rsidP="00CD1AA0">
            <w:pPr>
              <w:pStyle w:val="TAH"/>
              <w:rPr>
                <w:rFonts w:cs="Arial"/>
              </w:rPr>
            </w:pPr>
          </w:p>
        </w:tc>
        <w:tc>
          <w:tcPr>
            <w:tcW w:w="1293" w:type="dxa"/>
            <w:vMerge/>
            <w:tcBorders>
              <w:left w:val="single" w:sz="4" w:space="0" w:color="auto"/>
              <w:right w:val="single" w:sz="4" w:space="0" w:color="auto"/>
            </w:tcBorders>
            <w:vAlign w:val="center"/>
          </w:tcPr>
          <w:p w14:paraId="5C439172" w14:textId="77777777" w:rsidR="005E6619" w:rsidRPr="001D386E" w:rsidRDefault="005E6619" w:rsidP="00CD1AA0">
            <w:pPr>
              <w:pStyle w:val="TAC"/>
              <w:rPr>
                <w:rFonts w:cs="Arial"/>
              </w:rPr>
            </w:pPr>
          </w:p>
        </w:tc>
        <w:tc>
          <w:tcPr>
            <w:tcW w:w="1265" w:type="dxa"/>
            <w:tcBorders>
              <w:top w:val="single" w:sz="4" w:space="0" w:color="auto"/>
              <w:left w:val="single" w:sz="4" w:space="0" w:color="auto"/>
              <w:right w:val="single" w:sz="4" w:space="0" w:color="auto"/>
            </w:tcBorders>
            <w:vAlign w:val="center"/>
          </w:tcPr>
          <w:p w14:paraId="272F9942" w14:textId="77777777" w:rsidR="005E6619" w:rsidRPr="001D386E" w:rsidRDefault="005E6619" w:rsidP="00CD1AA0">
            <w:pPr>
              <w:pStyle w:val="TAC"/>
              <w:rPr>
                <w:rFonts w:cs="Arial"/>
              </w:rPr>
            </w:pPr>
            <w:r w:rsidRPr="001D386E">
              <w:rPr>
                <w:rFonts w:cs="Arial"/>
              </w:rPr>
              <w:t>-25</w:t>
            </w:r>
          </w:p>
        </w:tc>
        <w:tc>
          <w:tcPr>
            <w:tcW w:w="4155" w:type="dxa"/>
            <w:tcBorders>
              <w:top w:val="single" w:sz="4" w:space="0" w:color="auto"/>
              <w:left w:val="single" w:sz="4" w:space="0" w:color="auto"/>
              <w:right w:val="single" w:sz="4" w:space="0" w:color="auto"/>
            </w:tcBorders>
            <w:vAlign w:val="center"/>
          </w:tcPr>
          <w:p w14:paraId="68174075" w14:textId="77777777" w:rsidR="005E6619" w:rsidRPr="001D386E" w:rsidRDefault="005E6619" w:rsidP="00CD1AA0">
            <w:pPr>
              <w:pStyle w:val="TAL"/>
              <w:rPr>
                <w:rFonts w:cs="Arial"/>
              </w:rPr>
            </w:pPr>
            <w:r w:rsidRPr="001D386E">
              <w:rPr>
                <w:rFonts w:cs="Arial"/>
              </w:rPr>
              <w:t>Image frequencies when carrier center frequency ≥ 1 GHz</w:t>
            </w:r>
          </w:p>
        </w:tc>
        <w:tc>
          <w:tcPr>
            <w:tcW w:w="1682" w:type="dxa"/>
            <w:vMerge/>
            <w:tcBorders>
              <w:left w:val="single" w:sz="4" w:space="0" w:color="auto"/>
              <w:right w:val="single" w:sz="4" w:space="0" w:color="auto"/>
            </w:tcBorders>
            <w:vAlign w:val="center"/>
          </w:tcPr>
          <w:p w14:paraId="5F10AD48" w14:textId="77777777" w:rsidR="005E6619" w:rsidRPr="001D386E" w:rsidRDefault="005E6619" w:rsidP="00CD1AA0">
            <w:pPr>
              <w:pStyle w:val="TAC"/>
              <w:rPr>
                <w:rFonts w:cs="Arial"/>
              </w:rPr>
            </w:pPr>
          </w:p>
        </w:tc>
      </w:tr>
      <w:tr w:rsidR="005E6619" w:rsidRPr="001D386E" w14:paraId="6417CCF9" w14:textId="77777777" w:rsidTr="00CD1AA0">
        <w:trPr>
          <w:trHeight w:val="208"/>
          <w:jc w:val="center"/>
        </w:trPr>
        <w:tc>
          <w:tcPr>
            <w:tcW w:w="1205" w:type="dxa"/>
            <w:vMerge w:val="restart"/>
            <w:tcBorders>
              <w:top w:val="single" w:sz="4" w:space="0" w:color="auto"/>
              <w:right w:val="single" w:sz="4" w:space="0" w:color="auto"/>
            </w:tcBorders>
            <w:shd w:val="clear" w:color="auto" w:fill="auto"/>
            <w:vAlign w:val="center"/>
          </w:tcPr>
          <w:p w14:paraId="7D8F6000" w14:textId="77777777" w:rsidR="005E6619" w:rsidRPr="001D386E" w:rsidRDefault="005E6619" w:rsidP="00CD1AA0">
            <w:pPr>
              <w:pStyle w:val="TAH"/>
              <w:rPr>
                <w:rFonts w:cs="Arial"/>
              </w:rPr>
            </w:pPr>
            <w:r w:rsidRPr="001D386E">
              <w:rPr>
                <w:rFonts w:cs="Arial"/>
              </w:rPr>
              <w:t>Carrier leakage</w:t>
            </w:r>
          </w:p>
        </w:tc>
        <w:tc>
          <w:tcPr>
            <w:tcW w:w="1293" w:type="dxa"/>
            <w:vMerge w:val="restart"/>
            <w:tcBorders>
              <w:top w:val="single" w:sz="4" w:space="0" w:color="auto"/>
              <w:left w:val="single" w:sz="4" w:space="0" w:color="auto"/>
              <w:right w:val="single" w:sz="4" w:space="0" w:color="auto"/>
            </w:tcBorders>
            <w:vAlign w:val="center"/>
          </w:tcPr>
          <w:p w14:paraId="0062E4ED" w14:textId="77777777" w:rsidR="005E6619" w:rsidRPr="001D386E" w:rsidRDefault="005E6619" w:rsidP="00CD1AA0">
            <w:pPr>
              <w:pStyle w:val="TAC"/>
              <w:rPr>
                <w:rFonts w:cs="Arial"/>
              </w:rPr>
            </w:pPr>
            <w:r w:rsidRPr="001D386E">
              <w:rPr>
                <w:rFonts w:cs="Arial"/>
              </w:rPr>
              <w:t>dBc</w:t>
            </w:r>
          </w:p>
        </w:tc>
        <w:tc>
          <w:tcPr>
            <w:tcW w:w="1265" w:type="dxa"/>
            <w:tcBorders>
              <w:top w:val="single" w:sz="4" w:space="0" w:color="auto"/>
              <w:left w:val="single" w:sz="4" w:space="0" w:color="auto"/>
              <w:right w:val="single" w:sz="4" w:space="0" w:color="auto"/>
            </w:tcBorders>
            <w:vAlign w:val="center"/>
          </w:tcPr>
          <w:p w14:paraId="6CF51490" w14:textId="77777777" w:rsidR="005E6619" w:rsidRPr="001D386E" w:rsidRDefault="005E6619" w:rsidP="00CD1AA0">
            <w:pPr>
              <w:pStyle w:val="TAC"/>
              <w:rPr>
                <w:rFonts w:cs="Arial"/>
              </w:rPr>
            </w:pPr>
            <w:r w:rsidRPr="001D386E">
              <w:rPr>
                <w:rFonts w:cs="Arial"/>
              </w:rPr>
              <w:t>-28</w:t>
            </w:r>
          </w:p>
        </w:tc>
        <w:tc>
          <w:tcPr>
            <w:tcW w:w="4155" w:type="dxa"/>
            <w:tcBorders>
              <w:top w:val="single" w:sz="4" w:space="0" w:color="auto"/>
              <w:left w:val="single" w:sz="4" w:space="0" w:color="auto"/>
              <w:right w:val="single" w:sz="4" w:space="0" w:color="auto"/>
            </w:tcBorders>
            <w:shd w:val="clear" w:color="auto" w:fill="auto"/>
            <w:vAlign w:val="center"/>
          </w:tcPr>
          <w:p w14:paraId="1122C88F" w14:textId="77777777" w:rsidR="005E6619" w:rsidRPr="001D386E" w:rsidRDefault="005E6619" w:rsidP="00CD1AA0">
            <w:pPr>
              <w:pStyle w:val="TAL"/>
              <w:rPr>
                <w:rFonts w:cs="Arial"/>
              </w:rPr>
            </w:pPr>
            <w:r w:rsidRPr="001D386E">
              <w:rPr>
                <w:rFonts w:cs="Arial"/>
              </w:rPr>
              <w:t>Output power &gt; 10 dBm and carrier center frequency &lt; 1 GHz</w:t>
            </w:r>
          </w:p>
        </w:tc>
        <w:tc>
          <w:tcPr>
            <w:tcW w:w="1682" w:type="dxa"/>
            <w:vMerge w:val="restart"/>
            <w:tcBorders>
              <w:top w:val="single" w:sz="4" w:space="0" w:color="auto"/>
              <w:left w:val="single" w:sz="4" w:space="0" w:color="auto"/>
              <w:right w:val="single" w:sz="4" w:space="0" w:color="auto"/>
            </w:tcBorders>
            <w:vAlign w:val="center"/>
          </w:tcPr>
          <w:p w14:paraId="7E74DB8E" w14:textId="77777777" w:rsidR="005E6619" w:rsidRPr="001D386E" w:rsidRDefault="005E6619" w:rsidP="00CD1AA0">
            <w:pPr>
              <w:pStyle w:val="TAC"/>
              <w:rPr>
                <w:rFonts w:cs="Arial"/>
              </w:rPr>
            </w:pPr>
            <w:r w:rsidRPr="001D386E">
              <w:rPr>
                <w:rFonts w:cs="Arial"/>
              </w:rPr>
              <w:t>Carrier frequency (NOTES 4, 5)</w:t>
            </w:r>
          </w:p>
        </w:tc>
      </w:tr>
      <w:tr w:rsidR="005E6619" w:rsidRPr="001D386E" w14:paraId="18CE38C0" w14:textId="77777777" w:rsidTr="00CD1AA0">
        <w:trPr>
          <w:trHeight w:val="208"/>
          <w:jc w:val="center"/>
        </w:trPr>
        <w:tc>
          <w:tcPr>
            <w:tcW w:w="1205" w:type="dxa"/>
            <w:vMerge/>
            <w:tcBorders>
              <w:top w:val="single" w:sz="4" w:space="0" w:color="auto"/>
              <w:right w:val="single" w:sz="4" w:space="0" w:color="auto"/>
            </w:tcBorders>
            <w:shd w:val="clear" w:color="auto" w:fill="auto"/>
            <w:vAlign w:val="center"/>
          </w:tcPr>
          <w:p w14:paraId="001F4600" w14:textId="77777777" w:rsidR="005E6619" w:rsidRPr="001D386E" w:rsidRDefault="005E6619" w:rsidP="00CD1AA0">
            <w:pPr>
              <w:pStyle w:val="TAH"/>
              <w:rPr>
                <w:rFonts w:cs="Arial"/>
              </w:rPr>
            </w:pPr>
          </w:p>
        </w:tc>
        <w:tc>
          <w:tcPr>
            <w:tcW w:w="1293" w:type="dxa"/>
            <w:vMerge/>
            <w:tcBorders>
              <w:top w:val="single" w:sz="4" w:space="0" w:color="auto"/>
              <w:left w:val="single" w:sz="4" w:space="0" w:color="auto"/>
              <w:right w:val="single" w:sz="4" w:space="0" w:color="auto"/>
            </w:tcBorders>
            <w:vAlign w:val="center"/>
          </w:tcPr>
          <w:p w14:paraId="4ACD23CC" w14:textId="77777777" w:rsidR="005E6619" w:rsidRPr="001D386E" w:rsidRDefault="005E6619" w:rsidP="00CD1AA0">
            <w:pPr>
              <w:pStyle w:val="TAC"/>
              <w:rPr>
                <w:rFonts w:cs="Arial"/>
              </w:rPr>
            </w:pPr>
          </w:p>
        </w:tc>
        <w:tc>
          <w:tcPr>
            <w:tcW w:w="1265" w:type="dxa"/>
            <w:tcBorders>
              <w:top w:val="single" w:sz="4" w:space="0" w:color="auto"/>
              <w:left w:val="single" w:sz="4" w:space="0" w:color="auto"/>
              <w:right w:val="single" w:sz="4" w:space="0" w:color="auto"/>
            </w:tcBorders>
            <w:vAlign w:val="center"/>
          </w:tcPr>
          <w:p w14:paraId="3AE332FC" w14:textId="77777777" w:rsidR="005E6619" w:rsidRPr="001D386E" w:rsidRDefault="005E6619" w:rsidP="00CD1AA0">
            <w:pPr>
              <w:pStyle w:val="TAC"/>
              <w:rPr>
                <w:rFonts w:cs="Arial"/>
              </w:rPr>
            </w:pPr>
            <w:r w:rsidRPr="001D386E">
              <w:rPr>
                <w:rFonts w:cs="Arial"/>
              </w:rPr>
              <w:t>-25</w:t>
            </w:r>
          </w:p>
        </w:tc>
        <w:tc>
          <w:tcPr>
            <w:tcW w:w="4155" w:type="dxa"/>
            <w:tcBorders>
              <w:top w:val="single" w:sz="4" w:space="0" w:color="auto"/>
              <w:left w:val="single" w:sz="4" w:space="0" w:color="auto"/>
              <w:right w:val="single" w:sz="4" w:space="0" w:color="auto"/>
            </w:tcBorders>
            <w:shd w:val="clear" w:color="auto" w:fill="auto"/>
            <w:vAlign w:val="center"/>
          </w:tcPr>
          <w:p w14:paraId="3927C8A9" w14:textId="77777777" w:rsidR="005E6619" w:rsidRPr="001D386E" w:rsidRDefault="005E6619" w:rsidP="00CD1AA0">
            <w:pPr>
              <w:pStyle w:val="TAL"/>
              <w:rPr>
                <w:rFonts w:cs="Arial"/>
              </w:rPr>
            </w:pPr>
            <w:r w:rsidRPr="001D386E">
              <w:rPr>
                <w:rFonts w:cs="Arial"/>
              </w:rPr>
              <w:t>Output power &gt; 10 dBm and carrier center frequency ≥ 1 GHz</w:t>
            </w:r>
          </w:p>
        </w:tc>
        <w:tc>
          <w:tcPr>
            <w:tcW w:w="1682" w:type="dxa"/>
            <w:vMerge/>
            <w:tcBorders>
              <w:top w:val="single" w:sz="4" w:space="0" w:color="auto"/>
              <w:left w:val="single" w:sz="4" w:space="0" w:color="auto"/>
              <w:right w:val="single" w:sz="4" w:space="0" w:color="auto"/>
            </w:tcBorders>
            <w:vAlign w:val="center"/>
          </w:tcPr>
          <w:p w14:paraId="4649D070" w14:textId="77777777" w:rsidR="005E6619" w:rsidRPr="001D386E" w:rsidRDefault="005E6619" w:rsidP="00CD1AA0">
            <w:pPr>
              <w:spacing w:after="0"/>
            </w:pPr>
          </w:p>
        </w:tc>
      </w:tr>
      <w:tr w:rsidR="005E6619" w:rsidRPr="001D386E" w14:paraId="5CE6B3FD" w14:textId="77777777" w:rsidTr="00CD1AA0">
        <w:trPr>
          <w:trHeight w:val="208"/>
          <w:jc w:val="center"/>
        </w:trPr>
        <w:tc>
          <w:tcPr>
            <w:tcW w:w="1205" w:type="dxa"/>
            <w:vMerge/>
            <w:tcBorders>
              <w:top w:val="single" w:sz="4" w:space="0" w:color="auto"/>
              <w:right w:val="single" w:sz="4" w:space="0" w:color="auto"/>
            </w:tcBorders>
            <w:shd w:val="clear" w:color="auto" w:fill="auto"/>
            <w:vAlign w:val="center"/>
          </w:tcPr>
          <w:p w14:paraId="3A63CBFB" w14:textId="77777777" w:rsidR="005E6619" w:rsidRPr="001D386E" w:rsidRDefault="005E6619" w:rsidP="00CD1AA0">
            <w:pPr>
              <w:pStyle w:val="TAH"/>
              <w:rPr>
                <w:rFonts w:cs="Arial"/>
              </w:rPr>
            </w:pPr>
          </w:p>
        </w:tc>
        <w:tc>
          <w:tcPr>
            <w:tcW w:w="1293" w:type="dxa"/>
            <w:vMerge/>
            <w:tcBorders>
              <w:top w:val="single" w:sz="4" w:space="0" w:color="auto"/>
              <w:left w:val="single" w:sz="4" w:space="0" w:color="auto"/>
              <w:right w:val="single" w:sz="4" w:space="0" w:color="auto"/>
            </w:tcBorders>
            <w:vAlign w:val="center"/>
          </w:tcPr>
          <w:p w14:paraId="219538CC" w14:textId="77777777" w:rsidR="005E6619" w:rsidRPr="001D386E" w:rsidRDefault="005E6619" w:rsidP="00CD1AA0">
            <w:pPr>
              <w:pStyle w:val="TAC"/>
              <w:rPr>
                <w:rFonts w:cs="Arial"/>
              </w:rPr>
            </w:pPr>
          </w:p>
        </w:tc>
        <w:tc>
          <w:tcPr>
            <w:tcW w:w="1265" w:type="dxa"/>
            <w:tcBorders>
              <w:top w:val="single" w:sz="4" w:space="0" w:color="auto"/>
              <w:left w:val="single" w:sz="4" w:space="0" w:color="auto"/>
              <w:right w:val="single" w:sz="4" w:space="0" w:color="auto"/>
            </w:tcBorders>
            <w:vAlign w:val="center"/>
          </w:tcPr>
          <w:p w14:paraId="74B0B110" w14:textId="77777777" w:rsidR="005E6619" w:rsidRPr="001D386E" w:rsidRDefault="005E6619" w:rsidP="00CD1AA0">
            <w:pPr>
              <w:pStyle w:val="TAC"/>
              <w:rPr>
                <w:rFonts w:cs="Arial"/>
              </w:rPr>
            </w:pPr>
            <w:r w:rsidRPr="001D386E">
              <w:rPr>
                <w:rFonts w:cs="Arial"/>
              </w:rPr>
              <w:t>-25</w:t>
            </w:r>
          </w:p>
        </w:tc>
        <w:tc>
          <w:tcPr>
            <w:tcW w:w="4155" w:type="dxa"/>
            <w:tcBorders>
              <w:top w:val="single" w:sz="4" w:space="0" w:color="auto"/>
              <w:left w:val="single" w:sz="4" w:space="0" w:color="auto"/>
              <w:right w:val="single" w:sz="4" w:space="0" w:color="auto"/>
            </w:tcBorders>
            <w:shd w:val="clear" w:color="auto" w:fill="auto"/>
            <w:vAlign w:val="center"/>
          </w:tcPr>
          <w:p w14:paraId="3985B38A" w14:textId="77777777" w:rsidR="005E6619" w:rsidRPr="001D386E" w:rsidRDefault="005E6619" w:rsidP="00CD1AA0">
            <w:pPr>
              <w:pStyle w:val="TAL"/>
              <w:rPr>
                <w:rFonts w:cs="Arial"/>
              </w:rPr>
            </w:pPr>
            <w:r w:rsidRPr="001D386E">
              <w:rPr>
                <w:rFonts w:cs="Arial"/>
              </w:rPr>
              <w:t>0 dBm ≤ Output power ≤10 dBm</w:t>
            </w:r>
          </w:p>
        </w:tc>
        <w:tc>
          <w:tcPr>
            <w:tcW w:w="1682" w:type="dxa"/>
            <w:vMerge/>
            <w:tcBorders>
              <w:top w:val="single" w:sz="4" w:space="0" w:color="auto"/>
              <w:left w:val="single" w:sz="4" w:space="0" w:color="auto"/>
              <w:right w:val="single" w:sz="4" w:space="0" w:color="auto"/>
            </w:tcBorders>
            <w:vAlign w:val="center"/>
          </w:tcPr>
          <w:p w14:paraId="5945915E" w14:textId="77777777" w:rsidR="005E6619" w:rsidRPr="001D386E" w:rsidRDefault="005E6619" w:rsidP="00CD1AA0">
            <w:pPr>
              <w:spacing w:after="0"/>
            </w:pPr>
          </w:p>
        </w:tc>
      </w:tr>
      <w:tr w:rsidR="005E6619" w:rsidRPr="001D386E" w14:paraId="63395C5E" w14:textId="77777777" w:rsidTr="00CD1AA0">
        <w:trPr>
          <w:trHeight w:val="206"/>
          <w:jc w:val="center"/>
        </w:trPr>
        <w:tc>
          <w:tcPr>
            <w:tcW w:w="1205" w:type="dxa"/>
            <w:vMerge/>
            <w:tcBorders>
              <w:right w:val="single" w:sz="4" w:space="0" w:color="auto"/>
            </w:tcBorders>
            <w:shd w:val="clear" w:color="auto" w:fill="auto"/>
            <w:vAlign w:val="center"/>
          </w:tcPr>
          <w:p w14:paraId="1993DFE2" w14:textId="77777777" w:rsidR="005E6619" w:rsidRPr="001D386E" w:rsidRDefault="005E6619" w:rsidP="00CD1AA0">
            <w:pPr>
              <w:spacing w:after="0"/>
              <w:rPr>
                <w:b/>
              </w:rPr>
            </w:pPr>
          </w:p>
        </w:tc>
        <w:tc>
          <w:tcPr>
            <w:tcW w:w="1293" w:type="dxa"/>
            <w:vMerge/>
            <w:tcBorders>
              <w:left w:val="single" w:sz="4" w:space="0" w:color="auto"/>
              <w:right w:val="single" w:sz="4" w:space="0" w:color="auto"/>
            </w:tcBorders>
            <w:vAlign w:val="center"/>
          </w:tcPr>
          <w:p w14:paraId="590094F3" w14:textId="77777777" w:rsidR="005E6619" w:rsidRPr="001D386E" w:rsidRDefault="005E6619" w:rsidP="00CD1AA0">
            <w:pPr>
              <w:pStyle w:val="TAC"/>
              <w:rPr>
                <w:rFonts w:cs="Arial"/>
              </w:rPr>
            </w:pPr>
          </w:p>
        </w:tc>
        <w:tc>
          <w:tcPr>
            <w:tcW w:w="1265" w:type="dxa"/>
            <w:tcBorders>
              <w:top w:val="single" w:sz="4" w:space="0" w:color="auto"/>
              <w:left w:val="single" w:sz="4" w:space="0" w:color="auto"/>
              <w:right w:val="single" w:sz="4" w:space="0" w:color="auto"/>
            </w:tcBorders>
            <w:vAlign w:val="center"/>
          </w:tcPr>
          <w:p w14:paraId="065F22CB" w14:textId="77777777" w:rsidR="005E6619" w:rsidRPr="001D386E" w:rsidRDefault="005E6619" w:rsidP="00CD1AA0">
            <w:pPr>
              <w:pStyle w:val="TAC"/>
              <w:rPr>
                <w:rFonts w:cs="Arial"/>
              </w:rPr>
            </w:pPr>
            <w:r w:rsidRPr="001D386E">
              <w:rPr>
                <w:rFonts w:cs="Arial"/>
              </w:rPr>
              <w:t>-20</w:t>
            </w:r>
          </w:p>
        </w:tc>
        <w:tc>
          <w:tcPr>
            <w:tcW w:w="4155" w:type="dxa"/>
            <w:tcBorders>
              <w:left w:val="single" w:sz="4" w:space="0" w:color="auto"/>
              <w:right w:val="single" w:sz="4" w:space="0" w:color="auto"/>
            </w:tcBorders>
            <w:shd w:val="clear" w:color="auto" w:fill="auto"/>
            <w:vAlign w:val="center"/>
          </w:tcPr>
          <w:p w14:paraId="0AC68A89" w14:textId="77777777" w:rsidR="005E6619" w:rsidRPr="001D386E" w:rsidRDefault="005E6619" w:rsidP="00CD1AA0">
            <w:pPr>
              <w:pStyle w:val="TAL"/>
              <w:rPr>
                <w:rFonts w:cs="Arial"/>
              </w:rPr>
            </w:pPr>
            <w:r w:rsidRPr="001D386E">
              <w:rPr>
                <w:rFonts w:cs="Arial"/>
              </w:rPr>
              <w:t>-30 dBm ≤ Output power ≤ 0 dBm</w:t>
            </w:r>
          </w:p>
        </w:tc>
        <w:tc>
          <w:tcPr>
            <w:tcW w:w="1682" w:type="dxa"/>
            <w:vMerge/>
            <w:tcBorders>
              <w:left w:val="single" w:sz="4" w:space="0" w:color="auto"/>
              <w:right w:val="single" w:sz="4" w:space="0" w:color="auto"/>
            </w:tcBorders>
            <w:vAlign w:val="center"/>
          </w:tcPr>
          <w:p w14:paraId="7DBD5380" w14:textId="77777777" w:rsidR="005E6619" w:rsidRPr="001D386E" w:rsidRDefault="005E6619" w:rsidP="00CD1AA0">
            <w:pPr>
              <w:spacing w:after="0"/>
            </w:pPr>
          </w:p>
        </w:tc>
      </w:tr>
      <w:tr w:rsidR="005E6619" w:rsidRPr="001D386E" w14:paraId="32C974A5" w14:textId="77777777" w:rsidTr="00CD1AA0">
        <w:trPr>
          <w:trHeight w:val="206"/>
          <w:jc w:val="center"/>
        </w:trPr>
        <w:tc>
          <w:tcPr>
            <w:tcW w:w="1205" w:type="dxa"/>
            <w:vMerge/>
            <w:tcBorders>
              <w:right w:val="single" w:sz="4" w:space="0" w:color="auto"/>
            </w:tcBorders>
            <w:shd w:val="clear" w:color="auto" w:fill="auto"/>
            <w:vAlign w:val="center"/>
          </w:tcPr>
          <w:p w14:paraId="2A99808E" w14:textId="77777777" w:rsidR="005E6619" w:rsidRPr="001D386E" w:rsidRDefault="005E6619" w:rsidP="00CD1AA0">
            <w:pPr>
              <w:spacing w:after="0"/>
              <w:rPr>
                <w:b/>
              </w:rPr>
            </w:pPr>
          </w:p>
        </w:tc>
        <w:tc>
          <w:tcPr>
            <w:tcW w:w="1293" w:type="dxa"/>
            <w:vMerge/>
            <w:tcBorders>
              <w:left w:val="single" w:sz="4" w:space="0" w:color="auto"/>
              <w:right w:val="single" w:sz="4" w:space="0" w:color="auto"/>
            </w:tcBorders>
            <w:vAlign w:val="center"/>
          </w:tcPr>
          <w:p w14:paraId="5DE58B78" w14:textId="77777777" w:rsidR="005E6619" w:rsidRPr="001D386E" w:rsidRDefault="005E6619" w:rsidP="00CD1AA0">
            <w:pPr>
              <w:pStyle w:val="TAC"/>
              <w:rPr>
                <w:rFonts w:cs="Arial"/>
              </w:rPr>
            </w:pPr>
          </w:p>
        </w:tc>
        <w:tc>
          <w:tcPr>
            <w:tcW w:w="1265" w:type="dxa"/>
            <w:tcBorders>
              <w:top w:val="single" w:sz="4" w:space="0" w:color="auto"/>
              <w:left w:val="single" w:sz="4" w:space="0" w:color="auto"/>
              <w:right w:val="single" w:sz="4" w:space="0" w:color="auto"/>
            </w:tcBorders>
            <w:vAlign w:val="center"/>
          </w:tcPr>
          <w:p w14:paraId="4A246A29" w14:textId="77777777" w:rsidR="005E6619" w:rsidRPr="001D386E" w:rsidRDefault="005E6619" w:rsidP="00CD1AA0">
            <w:pPr>
              <w:pStyle w:val="TAC"/>
              <w:rPr>
                <w:rFonts w:cs="Arial"/>
              </w:rPr>
            </w:pPr>
            <w:r w:rsidRPr="001D386E">
              <w:rPr>
                <w:rFonts w:cs="Arial"/>
              </w:rPr>
              <w:t>-10</w:t>
            </w:r>
          </w:p>
        </w:tc>
        <w:tc>
          <w:tcPr>
            <w:tcW w:w="4155" w:type="dxa"/>
            <w:tcBorders>
              <w:left w:val="single" w:sz="4" w:space="0" w:color="auto"/>
              <w:right w:val="single" w:sz="4" w:space="0" w:color="auto"/>
            </w:tcBorders>
            <w:shd w:val="clear" w:color="auto" w:fill="auto"/>
            <w:vAlign w:val="center"/>
          </w:tcPr>
          <w:p w14:paraId="7209927D" w14:textId="77777777" w:rsidR="005E6619" w:rsidRPr="001D386E" w:rsidRDefault="005E6619" w:rsidP="00CD1AA0">
            <w:pPr>
              <w:pStyle w:val="TAL"/>
              <w:rPr>
                <w:rFonts w:cs="Arial"/>
              </w:rPr>
            </w:pPr>
            <w:r w:rsidRPr="001D386E">
              <w:rPr>
                <w:rFonts w:cs="Arial"/>
              </w:rPr>
              <w:t xml:space="preserve">-40 dBm </w:t>
            </w:r>
            <w:r w:rsidRPr="001D386E">
              <w:rPr>
                <w:rFonts w:cs="Arial"/>
              </w:rPr>
              <w:sym w:font="Symbol" w:char="F0A3"/>
            </w:r>
            <w:r w:rsidRPr="001D386E">
              <w:rPr>
                <w:rFonts w:cs="Arial"/>
              </w:rPr>
              <w:t xml:space="preserve"> Output power &lt; -30 dBm</w:t>
            </w:r>
            <w:r w:rsidRPr="001D386E">
              <w:rPr>
                <w:rFonts w:cs="Arial"/>
                <w:vertAlign w:val="superscript"/>
              </w:rPr>
              <w:t xml:space="preserve"> (NOTE 12)</w:t>
            </w:r>
          </w:p>
        </w:tc>
        <w:tc>
          <w:tcPr>
            <w:tcW w:w="1682" w:type="dxa"/>
            <w:vMerge/>
            <w:tcBorders>
              <w:left w:val="single" w:sz="4" w:space="0" w:color="auto"/>
              <w:right w:val="single" w:sz="4" w:space="0" w:color="auto"/>
            </w:tcBorders>
            <w:vAlign w:val="center"/>
          </w:tcPr>
          <w:p w14:paraId="7445BF51" w14:textId="77777777" w:rsidR="005E6619" w:rsidRPr="001D386E" w:rsidRDefault="005E6619" w:rsidP="00CD1AA0">
            <w:pPr>
              <w:spacing w:after="0"/>
            </w:pPr>
          </w:p>
        </w:tc>
      </w:tr>
      <w:tr w:rsidR="005E6619" w:rsidRPr="001D386E" w14:paraId="77E09E02" w14:textId="77777777" w:rsidTr="00CD1AA0">
        <w:trPr>
          <w:trHeight w:val="424"/>
          <w:jc w:val="center"/>
        </w:trPr>
        <w:tc>
          <w:tcPr>
            <w:tcW w:w="9600" w:type="dxa"/>
            <w:gridSpan w:val="5"/>
            <w:tcBorders>
              <w:right w:val="single" w:sz="4" w:space="0" w:color="auto"/>
            </w:tcBorders>
            <w:shd w:val="clear" w:color="auto" w:fill="auto"/>
            <w:vAlign w:val="center"/>
          </w:tcPr>
          <w:p w14:paraId="758CBF45" w14:textId="77777777" w:rsidR="005E6619" w:rsidRPr="001D386E" w:rsidRDefault="005E6619" w:rsidP="00CD1AA0">
            <w:pPr>
              <w:pStyle w:val="TAN"/>
              <w:rPr>
                <w:rFonts w:cs="Arial"/>
              </w:rPr>
            </w:pPr>
            <w:r w:rsidRPr="001D386E">
              <w:rPr>
                <w:rFonts w:cs="Arial"/>
              </w:rPr>
              <w:lastRenderedPageBreak/>
              <w:t>NOTE 1:</w:t>
            </w:r>
            <w:r w:rsidRPr="001D386E">
              <w:rPr>
                <w:rFonts w:cs="Arial"/>
              </w:rPr>
              <w:tab/>
              <w:t xml:space="preserve">An in-band emissions combined limit is evaluated in each non-allocated RB. For each such RB, the minimum requirement is calculated as the higher of </w:t>
            </w:r>
            <w:r w:rsidRPr="001D386E">
              <w:rPr>
                <w:rFonts w:cs="Arial"/>
                <w:i/>
              </w:rPr>
              <w:t>P</w:t>
            </w:r>
            <w:r w:rsidRPr="001D386E">
              <w:rPr>
                <w:rFonts w:cs="Arial"/>
                <w:i/>
                <w:vertAlign w:val="subscript"/>
              </w:rPr>
              <w:t xml:space="preserve">RB </w:t>
            </w:r>
            <w:r w:rsidRPr="001D386E">
              <w:rPr>
                <w:rFonts w:cs="Arial"/>
              </w:rPr>
              <w:t xml:space="preserve">- 30 dB and the power sum of all limit values (General, IQ Image or Carrier leakage) that apply. </w:t>
            </w:r>
            <w:r w:rsidRPr="001D386E">
              <w:rPr>
                <w:rFonts w:cs="Arial"/>
                <w:i/>
              </w:rPr>
              <w:t>P</w:t>
            </w:r>
            <w:r w:rsidRPr="001D386E">
              <w:rPr>
                <w:rFonts w:cs="Arial"/>
                <w:i/>
                <w:vertAlign w:val="subscript"/>
              </w:rPr>
              <w:t>RB</w:t>
            </w:r>
            <w:r w:rsidRPr="001D386E">
              <w:rPr>
                <w:rFonts w:cs="Arial"/>
                <w:i/>
              </w:rPr>
              <w:t xml:space="preserve"> </w:t>
            </w:r>
            <w:r w:rsidRPr="001D386E">
              <w:rPr>
                <w:rFonts w:cs="Arial"/>
              </w:rPr>
              <w:t>is defined in NOTE 10.</w:t>
            </w:r>
          </w:p>
          <w:p w14:paraId="3392B866" w14:textId="77777777" w:rsidR="005E6619" w:rsidRPr="001D386E" w:rsidRDefault="005E6619" w:rsidP="00CD1AA0">
            <w:pPr>
              <w:pStyle w:val="TAN"/>
              <w:rPr>
                <w:rFonts w:cs="Arial"/>
              </w:rPr>
            </w:pPr>
            <w:r w:rsidRPr="001D386E">
              <w:rPr>
                <w:rFonts w:cs="Arial"/>
              </w:rPr>
              <w:t>NOTE 2:</w:t>
            </w:r>
            <w:r w:rsidRPr="001D386E">
              <w:rPr>
                <w:rFonts w:cs="Arial"/>
              </w:rPr>
              <w:tab/>
              <w:t>The measurement bandwidth is 1 RB and the limit is expressed as a ratio of measured power in one non-allocated RB to the measured average power per allocated RB, where the averaging is done across all allocated RBs.</w:t>
            </w:r>
            <w:r w:rsidRPr="001D386E">
              <w:rPr>
                <w:rFonts w:cs="Arial"/>
                <w:szCs w:val="18"/>
              </w:rPr>
              <w:t xml:space="preserve"> </w:t>
            </w:r>
            <w:r w:rsidRPr="005E6619">
              <w:rPr>
                <w:rFonts w:cs="Arial"/>
                <w:szCs w:val="18"/>
                <w:highlight w:val="yellow"/>
              </w:rPr>
              <w:t xml:space="preserve">For Frame Structure Type 3 and 20 MHz channel bandwidth, the requirement applies for QPSK, 16QAM and 64QAM modulation with </w:t>
            </w:r>
            <w:r w:rsidRPr="005E6619">
              <w:rPr>
                <w:position w:val="-14"/>
                <w:highlight w:val="yellow"/>
              </w:rPr>
              <w:object w:dxaOrig="859" w:dyaOrig="400" w14:anchorId="6B9F078F">
                <v:shape id="_x0000_i1026" type="#_x0000_t75" style="width:37.45pt;height:18pt" o:ole="">
                  <v:imagedata r:id="rId10" o:title=""/>
                </v:shape>
                <o:OLEObject Type="Embed" ProgID="Equation.3" ShapeID="_x0000_i1026" DrawAspect="Content" ObjectID="_1651056993" r:id="rId11"/>
              </w:object>
            </w:r>
            <w:r w:rsidRPr="005E6619">
              <w:rPr>
                <w:highlight w:val="yellow"/>
              </w:rPr>
              <w:t xml:space="preserve"> </w:t>
            </w:r>
            <w:r w:rsidRPr="005E6619">
              <w:rPr>
                <w:rFonts w:cs="Arial"/>
                <w:szCs w:val="18"/>
                <w:highlight w:val="yellow"/>
              </w:rPr>
              <w:t>for any non-allocated RB and</w:t>
            </w:r>
            <w:r w:rsidRPr="005E6619">
              <w:rPr>
                <w:position w:val="-6"/>
                <w:highlight w:val="yellow"/>
              </w:rPr>
              <w:object w:dxaOrig="820" w:dyaOrig="279" w14:anchorId="4EF1F63B">
                <v:shape id="_x0000_i1027" type="#_x0000_t75" style="width:38.15pt;height:12.95pt" o:ole="">
                  <v:imagedata r:id="rId12" o:title=""/>
                </v:shape>
                <o:OLEObject Type="Embed" ProgID="Equation.3" ShapeID="_x0000_i1027" DrawAspect="Content" ObjectID="_1651056994" r:id="rId13"/>
              </w:object>
            </w:r>
            <w:r w:rsidRPr="005E6619">
              <w:rPr>
                <w:rFonts w:cs="Arial"/>
                <w:szCs w:val="18"/>
                <w:highlight w:val="yellow"/>
              </w:rPr>
              <w:t xml:space="preserve">in the uplink scheduling grant with </w:t>
            </w:r>
            <w:r w:rsidRPr="005E6619">
              <w:rPr>
                <w:position w:val="-6"/>
                <w:highlight w:val="yellow"/>
              </w:rPr>
              <w:object w:dxaOrig="499" w:dyaOrig="260" w14:anchorId="338003E2">
                <v:shape id="_x0000_i1028" type="#_x0000_t75" style="width:23.05pt;height:12.25pt" o:ole="">
                  <v:imagedata r:id="rId14" o:title=""/>
                </v:shape>
                <o:OLEObject Type="Embed" ProgID="Equation.3" ShapeID="_x0000_i1028" DrawAspect="Content" ObjectID="_1651056995" r:id="rId15"/>
              </w:object>
            </w:r>
            <w:r w:rsidRPr="005E6619">
              <w:rPr>
                <w:highlight w:val="yellow"/>
              </w:rPr>
              <w:t>specified in [6].</w:t>
            </w:r>
            <w:r w:rsidRPr="001D386E">
              <w:rPr>
                <w:rFonts w:cs="Arial"/>
                <w:szCs w:val="18"/>
              </w:rPr>
              <w:t xml:space="preserve"> For Frame Structure Type 3 and 10 MHz channel bandwidth in Band 49, the requirement applies for QPSK, 16QAM and 64QAM modulation with </w:t>
            </w:r>
            <w:r w:rsidRPr="001D386E">
              <w:rPr>
                <w:position w:val="-14"/>
              </w:rPr>
              <w:object w:dxaOrig="859" w:dyaOrig="400" w14:anchorId="5121D5C2">
                <v:shape id="_x0000_i1029" type="#_x0000_t75" style="width:37.45pt;height:18pt" o:ole="">
                  <v:imagedata r:id="rId16" o:title=""/>
                </v:shape>
                <o:OLEObject Type="Embed" ProgID="Equation.3" ShapeID="_x0000_i1029" DrawAspect="Content" ObjectID="_1651056996" r:id="rId17"/>
              </w:object>
            </w:r>
            <w:r w:rsidRPr="001D386E">
              <w:t xml:space="preserve"> </w:t>
            </w:r>
            <w:r w:rsidRPr="001D386E">
              <w:rPr>
                <w:rFonts w:cs="Arial"/>
                <w:szCs w:val="18"/>
              </w:rPr>
              <w:t>for any non-allocated RB and</w:t>
            </w:r>
            <w:r w:rsidRPr="001D386E">
              <w:rPr>
                <w:position w:val="-10"/>
              </w:rPr>
              <w:object w:dxaOrig="1380" w:dyaOrig="320" w14:anchorId="1A125975">
                <v:shape id="_x0000_i1030" type="#_x0000_t75" style="width:59.75pt;height:14.4pt" o:ole="">
                  <v:imagedata r:id="rId18" o:title=""/>
                </v:shape>
                <o:OLEObject Type="Embed" ProgID="Equation.3" ShapeID="_x0000_i1030" DrawAspect="Content" ObjectID="_1651056997" r:id="rId19"/>
              </w:object>
            </w:r>
            <w:r w:rsidRPr="001D386E">
              <w:rPr>
                <w:rFonts w:cs="Arial"/>
                <w:szCs w:val="18"/>
              </w:rPr>
              <w:t>in the uplink scheduling grant</w:t>
            </w:r>
            <w:r w:rsidRPr="001D386E">
              <w:t>.</w:t>
            </w:r>
          </w:p>
          <w:p w14:paraId="1EB8DE20" w14:textId="77777777" w:rsidR="005E6619" w:rsidRPr="001D386E" w:rsidRDefault="005E6619" w:rsidP="00CD1AA0">
            <w:pPr>
              <w:pStyle w:val="TAN"/>
              <w:rPr>
                <w:rFonts w:cs="Arial"/>
              </w:rPr>
            </w:pPr>
            <w:r w:rsidRPr="001D386E">
              <w:rPr>
                <w:rFonts w:cs="Arial"/>
              </w:rPr>
              <w:t>NOTE 3:</w:t>
            </w:r>
            <w:r w:rsidRPr="001D386E">
              <w:rPr>
                <w:rFonts w:cs="Arial"/>
              </w:rPr>
              <w:tab/>
              <w:t>The applicable frequencies for this limit are those that are enclosed in the reflection of the allocated bandwidth, based on symmetry with respect to the centre carrier frequency, but excluding any allocated RBs.</w:t>
            </w:r>
            <w:r w:rsidRPr="001D386E">
              <w:rPr>
                <w:rFonts w:cs="Arial"/>
                <w:szCs w:val="18"/>
              </w:rPr>
              <w:t xml:space="preserve"> </w:t>
            </w:r>
            <w:r w:rsidRPr="005E6619">
              <w:rPr>
                <w:rFonts w:cs="Arial"/>
                <w:szCs w:val="18"/>
                <w:highlight w:val="yellow"/>
              </w:rPr>
              <w:t xml:space="preserve">For Frame Structure Type 3 with 20 MHz channel bandwidth, the applicable frequency is </w:t>
            </w:r>
            <w:r w:rsidRPr="005E6619">
              <w:rPr>
                <w:position w:val="-10"/>
                <w:highlight w:val="yellow"/>
              </w:rPr>
              <w:object w:dxaOrig="960" w:dyaOrig="340" w14:anchorId="4CFE9925">
                <v:shape id="_x0000_i1031" type="#_x0000_t75" style="width:44.65pt;height:15.85pt" o:ole="">
                  <v:imagedata r:id="rId20" o:title=""/>
                </v:shape>
                <o:OLEObject Type="Embed" ProgID="Equation.3" ShapeID="_x0000_i1031" DrawAspect="Content" ObjectID="_1651056998" r:id="rId21"/>
              </w:object>
            </w:r>
            <w:r w:rsidRPr="005E6619">
              <w:rPr>
                <w:rFonts w:cs="Arial"/>
                <w:szCs w:val="18"/>
                <w:highlight w:val="yellow"/>
              </w:rPr>
              <w:t xml:space="preserve"> for QPSK, 16QAM and 64QAM modulation</w:t>
            </w:r>
            <w:r w:rsidRPr="005E6619">
              <w:rPr>
                <w:highlight w:val="yellow"/>
              </w:rPr>
              <w:t>.</w:t>
            </w:r>
            <w:r w:rsidRPr="001D386E">
              <w:rPr>
                <w:rFonts w:cs="Arial"/>
                <w:szCs w:val="18"/>
              </w:rPr>
              <w:t xml:space="preserve"> For Frame Structure Type 3 and 10 MHz channel bandwidth in Band 49, the applicable frequency is </w:t>
            </w:r>
            <w:r w:rsidRPr="001D386E">
              <w:rPr>
                <w:position w:val="-10"/>
              </w:rPr>
              <w:object w:dxaOrig="980" w:dyaOrig="340" w14:anchorId="5E4610C2">
                <v:shape id="_x0000_i1032" type="#_x0000_t75" style="width:41.75pt;height:15.1pt" o:ole="">
                  <v:imagedata r:id="rId22" o:title=""/>
                </v:shape>
                <o:OLEObject Type="Embed" ProgID="Equation.3" ShapeID="_x0000_i1032" DrawAspect="Content" ObjectID="_1651056999" r:id="rId23"/>
              </w:object>
            </w:r>
            <w:r w:rsidRPr="001D386E">
              <w:rPr>
                <w:rFonts w:cs="Arial"/>
                <w:szCs w:val="18"/>
              </w:rPr>
              <w:t xml:space="preserve"> for QPSK, 16QAM and 64QAM modulation</w:t>
            </w:r>
            <w:r w:rsidRPr="001D386E">
              <w:t>.</w:t>
            </w:r>
          </w:p>
          <w:p w14:paraId="352E2686" w14:textId="77777777" w:rsidR="005E6619" w:rsidRPr="001D386E" w:rsidRDefault="005E6619" w:rsidP="00CD1AA0">
            <w:pPr>
              <w:pStyle w:val="TAN"/>
              <w:rPr>
                <w:rFonts w:cs="Arial"/>
              </w:rPr>
            </w:pPr>
            <w:r w:rsidRPr="001D386E">
              <w:rPr>
                <w:rFonts w:cs="Arial"/>
              </w:rPr>
              <w:t>NOTE 4:</w:t>
            </w:r>
            <w:r w:rsidRPr="001D386E">
              <w:rPr>
                <w:rFonts w:cs="Arial"/>
              </w:rPr>
              <w:tab/>
              <w:t>The measurement bandwidth is 1 RB and the limit is expressed as a ratio of measured power in one non-allocated RB to the measured total power in all allocated RBs</w:t>
            </w:r>
            <w:r w:rsidRPr="005E6619">
              <w:rPr>
                <w:rFonts w:cs="Arial"/>
                <w:highlight w:val="yellow"/>
              </w:rPr>
              <w:t>.</w:t>
            </w:r>
            <w:r w:rsidRPr="005E6619">
              <w:rPr>
                <w:rFonts w:cs="Arial"/>
                <w:szCs w:val="18"/>
                <w:highlight w:val="yellow"/>
              </w:rPr>
              <w:t xml:space="preserve"> For Frame Structure Type 3 and 20 MHz channel bandwidth, the requirement applies for QPSK, 16QAM and 64QAM modulation with</w:t>
            </w:r>
            <w:r w:rsidRPr="005E6619">
              <w:rPr>
                <w:position w:val="-6"/>
                <w:highlight w:val="yellow"/>
              </w:rPr>
              <w:object w:dxaOrig="840" w:dyaOrig="260" w14:anchorId="40FDC708">
                <v:shape id="_x0000_i1033" type="#_x0000_t75" style="width:38.9pt;height:12.25pt" o:ole="">
                  <v:imagedata r:id="rId24" o:title=""/>
                </v:shape>
                <o:OLEObject Type="Embed" ProgID="Equation.3" ShapeID="_x0000_i1033" DrawAspect="Content" ObjectID="_1651057000" r:id="rId25"/>
              </w:object>
            </w:r>
            <w:r w:rsidRPr="005E6619">
              <w:rPr>
                <w:rFonts w:cs="Arial"/>
                <w:szCs w:val="18"/>
                <w:highlight w:val="yellow"/>
              </w:rPr>
              <w:t>in the uplink scheduling grant</w:t>
            </w:r>
            <w:r w:rsidRPr="005E6619">
              <w:rPr>
                <w:highlight w:val="yellow"/>
              </w:rPr>
              <w:t>.</w:t>
            </w:r>
            <w:r w:rsidRPr="001D386E">
              <w:rPr>
                <w:rFonts w:cs="Arial"/>
                <w:szCs w:val="18"/>
              </w:rPr>
              <w:t xml:space="preserve"> For Frame Structure Type 3 and 10 MHz channel bandwidth in Band 49, the requirement applies for QPSK, 16QAM and 64QAM modulation with</w:t>
            </w:r>
            <w:r w:rsidRPr="001D386E">
              <w:rPr>
                <w:position w:val="-6"/>
              </w:rPr>
              <w:object w:dxaOrig="1359" w:dyaOrig="279" w14:anchorId="62C94E9A">
                <v:shape id="_x0000_i1034" type="#_x0000_t75" style="width:61.9pt;height:12.95pt" o:ole="">
                  <v:imagedata r:id="rId26" o:title=""/>
                </v:shape>
                <o:OLEObject Type="Embed" ProgID="Equation.3" ShapeID="_x0000_i1034" DrawAspect="Content" ObjectID="_1651057001" r:id="rId27"/>
              </w:object>
            </w:r>
            <w:r w:rsidRPr="001D386E">
              <w:rPr>
                <w:rFonts w:cs="Arial"/>
                <w:szCs w:val="18"/>
              </w:rPr>
              <w:t>in the uplink scheduling grant</w:t>
            </w:r>
            <w:r w:rsidRPr="001D386E">
              <w:t>.</w:t>
            </w:r>
          </w:p>
          <w:p w14:paraId="4688C5A9" w14:textId="77777777" w:rsidR="005E6619" w:rsidRPr="001D386E" w:rsidRDefault="005E6619" w:rsidP="00CD1AA0">
            <w:pPr>
              <w:pStyle w:val="TAN"/>
              <w:rPr>
                <w:rFonts w:cs="Arial"/>
              </w:rPr>
            </w:pPr>
            <w:r w:rsidRPr="001D386E">
              <w:rPr>
                <w:rFonts w:cs="Arial"/>
              </w:rPr>
              <w:t>NOTE 5:</w:t>
            </w:r>
            <w:r w:rsidRPr="001D386E">
              <w:rPr>
                <w:rFonts w:cs="Arial"/>
              </w:rPr>
              <w:tab/>
              <w:t xml:space="preserve">The applicable frequencies for this limit are those that are enclosed in the RBs containing the DC frequency if </w:t>
            </w:r>
            <w:r w:rsidRPr="001D386E">
              <w:rPr>
                <w:rFonts w:cs="Arial"/>
                <w:position w:val="-10"/>
              </w:rPr>
              <w:object w:dxaOrig="440" w:dyaOrig="340" w14:anchorId="5FD95BD6">
                <v:shape id="_x0000_i1035" type="#_x0000_t75" style="width:21.6pt;height:17.3pt" o:ole="">
                  <v:imagedata r:id="rId28" o:title=""/>
                </v:shape>
                <o:OLEObject Type="Embed" ProgID="Equation.3" ShapeID="_x0000_i1035" DrawAspect="Content" ObjectID="_1651057002" r:id="rId29"/>
              </w:object>
            </w:r>
            <w:r w:rsidRPr="001D386E">
              <w:rPr>
                <w:rFonts w:cs="Arial"/>
              </w:rPr>
              <w:t xml:space="preserve"> is odd, or in the two RBs immediately adjacent to the DC frequency if </w:t>
            </w:r>
            <w:r w:rsidRPr="001D386E">
              <w:rPr>
                <w:rFonts w:cs="Arial"/>
                <w:position w:val="-10"/>
              </w:rPr>
              <w:object w:dxaOrig="440" w:dyaOrig="340" w14:anchorId="30A4FE2E">
                <v:shape id="_x0000_i1036" type="#_x0000_t75" style="width:21.6pt;height:17.3pt" o:ole="">
                  <v:imagedata r:id="rId30" o:title=""/>
                </v:shape>
                <o:OLEObject Type="Embed" ProgID="Equation.3" ShapeID="_x0000_i1036" DrawAspect="Content" ObjectID="_1651057003" r:id="rId31"/>
              </w:object>
            </w:r>
            <w:r w:rsidRPr="001D386E">
              <w:rPr>
                <w:rFonts w:cs="Arial"/>
              </w:rPr>
              <w:t xml:space="preserve"> is even, but excluding any allocated RB.</w:t>
            </w:r>
          </w:p>
          <w:p w14:paraId="0813BC37" w14:textId="77777777" w:rsidR="005E6619" w:rsidRPr="001D386E" w:rsidRDefault="005E6619" w:rsidP="00CD1AA0">
            <w:pPr>
              <w:pStyle w:val="TAN"/>
              <w:rPr>
                <w:rFonts w:cs="Arial"/>
              </w:rPr>
            </w:pPr>
            <w:r w:rsidRPr="001D386E">
              <w:rPr>
                <w:rFonts w:cs="Arial"/>
              </w:rPr>
              <w:t>NOTE 6:</w:t>
            </w:r>
            <w:r w:rsidRPr="001D386E">
              <w:rPr>
                <w:rFonts w:cs="Arial"/>
              </w:rPr>
              <w:tab/>
            </w:r>
            <w:r w:rsidRPr="001D386E">
              <w:rPr>
                <w:rFonts w:cs="Arial"/>
                <w:position w:val="-12"/>
              </w:rPr>
              <w:object w:dxaOrig="480" w:dyaOrig="360" w14:anchorId="44B7F198">
                <v:shape id="_x0000_i1037" type="#_x0000_t75" style="width:24.5pt;height:18pt" o:ole="">
                  <v:imagedata r:id="rId32" o:title=""/>
                </v:shape>
                <o:OLEObject Type="Embed" ProgID="Equation.3" ShapeID="_x0000_i1037" DrawAspect="Content" ObjectID="_1651057004" r:id="rId33"/>
              </w:object>
            </w:r>
            <w:r w:rsidRPr="001D386E">
              <w:rPr>
                <w:rFonts w:cs="Arial"/>
              </w:rPr>
              <w:t xml:space="preserve"> is the Transmission Bandwidth (see Figure 5.6-1).</w:t>
            </w:r>
          </w:p>
          <w:p w14:paraId="782838F5" w14:textId="77777777" w:rsidR="005E6619" w:rsidRPr="001D386E" w:rsidRDefault="005E6619" w:rsidP="00CD1AA0">
            <w:pPr>
              <w:pStyle w:val="TAN"/>
              <w:rPr>
                <w:rFonts w:cs="Arial"/>
              </w:rPr>
            </w:pPr>
            <w:r w:rsidRPr="001D386E">
              <w:rPr>
                <w:rFonts w:cs="Arial"/>
              </w:rPr>
              <w:t>NOTE 7:</w:t>
            </w:r>
            <w:r w:rsidRPr="001D386E">
              <w:rPr>
                <w:rFonts w:cs="Arial"/>
              </w:rPr>
              <w:tab/>
            </w:r>
            <w:r w:rsidRPr="001D386E">
              <w:rPr>
                <w:rFonts w:cs="Arial"/>
                <w:position w:val="-10"/>
              </w:rPr>
              <w:object w:dxaOrig="440" w:dyaOrig="340" w14:anchorId="5FBC279D">
                <v:shape id="_x0000_i1038" type="#_x0000_t75" style="width:21.6pt;height:17.3pt" o:ole="">
                  <v:imagedata r:id="rId34" o:title=""/>
                </v:shape>
                <o:OLEObject Type="Embed" ProgID="Equation.3" ShapeID="_x0000_i1038" DrawAspect="Content" ObjectID="_1651057005" r:id="rId35"/>
              </w:object>
            </w:r>
            <w:r w:rsidRPr="001D386E">
              <w:rPr>
                <w:rFonts w:cs="Arial"/>
              </w:rPr>
              <w:t xml:space="preserve"> is the Transmission Bandwidth Configuration (see Figure 5.6-1).</w:t>
            </w:r>
          </w:p>
          <w:p w14:paraId="3A1E0AF0" w14:textId="77777777" w:rsidR="005E6619" w:rsidRPr="001D386E" w:rsidRDefault="005E6619" w:rsidP="00CD1AA0">
            <w:pPr>
              <w:pStyle w:val="TAN"/>
              <w:rPr>
                <w:rFonts w:cs="Arial"/>
              </w:rPr>
            </w:pPr>
            <w:r w:rsidRPr="001D386E">
              <w:rPr>
                <w:rFonts w:cs="Arial"/>
              </w:rPr>
              <w:t>NOTE 8:</w:t>
            </w:r>
            <w:r w:rsidRPr="001D386E">
              <w:rPr>
                <w:rFonts w:cs="Arial"/>
              </w:rPr>
              <w:tab/>
            </w:r>
            <w:r w:rsidRPr="001D386E">
              <w:rPr>
                <w:rFonts w:cs="Arial"/>
                <w:position w:val="-6"/>
              </w:rPr>
              <w:object w:dxaOrig="620" w:dyaOrig="279" w14:anchorId="5048923E">
                <v:shape id="_x0000_i1039" type="#_x0000_t75" style="width:30.25pt;height:14.4pt" o:ole="">
                  <v:imagedata r:id="rId36" o:title=""/>
                </v:shape>
                <o:OLEObject Type="Embed" ProgID="Equation.3" ShapeID="_x0000_i1039" DrawAspect="Content" ObjectID="_1651057006" r:id="rId37"/>
              </w:object>
            </w:r>
            <w:r w:rsidRPr="001D386E">
              <w:rPr>
                <w:rFonts w:cs="Arial"/>
              </w:rPr>
              <w:t xml:space="preserve"> is the limit specified in Table 6.5.2.1.1-1 for the modulation format used in the allocated RBs.</w:t>
            </w:r>
          </w:p>
          <w:p w14:paraId="2D965D73" w14:textId="77777777" w:rsidR="005E6619" w:rsidRPr="001D386E" w:rsidRDefault="005E6619" w:rsidP="00CD1AA0">
            <w:pPr>
              <w:pStyle w:val="TAN"/>
              <w:rPr>
                <w:rFonts w:cs="Arial"/>
              </w:rPr>
            </w:pPr>
            <w:r w:rsidRPr="001D386E">
              <w:rPr>
                <w:rFonts w:cs="Arial"/>
              </w:rPr>
              <w:t>NOTE 9:</w:t>
            </w:r>
            <w:r w:rsidRPr="001D386E">
              <w:rPr>
                <w:rFonts w:cs="Arial"/>
              </w:rPr>
              <w:tab/>
            </w:r>
            <w:r w:rsidRPr="001D386E">
              <w:rPr>
                <w:rFonts w:cs="Arial"/>
                <w:position w:val="-10"/>
              </w:rPr>
              <w:object w:dxaOrig="400" w:dyaOrig="300" w14:anchorId="0B1F370F">
                <v:shape id="_x0000_i1040" type="#_x0000_t75" style="width:20.15pt;height:15.1pt" o:ole="">
                  <v:imagedata r:id="rId38" o:title=""/>
                </v:shape>
                <o:OLEObject Type="Embed" ProgID="Equation.3" ShapeID="_x0000_i1040" DrawAspect="Content" ObjectID="_1651057007" r:id="rId39"/>
              </w:object>
            </w:r>
            <w:r w:rsidRPr="001D386E">
              <w:rPr>
                <w:rFonts w:cs="Arial"/>
              </w:rPr>
              <w:t xml:space="preserve"> is the starting frequency offset between the allocated RB and the measured non-allocated RB (e.g. </w:t>
            </w:r>
            <w:r w:rsidRPr="001D386E">
              <w:rPr>
                <w:rFonts w:cs="Arial"/>
                <w:position w:val="-10"/>
              </w:rPr>
              <w:object w:dxaOrig="760" w:dyaOrig="340" w14:anchorId="478FE874">
                <v:shape id="_x0000_i1041" type="#_x0000_t75" style="width:38.15pt;height:17.3pt" o:ole="">
                  <v:imagedata r:id="rId40" o:title=""/>
                </v:shape>
                <o:OLEObject Type="Embed" ProgID="Equation.3" ShapeID="_x0000_i1041" DrawAspect="Content" ObjectID="_1651057008" r:id="rId41"/>
              </w:object>
            </w:r>
            <w:r w:rsidRPr="001D386E">
              <w:rPr>
                <w:rFonts w:cs="Arial"/>
              </w:rPr>
              <w:t xml:space="preserve"> or </w:t>
            </w:r>
            <w:r w:rsidRPr="001D386E">
              <w:rPr>
                <w:rFonts w:cs="Arial"/>
                <w:position w:val="-10"/>
              </w:rPr>
              <w:object w:dxaOrig="920" w:dyaOrig="340" w14:anchorId="76D59835">
                <v:shape id="_x0000_i1042" type="#_x0000_t75" style="width:45.35pt;height:17.3pt" o:ole="">
                  <v:imagedata r:id="rId42" o:title=""/>
                </v:shape>
                <o:OLEObject Type="Embed" ProgID="Equation.3" ShapeID="_x0000_i1042" DrawAspect="Content" ObjectID="_1651057009" r:id="rId43"/>
              </w:object>
            </w:r>
            <w:r w:rsidRPr="001D386E">
              <w:rPr>
                <w:rFonts w:cs="Arial"/>
              </w:rPr>
              <w:t xml:space="preserve"> for the first adjacent RB outside of the allocated bandwidth.</w:t>
            </w:r>
          </w:p>
          <w:p w14:paraId="7C8BCA75" w14:textId="77777777" w:rsidR="005E6619" w:rsidRPr="001D386E" w:rsidRDefault="005E6619" w:rsidP="00CD1AA0">
            <w:pPr>
              <w:pStyle w:val="TAN"/>
              <w:rPr>
                <w:rFonts w:eastAsia="Malgun Gothic" w:cs="Arial"/>
              </w:rPr>
            </w:pPr>
            <w:r w:rsidRPr="001D386E">
              <w:rPr>
                <w:rFonts w:cs="Arial"/>
              </w:rPr>
              <w:t>NOTE 10:</w:t>
            </w:r>
            <w:r w:rsidRPr="001D386E">
              <w:rPr>
                <w:rFonts w:cs="Arial"/>
              </w:rPr>
              <w:tab/>
            </w:r>
            <w:r w:rsidRPr="001D386E">
              <w:rPr>
                <w:rFonts w:cs="Arial"/>
                <w:position w:val="-10"/>
              </w:rPr>
              <w:object w:dxaOrig="380" w:dyaOrig="340" w14:anchorId="7B3D22EF">
                <v:shape id="_x0000_i1043" type="#_x0000_t75" style="width:18.7pt;height:17.3pt" o:ole="">
                  <v:imagedata r:id="rId44" o:title=""/>
                </v:shape>
                <o:OLEObject Type="Embed" ProgID="Equation.3" ShapeID="_x0000_i1043" DrawAspect="Content" ObjectID="_1651057010" r:id="rId45"/>
              </w:object>
            </w:r>
            <w:r w:rsidRPr="001D386E">
              <w:rPr>
                <w:rFonts w:cs="Arial"/>
              </w:rPr>
              <w:t xml:space="preserve"> is the transmitted power per 180 kHz in allocated RBs, measured in dBm.</w:t>
            </w:r>
          </w:p>
          <w:p w14:paraId="19E2E7DD" w14:textId="77777777" w:rsidR="005E6619" w:rsidRPr="001D386E" w:rsidRDefault="005E6619" w:rsidP="00CD1AA0">
            <w:pPr>
              <w:pStyle w:val="TAN"/>
            </w:pPr>
            <w:r w:rsidRPr="001D386E">
              <w:t xml:space="preserve">[NOTE 11: For V2V-V2X waveforms, the requirements are applied when PSSCH and PSCCH are adjacent in frequency. The limit values (General, IQ Image or Carrier leakage) of each channel is calculated separately as </w:t>
            </w:r>
            <w:r w:rsidRPr="001D386E">
              <w:rPr>
                <w:i/>
              </w:rPr>
              <w:t>P</w:t>
            </w:r>
            <w:r w:rsidRPr="001D386E">
              <w:rPr>
                <w:i/>
                <w:vertAlign w:val="subscript"/>
              </w:rPr>
              <w:t>general, PSSCH</w:t>
            </w:r>
            <w:r w:rsidRPr="001D386E">
              <w:t xml:space="preserve">, </w:t>
            </w:r>
            <w:r w:rsidRPr="001D386E">
              <w:rPr>
                <w:i/>
              </w:rPr>
              <w:t>P</w:t>
            </w:r>
            <w:r w:rsidRPr="001D386E">
              <w:rPr>
                <w:i/>
                <w:vertAlign w:val="subscript"/>
              </w:rPr>
              <w:t>IQ, PSSCH</w:t>
            </w:r>
            <w:r w:rsidRPr="001D386E">
              <w:t xml:space="preserve">, </w:t>
            </w:r>
            <w:r w:rsidRPr="001D386E">
              <w:rPr>
                <w:i/>
              </w:rPr>
              <w:t>P</w:t>
            </w:r>
            <w:r w:rsidRPr="001D386E">
              <w:rPr>
                <w:i/>
                <w:vertAlign w:val="subscript"/>
              </w:rPr>
              <w:t>LO, PSSCH</w:t>
            </w:r>
            <w:r w:rsidRPr="001D386E">
              <w:t xml:space="preserve">, </w:t>
            </w:r>
            <w:r w:rsidRPr="001D386E">
              <w:rPr>
                <w:i/>
              </w:rPr>
              <w:t>P</w:t>
            </w:r>
            <w:r w:rsidRPr="001D386E">
              <w:rPr>
                <w:i/>
                <w:vertAlign w:val="subscript"/>
              </w:rPr>
              <w:t>general, PSCCH</w:t>
            </w:r>
            <w:r w:rsidRPr="001D386E">
              <w:t xml:space="preserve">, </w:t>
            </w:r>
            <w:r w:rsidRPr="001D386E">
              <w:rPr>
                <w:i/>
              </w:rPr>
              <w:t>P</w:t>
            </w:r>
            <w:r w:rsidRPr="001D386E">
              <w:rPr>
                <w:i/>
                <w:vertAlign w:val="subscript"/>
              </w:rPr>
              <w:t>IQ, PSCCH</w:t>
            </w:r>
            <w:r w:rsidRPr="001D386E">
              <w:t xml:space="preserve">, </w:t>
            </w:r>
            <w:r w:rsidRPr="001D386E">
              <w:rPr>
                <w:i/>
              </w:rPr>
              <w:t>P</w:t>
            </w:r>
            <w:r w:rsidRPr="001D386E">
              <w:rPr>
                <w:i/>
                <w:vertAlign w:val="subscript"/>
              </w:rPr>
              <w:t>LO, PSCCH</w:t>
            </w:r>
            <w:r w:rsidRPr="001D386E">
              <w:rPr>
                <w:i/>
              </w:rPr>
              <w:t xml:space="preserve"> </w:t>
            </w:r>
            <w:r w:rsidRPr="001D386E">
              <w:t xml:space="preserve">,respectively. In-band emissions combined limit is evaluated in each non-allocated RB. For each such RB, the minimum requirement is calculated as the higher of </w:t>
            </w:r>
            <w:r w:rsidRPr="001D386E">
              <w:rPr>
                <w:i/>
              </w:rPr>
              <w:t>P</w:t>
            </w:r>
            <w:r w:rsidRPr="001D386E">
              <w:rPr>
                <w:i/>
                <w:vertAlign w:val="subscript"/>
              </w:rPr>
              <w:t xml:space="preserve">RB, PSSCH </w:t>
            </w:r>
            <w:r w:rsidRPr="001D386E">
              <w:t xml:space="preserve">- 30 dB and the </w:t>
            </w:r>
            <w:r w:rsidRPr="001D386E">
              <w:rPr>
                <w:i/>
              </w:rPr>
              <w:t>P</w:t>
            </w:r>
            <w:r w:rsidRPr="001D386E">
              <w:rPr>
                <w:i/>
                <w:vertAlign w:val="subscript"/>
              </w:rPr>
              <w:t>sumIBE</w:t>
            </w:r>
            <w:r w:rsidRPr="001D386E">
              <w:t>.</w:t>
            </w:r>
            <w:r w:rsidRPr="001D386E">
              <w:rPr>
                <w:i/>
                <w:vertAlign w:val="subscript"/>
              </w:rPr>
              <w:t>SSCH</w:t>
            </w:r>
            <w:r w:rsidRPr="001D386E">
              <w:rPr>
                <w:i/>
              </w:rPr>
              <w:t xml:space="preserve">, </w:t>
            </w:r>
            <w:r w:rsidRPr="001D386E">
              <w:t xml:space="preserve">where </w:t>
            </w:r>
            <w:r w:rsidRPr="001D386E">
              <w:rPr>
                <w:i/>
              </w:rPr>
              <w:t>P</w:t>
            </w:r>
            <w:r w:rsidRPr="001D386E">
              <w:rPr>
                <w:i/>
                <w:vertAlign w:val="subscript"/>
              </w:rPr>
              <w:t>sumIBE</w:t>
            </w:r>
            <w:r w:rsidRPr="001D386E">
              <w:t>.</w:t>
            </w:r>
            <w:r w:rsidRPr="001D386E">
              <w:rPr>
                <w:i/>
                <w:vertAlign w:val="subscript"/>
              </w:rPr>
              <w:t>SSCH</w:t>
            </w:r>
            <w:r w:rsidRPr="001D386E">
              <w:t xml:space="preserve"> is the linear sum of </w:t>
            </w:r>
            <w:r w:rsidRPr="001D386E">
              <w:rPr>
                <w:i/>
              </w:rPr>
              <w:t>P</w:t>
            </w:r>
            <w:r w:rsidRPr="001D386E">
              <w:rPr>
                <w:i/>
                <w:vertAlign w:val="subscript"/>
              </w:rPr>
              <w:t>general, PSSCH</w:t>
            </w:r>
            <w:r w:rsidRPr="001D386E">
              <w:t xml:space="preserve">, </w:t>
            </w:r>
            <w:r w:rsidRPr="001D386E">
              <w:rPr>
                <w:i/>
              </w:rPr>
              <w:t>P</w:t>
            </w:r>
            <w:r w:rsidRPr="001D386E">
              <w:rPr>
                <w:i/>
                <w:vertAlign w:val="subscript"/>
              </w:rPr>
              <w:t>IQ, PSSCH</w:t>
            </w:r>
            <w:r w:rsidRPr="001D386E">
              <w:t xml:space="preserve">, </w:t>
            </w:r>
            <w:r w:rsidRPr="001D386E">
              <w:rPr>
                <w:i/>
              </w:rPr>
              <w:t>P</w:t>
            </w:r>
            <w:r w:rsidRPr="001D386E">
              <w:rPr>
                <w:i/>
                <w:vertAlign w:val="subscript"/>
              </w:rPr>
              <w:t>LO, PSSCH</w:t>
            </w:r>
            <w:r w:rsidRPr="001D386E">
              <w:t xml:space="preserve">, </w:t>
            </w:r>
            <w:r w:rsidRPr="001D386E">
              <w:rPr>
                <w:i/>
              </w:rPr>
              <w:t>P</w:t>
            </w:r>
            <w:r w:rsidRPr="001D386E">
              <w:rPr>
                <w:i/>
                <w:vertAlign w:val="subscript"/>
              </w:rPr>
              <w:t>general, PSCCH</w:t>
            </w:r>
            <w:r w:rsidRPr="001D386E">
              <w:t xml:space="preserve">, </w:t>
            </w:r>
            <w:r w:rsidRPr="001D386E">
              <w:rPr>
                <w:i/>
              </w:rPr>
              <w:t>P</w:t>
            </w:r>
            <w:r w:rsidRPr="001D386E">
              <w:rPr>
                <w:i/>
                <w:vertAlign w:val="subscript"/>
              </w:rPr>
              <w:t>IQ, PSCCH</w:t>
            </w:r>
            <w:r w:rsidRPr="001D386E">
              <w:t xml:space="preserve">, </w:t>
            </w:r>
            <w:r w:rsidRPr="001D386E">
              <w:rPr>
                <w:i/>
              </w:rPr>
              <w:t>P</w:t>
            </w:r>
            <w:r w:rsidRPr="001D386E">
              <w:rPr>
                <w:i/>
                <w:vertAlign w:val="subscript"/>
              </w:rPr>
              <w:t>LO, PSCCH</w:t>
            </w:r>
            <w:r w:rsidRPr="001D386E">
              <w:t>.]</w:t>
            </w:r>
          </w:p>
          <w:p w14:paraId="30E5B86B" w14:textId="77777777" w:rsidR="005E6619" w:rsidRPr="001D386E" w:rsidRDefault="005E6619" w:rsidP="00CD1AA0">
            <w:pPr>
              <w:pStyle w:val="TAN"/>
              <w:rPr>
                <w:rFonts w:cs="Arial"/>
              </w:rPr>
            </w:pPr>
            <w:r w:rsidRPr="001D386E">
              <w:rPr>
                <w:rFonts w:cs="Arial" w:hint="eastAsia"/>
              </w:rPr>
              <w:t>NOTE</w:t>
            </w:r>
            <w:r w:rsidRPr="001D386E">
              <w:rPr>
                <w:rFonts w:cs="Arial"/>
              </w:rPr>
              <w:t xml:space="preserve"> </w:t>
            </w:r>
            <w:r w:rsidRPr="001D386E">
              <w:rPr>
                <w:rFonts w:cs="Arial" w:hint="eastAsia"/>
              </w:rPr>
              <w:t>1</w:t>
            </w:r>
            <w:r w:rsidRPr="001D386E">
              <w:rPr>
                <w:rFonts w:cs="Arial"/>
              </w:rPr>
              <w:t>2</w:t>
            </w:r>
            <w:r w:rsidRPr="001D386E">
              <w:rPr>
                <w:rFonts w:cs="Arial" w:hint="eastAsia"/>
              </w:rPr>
              <w:t>: The requir</w:t>
            </w:r>
            <w:r w:rsidRPr="001D386E">
              <w:rPr>
                <w:rFonts w:cs="Arial"/>
              </w:rPr>
              <w:t>e</w:t>
            </w:r>
            <w:r w:rsidRPr="001D386E">
              <w:rPr>
                <w:rFonts w:cs="Arial" w:hint="eastAsia"/>
              </w:rPr>
              <w:t xml:space="preserve">ment </w:t>
            </w:r>
            <w:r w:rsidRPr="001D386E">
              <w:rPr>
                <w:rFonts w:cs="Arial"/>
              </w:rPr>
              <w:t>in this power range is not applicable for V2X sidelink transmission for E-UTRA V2X operating bands specified in Table 5.5G-1.</w:t>
            </w:r>
          </w:p>
        </w:tc>
      </w:tr>
    </w:tbl>
    <w:p w14:paraId="7F1ABB51" w14:textId="77777777" w:rsidR="005E6619" w:rsidRPr="001D386E" w:rsidRDefault="005E6619" w:rsidP="005E6619"/>
    <w:p w14:paraId="3F9117B9" w14:textId="77777777" w:rsidR="005E6619" w:rsidRPr="001D386E" w:rsidRDefault="005E6619" w:rsidP="005E6619">
      <w:pPr>
        <w:pStyle w:val="NO"/>
      </w:pPr>
      <w:r w:rsidRPr="005E6619">
        <w:rPr>
          <w:highlight w:val="yellow"/>
        </w:rPr>
        <w:t>NOTE:</w:t>
      </w:r>
      <w:r w:rsidRPr="005E6619">
        <w:rPr>
          <w:rFonts w:eastAsia="Malgun Gothic" w:hint="eastAsia"/>
          <w:highlight w:val="yellow"/>
        </w:rPr>
        <w:tab/>
        <w:t>F</w:t>
      </w:r>
      <w:r w:rsidRPr="005E6619">
        <w:rPr>
          <w:highlight w:val="yellow"/>
        </w:rPr>
        <w:t>or Frame Structure 3 and operations in Band 46, in-band emissions requirements are not specified for the 10 MHz channel bandwidth.</w:t>
      </w:r>
    </w:p>
    <w:p w14:paraId="3AF83534" w14:textId="5A9FC1B6" w:rsidR="005E6619" w:rsidRDefault="005E6619" w:rsidP="005E6619">
      <w:pPr>
        <w:rPr>
          <w:lang w:val="en-US"/>
        </w:rPr>
      </w:pPr>
    </w:p>
    <w:p w14:paraId="3DD74FD7" w14:textId="366662AF" w:rsidR="005E6619" w:rsidRDefault="005E6619" w:rsidP="005E6619">
      <w:pPr>
        <w:rPr>
          <w:lang w:val="en-US"/>
        </w:rPr>
      </w:pPr>
      <w:r>
        <w:rPr>
          <w:lang w:val="en-US"/>
        </w:rPr>
        <w:t xml:space="preserve">It can be observed that the in-band emission requirement applies for specific RB allocations, namely, </w:t>
      </w:r>
      <w:r w:rsidRPr="001B6328">
        <w:rPr>
          <w:i/>
          <w:iCs/>
          <w:lang w:val="en-US"/>
        </w:rPr>
        <w:t>RIV</w:t>
      </w:r>
      <w:r>
        <w:rPr>
          <w:lang w:val="en-US"/>
        </w:rPr>
        <w:t>=1</w:t>
      </w:r>
      <w:r w:rsidR="001B6328">
        <w:rPr>
          <w:lang w:val="en-US"/>
        </w:rPr>
        <w:t xml:space="preserve"> for the general requirement and image, and </w:t>
      </w:r>
      <w:r w:rsidR="001B6328" w:rsidRPr="001B6328">
        <w:rPr>
          <w:i/>
          <w:iCs/>
          <w:lang w:val="en-US"/>
        </w:rPr>
        <w:t>RIV</w:t>
      </w:r>
      <w:r w:rsidR="001B6328">
        <w:rPr>
          <w:lang w:val="en-US"/>
        </w:rPr>
        <w:t xml:space="preserve"> =5 for the carrier leakage.  For the general requirement, the in-band emission is evaluated only for </w:t>
      </w:r>
      <w:r w:rsidR="001B6328" w:rsidRPr="001B6328">
        <w:rPr>
          <w:position w:val="-14"/>
        </w:rPr>
        <w:object w:dxaOrig="859" w:dyaOrig="400" w14:anchorId="67558152">
          <v:shape id="_x0000_i1044" type="#_x0000_t75" style="width:37.45pt;height:18pt" o:ole="">
            <v:imagedata r:id="rId10" o:title=""/>
          </v:shape>
          <o:OLEObject Type="Embed" ProgID="Equation.3" ShapeID="_x0000_i1044" DrawAspect="Content" ObjectID="_1651057011" r:id="rId46"/>
        </w:object>
      </w:r>
      <w:r w:rsidR="001B6328">
        <w:t xml:space="preserve">due to the repetitive structure of the interlaced waveform.  For image and carrier leakage, specific RB locations are identified where these terms are expected to be observed based on the </w:t>
      </w:r>
      <w:r w:rsidR="001B6328" w:rsidRPr="001B6328">
        <w:rPr>
          <w:i/>
          <w:iCs/>
          <w:lang w:val="en-US"/>
        </w:rPr>
        <w:t>RIV</w:t>
      </w:r>
      <w:r w:rsidR="001B6328">
        <w:t xml:space="preserve"> =1 or </w:t>
      </w:r>
      <w:r w:rsidR="001B6328" w:rsidRPr="001B6328">
        <w:rPr>
          <w:i/>
          <w:iCs/>
          <w:lang w:val="en-US"/>
        </w:rPr>
        <w:t>RIV</w:t>
      </w:r>
      <w:r w:rsidR="001B6328">
        <w:t xml:space="preserve"> =5 waveform.  </w:t>
      </w:r>
    </w:p>
    <w:p w14:paraId="0EE5C73D" w14:textId="7482A21E" w:rsidR="008B1EA3" w:rsidRDefault="008B1EA3" w:rsidP="001B6328">
      <w:pPr>
        <w:pStyle w:val="Heading2"/>
        <w:rPr>
          <w:lang w:val="en-US"/>
        </w:rPr>
      </w:pPr>
      <w:r>
        <w:rPr>
          <w:lang w:val="en-US"/>
        </w:rPr>
        <w:t>Waveform parameters</w:t>
      </w:r>
    </w:p>
    <w:p w14:paraId="5292416C" w14:textId="5CA21928" w:rsidR="008B1EA3" w:rsidRPr="008B1EA3" w:rsidRDefault="008B1EA3" w:rsidP="008B1EA3">
      <w:pPr>
        <w:rPr>
          <w:lang w:val="en-US"/>
        </w:rPr>
      </w:pPr>
      <w:r>
        <w:rPr>
          <w:lang w:val="en-US"/>
        </w:rPr>
        <w:t xml:space="preserve">Simulations were run with DFT-S-OFDM and CP-OFDM waveforms, QPSK modulation, 20 MHz channel with 15 kHz SCS.  The interlace_1 and interlace_5 waveform allocations can be described as allocated RB = {1, 11, 21, … [101]} and {5, 15, 25, … [105]} where the last RB is not allocated for DFT-S-OFDM.  The LO is located in the center of the channel between RB 52 and RB 53.  LO and IQ image are included at -28 dB.  The IQ image terms are expected to be </w:t>
      </w:r>
      <w:r>
        <w:rPr>
          <w:lang w:val="en-US"/>
        </w:rPr>
        <w:lastRenderedPageBreak/>
        <w:t>observed at 2*LO-AllocatedRB; i.e., I</w:t>
      </w:r>
      <w:r w:rsidR="006D4ECC">
        <w:rPr>
          <w:lang w:val="en-US"/>
        </w:rPr>
        <w:t>Q</w:t>
      </w:r>
      <w:r>
        <w:rPr>
          <w:lang w:val="en-US"/>
        </w:rPr>
        <w:t xml:space="preserve"> = {[4], 14, 24, 34, … 104}</w:t>
      </w:r>
      <w:r w:rsidR="006D4ECC">
        <w:rPr>
          <w:lang w:val="en-US"/>
        </w:rPr>
        <w:t xml:space="preserve"> for RIV=1 and IQ = {[0], 10, 20, 30, … 100} for RIV=5.  </w:t>
      </w:r>
    </w:p>
    <w:p w14:paraId="1CEF86B0" w14:textId="07F2F676" w:rsidR="005E6619" w:rsidRDefault="004D2348" w:rsidP="001B6328">
      <w:pPr>
        <w:pStyle w:val="Heading2"/>
        <w:rPr>
          <w:lang w:val="en-US"/>
        </w:rPr>
      </w:pPr>
      <w:r>
        <w:rPr>
          <w:lang w:val="en-US"/>
        </w:rPr>
        <w:t>Simulation results</w:t>
      </w:r>
    </w:p>
    <w:p w14:paraId="3B8BE8F1" w14:textId="6A5389C4" w:rsidR="00E5543D" w:rsidRDefault="001B6328" w:rsidP="005E6619">
      <w:pPr>
        <w:rPr>
          <w:lang w:val="en-US"/>
        </w:rPr>
      </w:pPr>
      <w:r w:rsidRPr="00E5543D">
        <w:rPr>
          <w:lang w:val="en-US"/>
        </w:rPr>
        <w:t>The general requirement is checked by simulation.  The PA model used in the simulation and its calibration are described in [</w:t>
      </w:r>
      <w:r w:rsidR="00E5543D" w:rsidRPr="00E5543D">
        <w:rPr>
          <w:lang w:val="en-US"/>
        </w:rPr>
        <w:t>4</w:t>
      </w:r>
      <w:r w:rsidRPr="00E5543D">
        <w:rPr>
          <w:lang w:val="en-US"/>
        </w:rPr>
        <w:t>] for power class 5</w:t>
      </w:r>
      <w:r w:rsidR="00E5543D" w:rsidRPr="00E5543D">
        <w:rPr>
          <w:lang w:val="en-US"/>
        </w:rPr>
        <w:t xml:space="preserve"> with modification  to align with the agreement in [2].  The agreement in [2] defines a</w:t>
      </w:r>
      <w:r w:rsidR="00E5543D">
        <w:rPr>
          <w:lang w:val="en-US"/>
        </w:rPr>
        <w:t xml:space="preserve"> setpoint including a reference waveform and its MPR relative to PC5 maximum output power of 20 dBm.  The reference waveform </w:t>
      </w:r>
      <w:r w:rsidR="006D4ECC">
        <w:rPr>
          <w:lang w:val="en-US"/>
        </w:rPr>
        <w:t xml:space="preserve">for output power </w:t>
      </w:r>
      <w:r w:rsidR="00E5543D">
        <w:rPr>
          <w:lang w:val="en-US"/>
        </w:rPr>
        <w:t xml:space="preserve">is 20 MHz bandwidth, 15 kHz SCS, DFT-s-OFDM, QPSK, 100 RB’s allocation starting at RB3.  The MPR for this waveform has been agreed to be 1 dB; in other words, the output power for </w:t>
      </w:r>
      <w:r w:rsidR="00AB6CDB">
        <w:rPr>
          <w:lang w:val="en-US"/>
        </w:rPr>
        <w:t>the reference</w:t>
      </w:r>
      <w:r w:rsidR="00E5543D">
        <w:rPr>
          <w:lang w:val="en-US"/>
        </w:rPr>
        <w:t xml:space="preserve"> waveform is 19 dBm at the antenna port.  </w:t>
      </w:r>
      <w:r w:rsidR="00AB6CDB">
        <w:rPr>
          <w:lang w:val="en-US"/>
        </w:rPr>
        <w:t>The simulation results here are shown at this refere</w:t>
      </w:r>
      <w:r w:rsidR="00335285">
        <w:rPr>
          <w:lang w:val="en-US"/>
        </w:rPr>
        <w:t xml:space="preserve">nce power level of </w:t>
      </w:r>
      <w:r w:rsidR="00AB6CDB">
        <w:rPr>
          <w:lang w:val="en-US"/>
        </w:rPr>
        <w:t>19 dBm</w:t>
      </w:r>
      <w:r w:rsidR="00335285">
        <w:rPr>
          <w:lang w:val="en-US"/>
        </w:rPr>
        <w:t>.</w:t>
      </w:r>
    </w:p>
    <w:p w14:paraId="05A83884" w14:textId="2AF7BB18" w:rsidR="00F1471D" w:rsidRDefault="007F5B69" w:rsidP="005E6619">
      <w:pPr>
        <w:rPr>
          <w:lang w:val="en-US"/>
        </w:rPr>
      </w:pPr>
      <w:r>
        <w:rPr>
          <w:lang w:val="en-US"/>
        </w:rPr>
        <w:t xml:space="preserve">Results are presented in the figures below post-FFT and RB downsampling.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4811"/>
      </w:tblGrid>
      <w:tr w:rsidR="006D4ECC" w14:paraId="6517D93D" w14:textId="77777777" w:rsidTr="00AB6CDB">
        <w:tc>
          <w:tcPr>
            <w:tcW w:w="4810" w:type="dxa"/>
          </w:tcPr>
          <w:p w14:paraId="5D2F0659" w14:textId="544A6BA1" w:rsidR="00AB6CDB" w:rsidRDefault="003931F4" w:rsidP="00AB6CDB">
            <w:pPr>
              <w:keepNext/>
            </w:pPr>
            <w:r>
              <w:rPr>
                <w:noProof/>
              </w:rPr>
              <w:drawing>
                <wp:inline distT="0" distB="0" distL="0" distR="0" wp14:anchorId="0F69C517" wp14:editId="46D06B50">
                  <wp:extent cx="2615184" cy="213969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615184" cy="2139696"/>
                          </a:xfrm>
                          <a:prstGeom prst="rect">
                            <a:avLst/>
                          </a:prstGeom>
                          <a:noFill/>
                        </pic:spPr>
                      </pic:pic>
                    </a:graphicData>
                  </a:graphic>
                </wp:inline>
              </w:drawing>
            </w:r>
          </w:p>
          <w:p w14:paraId="315EE4E5" w14:textId="176F1673" w:rsidR="006D4ECC" w:rsidRDefault="006D4ECC" w:rsidP="00AB6CDB">
            <w:pPr>
              <w:pStyle w:val="Caption"/>
              <w:jc w:val="center"/>
              <w:rPr>
                <w:lang w:val="en-US"/>
              </w:rPr>
            </w:pPr>
          </w:p>
        </w:tc>
        <w:tc>
          <w:tcPr>
            <w:tcW w:w="4811" w:type="dxa"/>
          </w:tcPr>
          <w:p w14:paraId="207FE243" w14:textId="7A1D0832" w:rsidR="006D4ECC" w:rsidRDefault="003931F4" w:rsidP="005E6619">
            <w:pPr>
              <w:rPr>
                <w:lang w:val="en-US"/>
              </w:rPr>
            </w:pPr>
            <w:r>
              <w:rPr>
                <w:noProof/>
                <w:lang w:val="en-US"/>
              </w:rPr>
              <w:drawing>
                <wp:inline distT="0" distB="0" distL="0" distR="0" wp14:anchorId="6A6A2DAB" wp14:editId="44B1AD5C">
                  <wp:extent cx="2615184" cy="213969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615184" cy="2139696"/>
                          </a:xfrm>
                          <a:prstGeom prst="rect">
                            <a:avLst/>
                          </a:prstGeom>
                          <a:noFill/>
                        </pic:spPr>
                      </pic:pic>
                    </a:graphicData>
                  </a:graphic>
                </wp:inline>
              </w:drawing>
            </w:r>
          </w:p>
        </w:tc>
      </w:tr>
    </w:tbl>
    <w:p w14:paraId="3098A5ED" w14:textId="1FE1DB01" w:rsidR="006D4ECC" w:rsidRDefault="006D4ECC" w:rsidP="005E6619">
      <w:pPr>
        <w:rPr>
          <w:lang w:val="en-US"/>
        </w:rPr>
      </w:pPr>
      <w:r>
        <w:rPr>
          <w:lang w:val="en-US"/>
        </w:rPr>
        <w:t>A closer view is shown where the IQ image products in their predicted locations can be seen.</w:t>
      </w:r>
      <w:r w:rsidR="00335285">
        <w:rPr>
          <w:lang w:val="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4811"/>
      </w:tblGrid>
      <w:tr w:rsidR="006D4ECC" w14:paraId="297E9145" w14:textId="77777777" w:rsidTr="00AB6CDB">
        <w:tc>
          <w:tcPr>
            <w:tcW w:w="4810" w:type="dxa"/>
          </w:tcPr>
          <w:p w14:paraId="35C7ED8D" w14:textId="6899A369" w:rsidR="006D4ECC" w:rsidRDefault="003931F4" w:rsidP="0068088C">
            <w:pPr>
              <w:rPr>
                <w:lang w:val="en-US"/>
              </w:rPr>
            </w:pPr>
            <w:r>
              <w:rPr>
                <w:noProof/>
                <w:lang w:val="en-US"/>
              </w:rPr>
              <w:drawing>
                <wp:inline distT="0" distB="0" distL="0" distR="0" wp14:anchorId="17A5C2B6" wp14:editId="61792560">
                  <wp:extent cx="2615184" cy="213969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615184" cy="2139696"/>
                          </a:xfrm>
                          <a:prstGeom prst="rect">
                            <a:avLst/>
                          </a:prstGeom>
                          <a:noFill/>
                        </pic:spPr>
                      </pic:pic>
                    </a:graphicData>
                  </a:graphic>
                </wp:inline>
              </w:drawing>
            </w:r>
          </w:p>
        </w:tc>
        <w:tc>
          <w:tcPr>
            <w:tcW w:w="4811" w:type="dxa"/>
          </w:tcPr>
          <w:p w14:paraId="51F119FB" w14:textId="691EE662" w:rsidR="006D4ECC" w:rsidRDefault="003931F4" w:rsidP="0068088C">
            <w:pPr>
              <w:rPr>
                <w:lang w:val="en-US"/>
              </w:rPr>
            </w:pPr>
            <w:r>
              <w:rPr>
                <w:noProof/>
                <w:lang w:val="en-US"/>
              </w:rPr>
              <w:drawing>
                <wp:inline distT="0" distB="0" distL="0" distR="0" wp14:anchorId="0E2C6D11" wp14:editId="7F9BC3AA">
                  <wp:extent cx="2615184" cy="213969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615184" cy="2139696"/>
                          </a:xfrm>
                          <a:prstGeom prst="rect">
                            <a:avLst/>
                          </a:prstGeom>
                          <a:noFill/>
                        </pic:spPr>
                      </pic:pic>
                    </a:graphicData>
                  </a:graphic>
                </wp:inline>
              </w:drawing>
            </w:r>
          </w:p>
        </w:tc>
      </w:tr>
    </w:tbl>
    <w:p w14:paraId="46CFD090" w14:textId="6BAB72AE" w:rsidR="006D4ECC" w:rsidRDefault="006D4ECC" w:rsidP="005E6619">
      <w:pPr>
        <w:rPr>
          <w:lang w:val="en-US"/>
        </w:rPr>
      </w:pPr>
    </w:p>
    <w:p w14:paraId="2B5B6DAE" w14:textId="51ABFDEE" w:rsidR="00AB6CDB" w:rsidRDefault="00AB6CDB" w:rsidP="005E6619">
      <w:pPr>
        <w:rPr>
          <w:lang w:val="en-US"/>
        </w:rPr>
      </w:pPr>
      <w:r>
        <w:rPr>
          <w:lang w:val="en-US"/>
        </w:rPr>
        <w:t>The LO can be observed between RB 52 and 53 below, most evident for the RIV=5 waveform since the LO is not obscured by the energy of a nearby allocated RB.</w:t>
      </w:r>
      <w:r w:rsidR="00AE3CFE">
        <w:rPr>
          <w:lang w:val="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4811"/>
      </w:tblGrid>
      <w:tr w:rsidR="006D4ECC" w14:paraId="7A40AAD2" w14:textId="77777777" w:rsidTr="00AB6CDB">
        <w:tc>
          <w:tcPr>
            <w:tcW w:w="4810" w:type="dxa"/>
          </w:tcPr>
          <w:p w14:paraId="6F488AD3" w14:textId="7945ECAD" w:rsidR="006D4ECC" w:rsidRDefault="003931F4" w:rsidP="0068088C">
            <w:pPr>
              <w:rPr>
                <w:lang w:val="en-US"/>
              </w:rPr>
            </w:pPr>
            <w:r>
              <w:rPr>
                <w:noProof/>
                <w:lang w:val="en-US"/>
              </w:rPr>
              <w:lastRenderedPageBreak/>
              <w:drawing>
                <wp:inline distT="0" distB="0" distL="0" distR="0" wp14:anchorId="740225ED" wp14:editId="2A60AB06">
                  <wp:extent cx="2615184" cy="213969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615184" cy="2139696"/>
                          </a:xfrm>
                          <a:prstGeom prst="rect">
                            <a:avLst/>
                          </a:prstGeom>
                          <a:noFill/>
                        </pic:spPr>
                      </pic:pic>
                    </a:graphicData>
                  </a:graphic>
                </wp:inline>
              </w:drawing>
            </w:r>
          </w:p>
        </w:tc>
        <w:tc>
          <w:tcPr>
            <w:tcW w:w="4811" w:type="dxa"/>
          </w:tcPr>
          <w:p w14:paraId="4D02AA00" w14:textId="0A95A828" w:rsidR="006D4ECC" w:rsidRDefault="003931F4" w:rsidP="0068088C">
            <w:pPr>
              <w:rPr>
                <w:lang w:val="en-US"/>
              </w:rPr>
            </w:pPr>
            <w:r>
              <w:rPr>
                <w:noProof/>
                <w:lang w:val="en-US"/>
              </w:rPr>
              <w:drawing>
                <wp:inline distT="0" distB="0" distL="0" distR="0" wp14:anchorId="76571326" wp14:editId="598DCA43">
                  <wp:extent cx="2615184" cy="213969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615184" cy="2139696"/>
                          </a:xfrm>
                          <a:prstGeom prst="rect">
                            <a:avLst/>
                          </a:prstGeom>
                          <a:noFill/>
                        </pic:spPr>
                      </pic:pic>
                    </a:graphicData>
                  </a:graphic>
                </wp:inline>
              </w:drawing>
            </w:r>
          </w:p>
        </w:tc>
      </w:tr>
    </w:tbl>
    <w:p w14:paraId="4E2B5429" w14:textId="77777777" w:rsidR="006D4ECC" w:rsidRDefault="006D4ECC" w:rsidP="005E6619">
      <w:pPr>
        <w:rPr>
          <w:lang w:val="en-US"/>
        </w:rPr>
      </w:pPr>
    </w:p>
    <w:p w14:paraId="08CC2142" w14:textId="61666CBC" w:rsidR="00E37EB2" w:rsidRDefault="003C2307" w:rsidP="005E6619">
      <w:pPr>
        <w:rPr>
          <w:lang w:val="en-US"/>
        </w:rPr>
      </w:pPr>
      <w:r>
        <w:rPr>
          <w:lang w:val="en-US"/>
        </w:rPr>
        <w:t>Another aspect is also to be considered</w:t>
      </w:r>
      <w:r w:rsidR="00AE3CFE">
        <w:rPr>
          <w:lang w:val="en-US"/>
        </w:rPr>
        <w:t xml:space="preserve"> is the expected location of the LO and IQ image products</w:t>
      </w:r>
      <w:r>
        <w:rPr>
          <w:lang w:val="en-US"/>
        </w:rPr>
        <w:t xml:space="preserve">.  </w:t>
      </w:r>
      <w:r w:rsidR="00E37EB2">
        <w:rPr>
          <w:lang w:val="en-US"/>
        </w:rPr>
        <w:t xml:space="preserve">It can also be seen that the same approach </w:t>
      </w:r>
      <w:r>
        <w:rPr>
          <w:lang w:val="en-US"/>
        </w:rPr>
        <w:t xml:space="preserve">as eLAA </w:t>
      </w:r>
      <w:r w:rsidR="00E37EB2">
        <w:rPr>
          <w:lang w:val="en-US"/>
        </w:rPr>
        <w:t xml:space="preserve">to easily identify LO and IQ image exceptions by using </w:t>
      </w:r>
      <w:r w:rsidR="00E37EB2" w:rsidRPr="00E37EB2">
        <w:rPr>
          <w:i/>
          <w:iCs/>
          <w:lang w:val="en-US"/>
        </w:rPr>
        <w:t>RIV</w:t>
      </w:r>
      <w:r w:rsidR="00E37EB2">
        <w:rPr>
          <w:lang w:val="en-US"/>
        </w:rPr>
        <w:t xml:space="preserve">=1 and </w:t>
      </w:r>
      <w:r w:rsidR="00E37EB2" w:rsidRPr="00E37EB2">
        <w:rPr>
          <w:i/>
          <w:iCs/>
          <w:lang w:val="en-US"/>
        </w:rPr>
        <w:t>RIV</w:t>
      </w:r>
      <w:r w:rsidR="00E37EB2">
        <w:rPr>
          <w:lang w:val="en-US"/>
        </w:rPr>
        <w:t>=5 waveforms can be used.  In this</w:t>
      </w:r>
      <w:r w:rsidR="00F73BC1">
        <w:rPr>
          <w:lang w:val="en-US"/>
        </w:rPr>
        <w:t xml:space="preserve"> simulation</w:t>
      </w:r>
      <w:r w:rsidR="00E37EB2">
        <w:rPr>
          <w:lang w:val="en-US"/>
        </w:rPr>
        <w:t xml:space="preserve">, of 20 MHz channel with 15 kHz SCS, the LO is located in between RB’s 52 and 53 while an IQ image product can be located at RB 104 for the </w:t>
      </w:r>
      <w:r w:rsidR="00E37EB2" w:rsidRPr="00E37EB2">
        <w:rPr>
          <w:i/>
          <w:iCs/>
          <w:lang w:val="en-US"/>
        </w:rPr>
        <w:t>RIV</w:t>
      </w:r>
      <w:r w:rsidR="00E37EB2">
        <w:rPr>
          <w:lang w:val="en-US"/>
        </w:rPr>
        <w:t>=1 allocation</w:t>
      </w:r>
      <w:r w:rsidR="00DF6A7F">
        <w:rPr>
          <w:lang w:val="en-US"/>
        </w:rPr>
        <w:t xml:space="preserve"> with the assumption that the LO is placed in the center of the channel.  </w:t>
      </w:r>
      <w:r>
        <w:rPr>
          <w:lang w:val="en-US"/>
        </w:rPr>
        <w:t xml:space="preserve">However, </w:t>
      </w:r>
      <w:r w:rsidRPr="00335285">
        <w:rPr>
          <w:i/>
          <w:iCs/>
          <w:lang w:val="en-US"/>
        </w:rPr>
        <w:t>o</w:t>
      </w:r>
      <w:r w:rsidR="00DF6A7F" w:rsidRPr="00335285">
        <w:rPr>
          <w:i/>
          <w:iCs/>
          <w:lang w:val="en-US"/>
        </w:rPr>
        <w:t>ne additional complexity is that for NR and NR-U, the LO location can be placed elsewhere than the center of the channel with its location signaled by the UE</w:t>
      </w:r>
      <w:r w:rsidR="00DF6A7F">
        <w:rPr>
          <w:lang w:val="en-US"/>
        </w:rPr>
        <w:t xml:space="preserve">.  An unfortunate placement of the LO would render the RIV=1 and RIV=5 allocations ineffective for identifying LO and IQ image if they happen to coincide with </w:t>
      </w:r>
      <w:r w:rsidR="00632310">
        <w:rPr>
          <w:lang w:val="en-US"/>
        </w:rPr>
        <w:t xml:space="preserve">or near </w:t>
      </w:r>
      <w:r w:rsidR="00DF6A7F">
        <w:rPr>
          <w:lang w:val="en-US"/>
        </w:rPr>
        <w:t xml:space="preserve">allocated RB locations.  </w:t>
      </w:r>
      <w:r w:rsidR="00632310">
        <w:rPr>
          <w:lang w:val="en-US"/>
        </w:rPr>
        <w:t>Moreover</w:t>
      </w:r>
      <w:r w:rsidR="00335285">
        <w:rPr>
          <w:lang w:val="en-US"/>
        </w:rPr>
        <w:t xml:space="preserve">, the addition of LO and IQ image could cause general mask failures </w:t>
      </w:r>
      <w:r w:rsidR="00632310">
        <w:rPr>
          <w:lang w:val="en-US"/>
        </w:rPr>
        <w:t xml:space="preserve">if the exception is not provided </w:t>
      </w:r>
      <w:r w:rsidR="00335285">
        <w:rPr>
          <w:lang w:val="en-US"/>
        </w:rPr>
        <w:t>since the power would be additive to the general emission already present.</w:t>
      </w:r>
      <w:r w:rsidR="00632310">
        <w:rPr>
          <w:lang w:val="en-US"/>
        </w:rPr>
        <w:t xml:space="preserve">  From 38.331 in the </w:t>
      </w:r>
      <w:r w:rsidR="00632310" w:rsidRPr="00632310">
        <w:rPr>
          <w:i/>
          <w:iCs/>
          <w:lang w:val="en-US"/>
        </w:rPr>
        <w:t>UplinkTxDirectCurrentBWP</w:t>
      </w:r>
      <w:r w:rsidR="00632310">
        <w:rPr>
          <w:lang w:val="en-US"/>
        </w:rPr>
        <w:t xml:space="preserve"> field</w:t>
      </w:r>
    </w:p>
    <w:p w14:paraId="700559B2" w14:textId="77777777" w:rsidR="00F44A09" w:rsidRPr="00F537EB" w:rsidRDefault="00F44A09" w:rsidP="00F44A09">
      <w:pPr>
        <w:pStyle w:val="TAL"/>
        <w:ind w:left="720" w:right="991"/>
        <w:rPr>
          <w:rFonts w:eastAsia="SimSun"/>
          <w:szCs w:val="22"/>
        </w:rPr>
      </w:pPr>
      <w:r w:rsidRPr="00F537EB">
        <w:rPr>
          <w:rFonts w:eastAsia="SimSun"/>
          <w:b/>
          <w:i/>
          <w:szCs w:val="22"/>
        </w:rPr>
        <w:t>txDirectCurrentLocation</w:t>
      </w:r>
    </w:p>
    <w:p w14:paraId="74509973" w14:textId="6573C82A" w:rsidR="00DF6A7F" w:rsidRDefault="00F44A09" w:rsidP="00F44A09">
      <w:pPr>
        <w:ind w:left="720" w:right="991"/>
        <w:rPr>
          <w:rFonts w:eastAsia="SimSun"/>
          <w:szCs w:val="22"/>
        </w:rPr>
      </w:pPr>
      <w:r w:rsidRPr="00F537EB">
        <w:rPr>
          <w:rFonts w:eastAsia="SimSun"/>
          <w:szCs w:val="22"/>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p w14:paraId="70794B19" w14:textId="11FBFBA1" w:rsidR="00F44A09" w:rsidRDefault="00F44A09" w:rsidP="00F44A09">
      <w:pPr>
        <w:ind w:right="1"/>
        <w:rPr>
          <w:rFonts w:eastAsia="SimSun"/>
          <w:szCs w:val="22"/>
        </w:rPr>
      </w:pPr>
      <w:r>
        <w:rPr>
          <w:rFonts w:eastAsia="SimSun"/>
          <w:szCs w:val="22"/>
        </w:rPr>
        <w:t xml:space="preserve">For 15 kHz SCS, the center of a 20 MHz channel is expected to be located at </w:t>
      </w:r>
      <w:r w:rsidRPr="00854ADF">
        <w:rPr>
          <w:rFonts w:eastAsia="SimSun"/>
          <w:i/>
          <w:iCs/>
          <w:szCs w:val="22"/>
        </w:rPr>
        <w:t>txDirectCurrentLocation</w:t>
      </w:r>
      <w:r>
        <w:rPr>
          <w:rFonts w:eastAsia="SimSun"/>
          <w:szCs w:val="22"/>
        </w:rPr>
        <w:t xml:space="preserve"> 635 or 636</w:t>
      </w:r>
      <w:r w:rsidR="00064A03">
        <w:rPr>
          <w:rFonts w:eastAsia="SimSun"/>
          <w:szCs w:val="22"/>
        </w:rPr>
        <w:t xml:space="preserve"> given </w:t>
      </w:r>
      <w:r w:rsidR="00064A03" w:rsidRPr="00064A03">
        <w:rPr>
          <w:rFonts w:eastAsia="SimSun"/>
          <w:i/>
          <w:iCs/>
          <w:szCs w:val="22"/>
        </w:rPr>
        <w:t>N</w:t>
      </w:r>
      <w:r w:rsidR="00064A03" w:rsidRPr="00064A03">
        <w:rPr>
          <w:rFonts w:eastAsia="SimSun"/>
          <w:szCs w:val="22"/>
          <w:vertAlign w:val="subscript"/>
        </w:rPr>
        <w:t>RB</w:t>
      </w:r>
      <w:r w:rsidR="00064A03">
        <w:rPr>
          <w:rFonts w:eastAsia="SimSun"/>
          <w:szCs w:val="22"/>
        </w:rPr>
        <w:t>=106 and 12 sub-carriers per RB; i.e., (106*12-1)/2 = 635.5</w:t>
      </w:r>
      <w:r>
        <w:rPr>
          <w:rFonts w:eastAsia="SimSun"/>
          <w:szCs w:val="22"/>
        </w:rPr>
        <w:t>.</w:t>
      </w:r>
      <w:r w:rsidR="00064A03">
        <w:rPr>
          <w:rFonts w:eastAsia="SimSun"/>
          <w:szCs w:val="22"/>
        </w:rPr>
        <w:t xml:space="preserve"> I</w:t>
      </w:r>
      <w:r w:rsidR="00854ADF">
        <w:rPr>
          <w:rFonts w:eastAsia="SimSun"/>
          <w:szCs w:val="22"/>
        </w:rPr>
        <w:t xml:space="preserve">f not signalled, it is not clear what the default value is </w:t>
      </w:r>
      <w:r w:rsidR="00064A03">
        <w:rPr>
          <w:rFonts w:eastAsia="SimSun"/>
          <w:szCs w:val="22"/>
        </w:rPr>
        <w:t xml:space="preserve">since the default is </w:t>
      </w:r>
      <w:r w:rsidR="00854ADF">
        <w:rPr>
          <w:rFonts w:eastAsia="SimSun"/>
          <w:szCs w:val="22"/>
        </w:rPr>
        <w:t xml:space="preserve">not specified in 38.331.  </w:t>
      </w:r>
    </w:p>
    <w:p w14:paraId="7F102D65" w14:textId="5241EB23" w:rsidR="0034369A" w:rsidRPr="00AE3CFE" w:rsidRDefault="00632310" w:rsidP="0034369A">
      <w:pPr>
        <w:ind w:right="1"/>
        <w:rPr>
          <w:bCs/>
          <w:iCs/>
          <w:lang w:val="en-US"/>
        </w:rPr>
      </w:pPr>
      <w:r w:rsidRPr="00632310">
        <w:rPr>
          <w:rFonts w:eastAsia="SimSun"/>
          <w:szCs w:val="22"/>
        </w:rPr>
        <w:t xml:space="preserve">The most </w:t>
      </w:r>
      <w:r>
        <w:rPr>
          <w:rFonts w:eastAsia="SimSun"/>
          <w:szCs w:val="22"/>
        </w:rPr>
        <w:t xml:space="preserve">obvious way to address this problem is to adjust the LO and IQ image exception RB’s according to the reported DC location, assuming it is reported.  Both RIV=1 and RIV=5 waveforms will need to be checked for LO since the LO may coincide with or near an allocated RB for one of these two waveforms and therefore be difficult to observe.  </w:t>
      </w:r>
      <w:r w:rsidR="0034369A">
        <w:rPr>
          <w:rFonts w:eastAsia="SimSun"/>
          <w:szCs w:val="22"/>
        </w:rPr>
        <w:t xml:space="preserve">The problem if the UE does not report </w:t>
      </w:r>
      <w:r w:rsidR="0034369A" w:rsidRPr="00AE3CFE">
        <w:rPr>
          <w:rFonts w:eastAsia="SimSun"/>
          <w:bCs/>
          <w:i/>
          <w:szCs w:val="22"/>
        </w:rPr>
        <w:t>txDirectCurrentLocation</w:t>
      </w:r>
      <w:r w:rsidR="0034369A">
        <w:rPr>
          <w:rFonts w:eastAsia="SimSun"/>
          <w:bCs/>
          <w:iCs/>
          <w:szCs w:val="22"/>
        </w:rPr>
        <w:t xml:space="preserve"> or reports 3300 or 3301 still remains</w:t>
      </w:r>
      <w:r w:rsidR="006F2788">
        <w:rPr>
          <w:rFonts w:eastAsia="SimSun"/>
          <w:bCs/>
          <w:iCs/>
          <w:szCs w:val="22"/>
        </w:rPr>
        <w:t xml:space="preserve">, but a workaround may be to </w:t>
      </w:r>
      <w:r w:rsidR="00D421DD">
        <w:rPr>
          <w:rFonts w:eastAsia="SimSun"/>
          <w:bCs/>
          <w:iCs/>
          <w:szCs w:val="22"/>
        </w:rPr>
        <w:t>define exception locations according to LO in the middle of the channel in this case</w:t>
      </w:r>
      <w:r w:rsidR="0034369A">
        <w:rPr>
          <w:rFonts w:eastAsia="SimSun"/>
          <w:bCs/>
          <w:iCs/>
          <w:szCs w:val="22"/>
        </w:rPr>
        <w:t>.</w:t>
      </w:r>
    </w:p>
    <w:p w14:paraId="17ECDF7D" w14:textId="2C69CED8" w:rsidR="00FA01C7" w:rsidRDefault="00FA01C7" w:rsidP="00FA01C7">
      <w:pPr>
        <w:pStyle w:val="Heading1"/>
        <w:tabs>
          <w:tab w:val="clear" w:pos="432"/>
          <w:tab w:val="num" w:pos="522"/>
        </w:tabs>
        <w:ind w:left="522" w:hanging="522"/>
        <w:rPr>
          <w:lang w:val="en-US"/>
        </w:rPr>
      </w:pPr>
      <w:r>
        <w:rPr>
          <w:lang w:val="en-US"/>
        </w:rPr>
        <w:t>Conclusion</w:t>
      </w:r>
    </w:p>
    <w:p w14:paraId="58621DEB" w14:textId="0135CDB6" w:rsidR="00FA01C7" w:rsidRDefault="00FA01C7" w:rsidP="00A0551F">
      <w:pPr>
        <w:rPr>
          <w:lang w:val="en-US"/>
        </w:rPr>
      </w:pPr>
      <w:r>
        <w:rPr>
          <w:lang w:val="en-US"/>
        </w:rPr>
        <w:t xml:space="preserve">This contribution </w:t>
      </w:r>
      <w:r w:rsidR="003E5E44">
        <w:rPr>
          <w:lang w:val="en-US"/>
        </w:rPr>
        <w:t>presents simulation results using the</w:t>
      </w:r>
      <w:r w:rsidR="00880925">
        <w:rPr>
          <w:lang w:val="en-US"/>
        </w:rPr>
        <w:t xml:space="preserve"> eLAA in-band emissions requirements for NR-U.  By simulation for a PC5 PA, </w:t>
      </w:r>
      <w:r w:rsidR="0034369A">
        <w:rPr>
          <w:lang w:val="en-US"/>
        </w:rPr>
        <w:t xml:space="preserve">the use of RIV=1 and RIV=5 waveforms with the same IBE mask as eLAA is found to be suitable for NR-U as well.  One challenge is to identify the location of the LO and IQ image exceptions.  For each allocated RB, there is an IQ image exception needed at an RB that is reflected across the LO, but since the LO location itself can be implementation-dependent, the test equipment needs to calculate the location of these exceptions.  </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2C56BAD7" w14:textId="354715B6" w:rsidR="001F6CA4" w:rsidRDefault="001F6CA4" w:rsidP="001219FC">
      <w:pPr>
        <w:numPr>
          <w:ilvl w:val="0"/>
          <w:numId w:val="2"/>
        </w:numPr>
        <w:tabs>
          <w:tab w:val="left" w:pos="1080"/>
        </w:tabs>
        <w:rPr>
          <w:lang w:val="en-US" w:eastAsia="x-none"/>
        </w:rPr>
      </w:pPr>
      <w:bookmarkStart w:id="3" w:name="_Hlk859252"/>
      <w:r>
        <w:rPr>
          <w:lang w:val="en-US" w:eastAsia="x-none"/>
        </w:rPr>
        <w:t>R4-2004724, “</w:t>
      </w:r>
      <w:r w:rsidRPr="001F6CA4">
        <w:rPr>
          <w:lang w:val="en-US" w:eastAsia="x-none"/>
        </w:rPr>
        <w:t>NR-U In-band emissions requirement</w:t>
      </w:r>
      <w:r>
        <w:rPr>
          <w:lang w:val="en-US" w:eastAsia="x-none"/>
        </w:rPr>
        <w:t>,” Qualcomm Incorporated</w:t>
      </w:r>
    </w:p>
    <w:p w14:paraId="0318A5B0" w14:textId="72BB904B" w:rsidR="001F6CA4" w:rsidRPr="001F6CA4" w:rsidRDefault="001F6CA4" w:rsidP="001F6CA4">
      <w:pPr>
        <w:numPr>
          <w:ilvl w:val="0"/>
          <w:numId w:val="2"/>
        </w:numPr>
        <w:tabs>
          <w:tab w:val="left" w:pos="1080"/>
        </w:tabs>
        <w:rPr>
          <w:lang w:val="en-US" w:eastAsia="x-none"/>
        </w:rPr>
      </w:pPr>
      <w:r>
        <w:rPr>
          <w:lang w:val="en-US" w:eastAsia="x-none"/>
        </w:rPr>
        <w:t>R4-2005221, “WF on NR-U UE Tx Requirement,” Skyworks Solutions, Inc., Nokia, Ericsson</w:t>
      </w:r>
    </w:p>
    <w:p w14:paraId="5F5F039D" w14:textId="7D9DDDE6" w:rsidR="005E6619" w:rsidRDefault="00310331" w:rsidP="001219FC">
      <w:pPr>
        <w:numPr>
          <w:ilvl w:val="0"/>
          <w:numId w:val="2"/>
        </w:numPr>
        <w:tabs>
          <w:tab w:val="left" w:pos="1080"/>
        </w:tabs>
        <w:rPr>
          <w:lang w:val="en-US" w:eastAsia="x-none"/>
        </w:rPr>
      </w:pPr>
      <w:r>
        <w:rPr>
          <w:lang w:val="en-US" w:eastAsia="x-none"/>
        </w:rPr>
        <w:t>R4-</w:t>
      </w:r>
      <w:r w:rsidR="005E6619">
        <w:rPr>
          <w:lang w:val="en-US" w:eastAsia="x-none"/>
        </w:rPr>
        <w:t>2002753, “WF on remaining UE Tx requirements for NR-U,” Qualcomm Incorporated, Skyworks Solutions, Inc.</w:t>
      </w:r>
    </w:p>
    <w:p w14:paraId="14DFC256" w14:textId="672F0879" w:rsidR="001B6328" w:rsidRDefault="001B6328" w:rsidP="001B6328">
      <w:pPr>
        <w:numPr>
          <w:ilvl w:val="0"/>
          <w:numId w:val="2"/>
        </w:numPr>
        <w:tabs>
          <w:tab w:val="left" w:pos="1080"/>
        </w:tabs>
        <w:rPr>
          <w:lang w:val="en-US" w:eastAsia="x-none"/>
        </w:rPr>
      </w:pPr>
      <w:r>
        <w:rPr>
          <w:lang w:val="en-US" w:eastAsia="x-none"/>
        </w:rPr>
        <w:lastRenderedPageBreak/>
        <w:t>R4-1907961, “NR-U PA calibration,” Qualcomm Incorporated</w:t>
      </w:r>
    </w:p>
    <w:bookmarkEnd w:id="3"/>
    <w:p w14:paraId="126502BF" w14:textId="77777777" w:rsidR="001B6328" w:rsidRDefault="001B6328" w:rsidP="001B6328">
      <w:pPr>
        <w:tabs>
          <w:tab w:val="left" w:pos="1080"/>
        </w:tabs>
        <w:rPr>
          <w:lang w:val="en-US" w:eastAsia="x-none"/>
        </w:rPr>
      </w:pPr>
    </w:p>
    <w:sectPr w:rsidR="001B6328" w:rsidSect="00521ED0">
      <w:footerReference w:type="even" r:id="rId53"/>
      <w:footerReference w:type="default" r:id="rId5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56990" w14:textId="77777777" w:rsidR="00853B24" w:rsidRDefault="00853B24">
      <w:r>
        <w:separator/>
      </w:r>
    </w:p>
  </w:endnote>
  <w:endnote w:type="continuationSeparator" w:id="0">
    <w:p w14:paraId="10BDA3ED" w14:textId="77777777" w:rsidR="00853B24" w:rsidRDefault="00853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686264" w:rsidRDefault="006862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686264" w:rsidRDefault="0068626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4941E" w14:textId="77777777" w:rsidR="00853B24" w:rsidRDefault="00853B24">
      <w:r>
        <w:separator/>
      </w:r>
    </w:p>
  </w:footnote>
  <w:footnote w:type="continuationSeparator" w:id="0">
    <w:p w14:paraId="766BFF67" w14:textId="77777777" w:rsidR="00853B24" w:rsidRDefault="00853B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3"/>
  </w:num>
  <w:num w:numId="3">
    <w:abstractNumId w:val="15"/>
  </w:num>
  <w:num w:numId="4">
    <w:abstractNumId w:val="16"/>
  </w:num>
  <w:num w:numId="5">
    <w:abstractNumId w:val="12"/>
  </w:num>
  <w:num w:numId="6">
    <w:abstractNumId w:val="4"/>
  </w:num>
  <w:num w:numId="7">
    <w:abstractNumId w:val="1"/>
  </w:num>
  <w:num w:numId="8">
    <w:abstractNumId w:val="14"/>
  </w:num>
  <w:num w:numId="9">
    <w:abstractNumId w:val="5"/>
  </w:num>
  <w:num w:numId="10">
    <w:abstractNumId w:val="11"/>
  </w:num>
  <w:num w:numId="11">
    <w:abstractNumId w:val="18"/>
  </w:num>
  <w:num w:numId="12">
    <w:abstractNumId w:val="3"/>
  </w:num>
  <w:num w:numId="13">
    <w:abstractNumId w:val="10"/>
  </w:num>
  <w:num w:numId="14">
    <w:abstractNumId w:val="2"/>
  </w:num>
  <w:num w:numId="15">
    <w:abstractNumId w:val="9"/>
  </w:num>
  <w:num w:numId="16">
    <w:abstractNumId w:val="17"/>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8"/>
  </w:num>
  <w:num w:numId="19">
    <w:abstractNumId w:val="7"/>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58B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C76"/>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4A03"/>
    <w:rsid w:val="00065C27"/>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3601"/>
    <w:rsid w:val="000C47C2"/>
    <w:rsid w:val="000C4A55"/>
    <w:rsid w:val="000C4A63"/>
    <w:rsid w:val="000C4A8B"/>
    <w:rsid w:val="000C5396"/>
    <w:rsid w:val="000C577D"/>
    <w:rsid w:val="000C5B5A"/>
    <w:rsid w:val="000C5EE5"/>
    <w:rsid w:val="000C655C"/>
    <w:rsid w:val="000C6650"/>
    <w:rsid w:val="000C6CBF"/>
    <w:rsid w:val="000C6DA1"/>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6B86"/>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007"/>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C7FD3"/>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4EEE"/>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B1C"/>
    <w:rsid w:val="001F4B45"/>
    <w:rsid w:val="001F5A57"/>
    <w:rsid w:val="001F6CA4"/>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05F"/>
    <w:rsid w:val="00240974"/>
    <w:rsid w:val="002420FA"/>
    <w:rsid w:val="0024341E"/>
    <w:rsid w:val="0024423D"/>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48B4"/>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0E6F"/>
    <w:rsid w:val="002C1343"/>
    <w:rsid w:val="002C15A4"/>
    <w:rsid w:val="002C1A95"/>
    <w:rsid w:val="002C27CE"/>
    <w:rsid w:val="002C3086"/>
    <w:rsid w:val="002C3188"/>
    <w:rsid w:val="002C3AA2"/>
    <w:rsid w:val="002C3D5B"/>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48C"/>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D5F"/>
    <w:rsid w:val="00304EC9"/>
    <w:rsid w:val="00304EE3"/>
    <w:rsid w:val="00305452"/>
    <w:rsid w:val="00305E70"/>
    <w:rsid w:val="0030648A"/>
    <w:rsid w:val="00306AB4"/>
    <w:rsid w:val="00306C15"/>
    <w:rsid w:val="0030710A"/>
    <w:rsid w:val="00307F1E"/>
    <w:rsid w:val="00310331"/>
    <w:rsid w:val="0031040B"/>
    <w:rsid w:val="003109C2"/>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20AB6"/>
    <w:rsid w:val="00320B8A"/>
    <w:rsid w:val="0032195A"/>
    <w:rsid w:val="00321A07"/>
    <w:rsid w:val="00322083"/>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285"/>
    <w:rsid w:val="003359A3"/>
    <w:rsid w:val="003370EF"/>
    <w:rsid w:val="00337554"/>
    <w:rsid w:val="00337613"/>
    <w:rsid w:val="00337A5E"/>
    <w:rsid w:val="003402F4"/>
    <w:rsid w:val="00340539"/>
    <w:rsid w:val="0034157C"/>
    <w:rsid w:val="00341D2E"/>
    <w:rsid w:val="00341F00"/>
    <w:rsid w:val="003427F4"/>
    <w:rsid w:val="00342D54"/>
    <w:rsid w:val="0034369A"/>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1F4"/>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437"/>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1DE"/>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5C1"/>
    <w:rsid w:val="0048493E"/>
    <w:rsid w:val="00484AB9"/>
    <w:rsid w:val="004852CF"/>
    <w:rsid w:val="0048547C"/>
    <w:rsid w:val="004854C9"/>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C7AF0"/>
    <w:rsid w:val="004D0378"/>
    <w:rsid w:val="004D05DF"/>
    <w:rsid w:val="004D1346"/>
    <w:rsid w:val="004D1474"/>
    <w:rsid w:val="004D187C"/>
    <w:rsid w:val="004D2348"/>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CB4"/>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619"/>
    <w:rsid w:val="005E684F"/>
    <w:rsid w:val="005E6BCB"/>
    <w:rsid w:val="005E6F1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647"/>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310"/>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4F5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4ECC"/>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2788"/>
    <w:rsid w:val="006F3228"/>
    <w:rsid w:val="006F404E"/>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2850"/>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6491"/>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321F"/>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4"/>
    <w:rsid w:val="00853B27"/>
    <w:rsid w:val="0085400A"/>
    <w:rsid w:val="0085443D"/>
    <w:rsid w:val="00854ADF"/>
    <w:rsid w:val="00854E3F"/>
    <w:rsid w:val="0085554B"/>
    <w:rsid w:val="0085616A"/>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0BB"/>
    <w:rsid w:val="00874DFD"/>
    <w:rsid w:val="00875013"/>
    <w:rsid w:val="0087541C"/>
    <w:rsid w:val="00875E39"/>
    <w:rsid w:val="00875ECC"/>
    <w:rsid w:val="008760A4"/>
    <w:rsid w:val="008772BE"/>
    <w:rsid w:val="0087751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A3"/>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A4D"/>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0D7"/>
    <w:rsid w:val="009E429A"/>
    <w:rsid w:val="009E42CF"/>
    <w:rsid w:val="009E43A5"/>
    <w:rsid w:val="009E48F6"/>
    <w:rsid w:val="009E4C74"/>
    <w:rsid w:val="009E5FE9"/>
    <w:rsid w:val="009E6FE2"/>
    <w:rsid w:val="009F11C2"/>
    <w:rsid w:val="009F1D9B"/>
    <w:rsid w:val="009F1E72"/>
    <w:rsid w:val="009F1EB2"/>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CDB"/>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CFE"/>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A79FE"/>
    <w:rsid w:val="00BB03B5"/>
    <w:rsid w:val="00BB057B"/>
    <w:rsid w:val="00BB073C"/>
    <w:rsid w:val="00BB0848"/>
    <w:rsid w:val="00BB09C2"/>
    <w:rsid w:val="00BB0E3E"/>
    <w:rsid w:val="00BB1770"/>
    <w:rsid w:val="00BB18CC"/>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3D3"/>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5FCE"/>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1DD"/>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2203"/>
    <w:rsid w:val="00D62E5B"/>
    <w:rsid w:val="00D6320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35D"/>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A94"/>
    <w:rsid w:val="00DA1C8A"/>
    <w:rsid w:val="00DA1D18"/>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6A7F"/>
    <w:rsid w:val="00DF6F8C"/>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543D"/>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4D57"/>
    <w:rsid w:val="00F354C9"/>
    <w:rsid w:val="00F35682"/>
    <w:rsid w:val="00F368B6"/>
    <w:rsid w:val="00F36A11"/>
    <w:rsid w:val="00F36C90"/>
    <w:rsid w:val="00F36D83"/>
    <w:rsid w:val="00F3756B"/>
    <w:rsid w:val="00F375E7"/>
    <w:rsid w:val="00F4013A"/>
    <w:rsid w:val="00F40694"/>
    <w:rsid w:val="00F4288E"/>
    <w:rsid w:val="00F42BC0"/>
    <w:rsid w:val="00F434D7"/>
    <w:rsid w:val="00F437E7"/>
    <w:rsid w:val="00F44A09"/>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3BC1"/>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354"/>
    <w:rsid w:val="00FC6995"/>
    <w:rsid w:val="00FD09D0"/>
    <w:rsid w:val="00FD0AAD"/>
    <w:rsid w:val="00FD0D8C"/>
    <w:rsid w:val="00FD1000"/>
    <w:rsid w:val="00FD1527"/>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character" w:styleId="PlaceholderText">
    <w:name w:val="Placeholder Text"/>
    <w:basedOn w:val="DefaultParagraphFont"/>
    <w:uiPriority w:val="99"/>
    <w:semiHidden/>
    <w:rsid w:val="00DA1D1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image" Target="media/image20.png"/><Relationship Id="rId50" Type="http://schemas.openxmlformats.org/officeDocument/2006/relationships/image" Target="media/image23.png"/><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oleObject" Target="embeddings/oleObject20.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2.png"/><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5.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png"/><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24.pn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665BF-5205-433C-9E1E-DF862A120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1675</Words>
  <Characters>9549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2020-05-15T19:24:00Z</dcterms:created>
  <dcterms:modified xsi:type="dcterms:W3CDTF">2020-05-15T19:24:00Z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