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1E46" w:rsidRPr="007F1E46" w:rsidRDefault="007F1E46" w:rsidP="007F1E46">
      <w:pPr>
        <w:pStyle w:val="a3"/>
        <w:rPr>
          <w:rFonts w:cs="Arial"/>
          <w:noProof w:val="0"/>
          <w:sz w:val="24"/>
          <w:szCs w:val="24"/>
        </w:rPr>
      </w:pPr>
      <w:r w:rsidRPr="007F1E46">
        <w:rPr>
          <w:rFonts w:cs="Arial"/>
          <w:noProof w:val="0"/>
          <w:sz w:val="24"/>
          <w:szCs w:val="24"/>
        </w:rPr>
        <w:t xml:space="preserve">3GPP TSG-RAN WG4 Meeting # 95-e </w:t>
      </w:r>
      <w:r w:rsidRPr="007F1E46">
        <w:rPr>
          <w:rFonts w:cs="Arial"/>
          <w:noProof w:val="0"/>
          <w:sz w:val="24"/>
          <w:szCs w:val="24"/>
        </w:rPr>
        <w:tab/>
      </w:r>
      <w:r>
        <w:rPr>
          <w:rFonts w:cs="Arial"/>
          <w:noProof w:val="0"/>
          <w:sz w:val="24"/>
          <w:szCs w:val="24"/>
        </w:rPr>
        <w:t xml:space="preserve">                             </w:t>
      </w:r>
      <w:r w:rsidR="004B0500" w:rsidRPr="004B0500">
        <w:rPr>
          <w:rFonts w:cs="Arial"/>
          <w:noProof w:val="0"/>
          <w:sz w:val="24"/>
          <w:szCs w:val="24"/>
        </w:rPr>
        <w:t>R4-2007690</w:t>
      </w:r>
      <w:bookmarkStart w:id="0" w:name="_GoBack"/>
      <w:bookmarkEnd w:id="0"/>
    </w:p>
    <w:p w:rsidR="00DF0231" w:rsidRPr="007F1E46" w:rsidRDefault="007F1E46" w:rsidP="007F1E46">
      <w:pPr>
        <w:pStyle w:val="a3"/>
        <w:rPr>
          <w:rFonts w:eastAsia="宋体"/>
          <w:noProof w:val="0"/>
          <w:sz w:val="24"/>
          <w:szCs w:val="24"/>
          <w:lang w:eastAsia="zh-CN"/>
        </w:rPr>
      </w:pPr>
      <w:r w:rsidRPr="007F1E46">
        <w:rPr>
          <w:rFonts w:cs="Arial"/>
          <w:noProof w:val="0"/>
          <w:sz w:val="24"/>
          <w:szCs w:val="24"/>
        </w:rPr>
        <w:t>Electronic Meeting, 25 May – 5 June, 2020</w:t>
      </w: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B10CEC">
        <w:rPr>
          <w:rFonts w:ascii="Arial" w:hAnsi="Arial"/>
          <w:sz w:val="24"/>
          <w:lang w:val="en-US"/>
        </w:rPr>
        <w:t>5.11.3.3</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8E4053" w:rsidRDefault="00DF0231" w:rsidP="00DF0231">
      <w:pPr>
        <w:tabs>
          <w:tab w:val="left" w:pos="1985"/>
        </w:tabs>
        <w:ind w:left="1980" w:hanging="1980"/>
        <w:rPr>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87326D">
        <w:rPr>
          <w:rFonts w:ascii="Arial" w:hAnsi="Arial"/>
          <w:sz w:val="24"/>
          <w:lang w:val="en-US"/>
        </w:rPr>
        <w:t>Discussion o</w:t>
      </w:r>
      <w:r w:rsidR="0087326D" w:rsidRPr="0020033A">
        <w:rPr>
          <w:rFonts w:ascii="Arial" w:hAnsi="Arial"/>
          <w:sz w:val="24"/>
          <w:lang w:val="en-US"/>
        </w:rPr>
        <w:t>n</w:t>
      </w:r>
      <w:r w:rsidR="004F0167">
        <w:rPr>
          <w:rFonts w:ascii="Arial" w:hAnsi="Arial"/>
          <w:sz w:val="24"/>
          <w:lang w:val="en-US"/>
        </w:rPr>
        <w:t xml:space="preserve"> </w:t>
      </w:r>
      <w:r w:rsidR="00B10CEC">
        <w:rPr>
          <w:rFonts w:ascii="Arial" w:hAnsi="Arial"/>
          <w:sz w:val="24"/>
          <w:lang w:val="en-US"/>
        </w:rPr>
        <w:t>filtering of samples between carriers of Rel-16 NB-</w:t>
      </w:r>
      <w:proofErr w:type="spellStart"/>
      <w:r w:rsidR="00B10CEC">
        <w:rPr>
          <w:rFonts w:ascii="Arial" w:hAnsi="Arial"/>
          <w:sz w:val="24"/>
          <w:lang w:val="en-US"/>
        </w:rPr>
        <w:t>IoT</w:t>
      </w:r>
      <w:proofErr w:type="spellEnd"/>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DD38B2" w:rsidRDefault="00DF0231" w:rsidP="00DF0231">
      <w:pPr>
        <w:rPr>
          <w:rFonts w:eastAsiaTheme="minorEastAsia"/>
          <w:lang w:val="en-US" w:eastAsia="zh-CN"/>
        </w:rPr>
      </w:pPr>
      <w:r w:rsidRPr="002D2977">
        <w:rPr>
          <w:rFonts w:eastAsiaTheme="minorEastAsia"/>
          <w:lang w:val="en-US" w:eastAsia="zh-CN"/>
        </w:rPr>
        <w:t xml:space="preserve">In </w:t>
      </w:r>
      <w:r w:rsidR="009F06FB">
        <w:rPr>
          <w:rFonts w:eastAsiaTheme="minorEastAsia"/>
          <w:lang w:val="en-US" w:eastAsia="zh-CN"/>
        </w:rPr>
        <w:t>the</w:t>
      </w:r>
      <w:r w:rsidR="00B10CEC">
        <w:rPr>
          <w:rFonts w:eastAsiaTheme="minorEastAsia"/>
          <w:lang w:val="en-US" w:eastAsia="zh-CN"/>
        </w:rPr>
        <w:t xml:space="preserve"> last RAN4 94-3-bis </w:t>
      </w:r>
      <w:r w:rsidR="008E4053">
        <w:rPr>
          <w:rFonts w:eastAsiaTheme="minorEastAsia"/>
          <w:lang w:val="en-US" w:eastAsia="zh-CN"/>
        </w:rPr>
        <w:t>meeting</w:t>
      </w:r>
      <w:r w:rsidR="009F06FB">
        <w:rPr>
          <w:rFonts w:eastAsiaTheme="minorEastAsia"/>
          <w:lang w:val="en-US" w:eastAsia="zh-CN"/>
        </w:rPr>
        <w:t>s</w:t>
      </w:r>
      <w:r w:rsidRPr="002D2977">
        <w:rPr>
          <w:rFonts w:eastAsiaTheme="minorEastAsia"/>
          <w:lang w:val="en-US" w:eastAsia="zh-CN"/>
        </w:rPr>
        <w:t xml:space="preserve">, </w:t>
      </w:r>
      <w:r w:rsidR="00DD38B2">
        <w:rPr>
          <w:rFonts w:eastAsiaTheme="minorEastAsia"/>
          <w:lang w:val="en-US" w:eastAsia="zh-CN"/>
        </w:rPr>
        <w:t>the RRM</w:t>
      </w:r>
      <w:r w:rsidR="00B10CEC">
        <w:rPr>
          <w:rFonts w:eastAsiaTheme="minorEastAsia"/>
          <w:lang w:val="en-US" w:eastAsia="zh-CN"/>
        </w:rPr>
        <w:t xml:space="preserve"> requirements for Rel-15 NB-</w:t>
      </w:r>
      <w:proofErr w:type="spellStart"/>
      <w:r w:rsidR="00B10CEC">
        <w:rPr>
          <w:rFonts w:eastAsiaTheme="minorEastAsia"/>
          <w:lang w:val="en-US" w:eastAsia="zh-CN"/>
        </w:rPr>
        <w:t>IoT</w:t>
      </w:r>
      <w:proofErr w:type="spellEnd"/>
      <w:r w:rsidR="00B10CEC">
        <w:rPr>
          <w:rFonts w:eastAsiaTheme="minorEastAsia"/>
          <w:lang w:val="en-US" w:eastAsia="zh-CN"/>
        </w:rPr>
        <w:t xml:space="preserve"> were discussed [1].</w:t>
      </w:r>
      <w:r w:rsidR="00AF0E37">
        <w:rPr>
          <w:rFonts w:eastAsiaTheme="minorEastAsia"/>
          <w:lang w:val="en-US" w:eastAsia="zh-CN"/>
        </w:rPr>
        <w:t xml:space="preserve"> </w:t>
      </w:r>
      <w:r w:rsidR="007772B8">
        <w:rPr>
          <w:rFonts w:eastAsiaTheme="minorEastAsia"/>
          <w:lang w:val="en-US" w:eastAsia="zh-CN"/>
        </w:rPr>
        <w:t>We have made some progress on the issue of filtering of samples between anchor and non-anchor carriers. There are still some issues need to be discussed and clarified. We present our views in this paper.</w:t>
      </w:r>
    </w:p>
    <w:p w:rsidR="00DF0231" w:rsidRDefault="00DF0231" w:rsidP="00DF0231">
      <w:pPr>
        <w:pStyle w:val="1"/>
        <w:numPr>
          <w:ilvl w:val="0"/>
          <w:numId w:val="1"/>
        </w:numPr>
        <w:rPr>
          <w:lang w:val="en-US"/>
        </w:rPr>
      </w:pPr>
      <w:r w:rsidRPr="002D2977">
        <w:rPr>
          <w:lang w:val="en-US"/>
        </w:rPr>
        <w:t>Discussion</w:t>
      </w:r>
    </w:p>
    <w:p w:rsidR="0050339C" w:rsidRDefault="00AF0E37" w:rsidP="00FC625D">
      <w:p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w:t>
      </w:r>
      <w:r w:rsidR="007772B8">
        <w:rPr>
          <w:rFonts w:eastAsiaTheme="minorEastAsia"/>
          <w:lang w:val="en-US" w:eastAsia="zh-CN"/>
        </w:rPr>
        <w:t xml:space="preserve">the last </w:t>
      </w:r>
      <w:r>
        <w:rPr>
          <w:rFonts w:eastAsiaTheme="minorEastAsia"/>
          <w:lang w:val="en-US" w:eastAsia="zh-CN"/>
        </w:rPr>
        <w:t xml:space="preserve">RAN4 </w:t>
      </w:r>
      <w:r w:rsidR="007F1E46">
        <w:rPr>
          <w:rFonts w:eastAsiaTheme="minorEastAsia"/>
          <w:lang w:val="en-US" w:eastAsia="zh-CN"/>
        </w:rPr>
        <w:t>94</w:t>
      </w:r>
      <w:r w:rsidR="007F1E46">
        <w:rPr>
          <w:rFonts w:eastAsiaTheme="minorEastAsia" w:hint="eastAsia"/>
          <w:lang w:val="en-US" w:eastAsia="zh-CN"/>
        </w:rPr>
        <w:t>-</w:t>
      </w:r>
      <w:r w:rsidR="007F1E46">
        <w:rPr>
          <w:rFonts w:eastAsiaTheme="minorEastAsia"/>
          <w:lang w:val="en-US" w:eastAsia="zh-CN"/>
        </w:rPr>
        <w:t>e</w:t>
      </w:r>
      <w:r w:rsidR="007F1E46">
        <w:rPr>
          <w:rFonts w:eastAsiaTheme="minorEastAsia" w:hint="eastAsia"/>
          <w:lang w:val="en-US" w:eastAsia="zh-CN"/>
        </w:rPr>
        <w:t>-</w:t>
      </w:r>
      <w:r w:rsidR="007F1E46">
        <w:rPr>
          <w:rFonts w:eastAsiaTheme="minorEastAsia"/>
          <w:lang w:val="en-US" w:eastAsia="zh-CN"/>
        </w:rPr>
        <w:t>bis</w:t>
      </w:r>
      <w:r>
        <w:rPr>
          <w:rFonts w:eastAsiaTheme="minorEastAsia"/>
          <w:lang w:val="en-US" w:eastAsia="zh-CN"/>
        </w:rPr>
        <w:t xml:space="preserve"> meeting</w:t>
      </w:r>
      <w:r w:rsidR="009F06FB">
        <w:rPr>
          <w:rFonts w:eastAsiaTheme="minorEastAsia"/>
          <w:lang w:val="en-US" w:eastAsia="zh-CN"/>
        </w:rPr>
        <w:t>s</w:t>
      </w:r>
      <w:r>
        <w:rPr>
          <w:rFonts w:eastAsiaTheme="minorEastAsia"/>
          <w:lang w:val="en-US" w:eastAsia="zh-CN"/>
        </w:rPr>
        <w:t xml:space="preserve">, </w:t>
      </w:r>
      <w:r w:rsidR="007772B8">
        <w:rPr>
          <w:rFonts w:eastAsiaTheme="minorEastAsia"/>
          <w:lang w:val="en-US" w:eastAsia="zh-CN"/>
        </w:rPr>
        <w:t xml:space="preserve">the agreements about </w:t>
      </w:r>
      <w:r w:rsidR="007772B8">
        <w:rPr>
          <w:rFonts w:eastAsiaTheme="minorEastAsia"/>
          <w:lang w:eastAsia="zh-CN"/>
        </w:rPr>
        <w:t>f</w:t>
      </w:r>
      <w:r w:rsidR="007772B8" w:rsidRPr="007772B8">
        <w:rPr>
          <w:rFonts w:eastAsiaTheme="minorEastAsia"/>
          <w:lang w:eastAsia="zh-CN"/>
        </w:rPr>
        <w:t>iltering and combination of samples between anchor carrier and non-anchor carriers</w:t>
      </w:r>
      <w:r w:rsidR="007772B8">
        <w:rPr>
          <w:rFonts w:eastAsiaTheme="minorEastAsia"/>
          <w:lang w:val="en-US" w:eastAsia="zh-CN"/>
        </w:rPr>
        <w:t xml:space="preserve"> are as follows:</w:t>
      </w:r>
    </w:p>
    <w:tbl>
      <w:tblPr>
        <w:tblStyle w:val="a7"/>
        <w:tblW w:w="0" w:type="auto"/>
        <w:tblLook w:val="04A0" w:firstRow="1" w:lastRow="0" w:firstColumn="1" w:lastColumn="0" w:noHBand="0" w:noVBand="1"/>
      </w:tblPr>
      <w:tblGrid>
        <w:gridCol w:w="9562"/>
      </w:tblGrid>
      <w:tr w:rsidR="007F1E46" w:rsidTr="007F1E46">
        <w:tc>
          <w:tcPr>
            <w:tcW w:w="9562" w:type="dxa"/>
          </w:tcPr>
          <w:p w:rsidR="007772B8" w:rsidRPr="007772B8" w:rsidRDefault="007772B8" w:rsidP="007772B8">
            <w:pPr>
              <w:spacing w:after="120"/>
              <w:ind w:leftChars="26" w:left="52"/>
              <w:rPr>
                <w:rFonts w:eastAsiaTheme="minorEastAsia"/>
                <w:lang w:eastAsia="zh-CN"/>
              </w:rPr>
            </w:pPr>
            <w:r w:rsidRPr="007772B8">
              <w:rPr>
                <w:rFonts w:eastAsiaTheme="minorEastAsia"/>
                <w:lang w:eastAsia="zh-CN"/>
              </w:rPr>
              <w:t xml:space="preserve">The issue will be discussed in RAN4-95e based on the option 2b, which is </w:t>
            </w:r>
          </w:p>
          <w:p w:rsidR="007772B8" w:rsidRPr="007772B8" w:rsidRDefault="007772B8" w:rsidP="007772B8">
            <w:pPr>
              <w:pStyle w:val="a6"/>
              <w:numPr>
                <w:ilvl w:val="0"/>
                <w:numId w:val="19"/>
              </w:numPr>
              <w:spacing w:after="120"/>
              <w:ind w:firstLineChars="0"/>
              <w:rPr>
                <w:rFonts w:eastAsiaTheme="minorEastAsia"/>
                <w:lang w:eastAsia="zh-CN"/>
              </w:rPr>
            </w:pPr>
            <w:r w:rsidRPr="007772B8">
              <w:rPr>
                <w:rFonts w:eastAsiaTheme="minorEastAsia"/>
                <w:lang w:eastAsia="zh-CN"/>
              </w:rPr>
              <w:t xml:space="preserve">NRSRP measurements on non-anchor carrier can be filtered or combined with NRSRP measurement on anchor carrier after translating the non-anchor carrier measurement with parameter </w:t>
            </w:r>
            <w:proofErr w:type="spellStart"/>
            <w:r w:rsidRPr="007772B8">
              <w:rPr>
                <w:rFonts w:eastAsiaTheme="minorEastAsia"/>
                <w:lang w:eastAsia="zh-CN"/>
              </w:rPr>
              <w:t>nrs-PowerOffsetNonAnchor</w:t>
            </w:r>
            <w:proofErr w:type="spellEnd"/>
            <w:r w:rsidRPr="007772B8">
              <w:rPr>
                <w:rFonts w:eastAsiaTheme="minorEastAsia"/>
                <w:lang w:eastAsia="zh-CN"/>
              </w:rPr>
              <w:t xml:space="preserve"> without any conditions or prerequisites, provided that the UE is in enhanced coverage (SINR &lt; -6 dB).</w:t>
            </w:r>
          </w:p>
          <w:p w:rsidR="007772B8" w:rsidRPr="007772B8" w:rsidRDefault="007772B8" w:rsidP="007772B8">
            <w:pPr>
              <w:pStyle w:val="a6"/>
              <w:numPr>
                <w:ilvl w:val="0"/>
                <w:numId w:val="19"/>
              </w:numPr>
              <w:spacing w:after="120"/>
              <w:ind w:firstLineChars="0"/>
              <w:rPr>
                <w:rFonts w:eastAsiaTheme="minorEastAsia"/>
                <w:lang w:eastAsia="zh-CN"/>
              </w:rPr>
            </w:pPr>
            <w:r w:rsidRPr="007772B8">
              <w:rPr>
                <w:rFonts w:eastAsiaTheme="minorEastAsia"/>
                <w:lang w:eastAsia="zh-CN"/>
              </w:rPr>
              <w:t xml:space="preserve">NRSRP measurements on non-anchor carrier can be filtered or combined with NRSRP measurement on anchor carrier after translating the non-anchor carrier measurement with parameter </w:t>
            </w:r>
            <w:proofErr w:type="spellStart"/>
            <w:r w:rsidRPr="007772B8">
              <w:rPr>
                <w:rFonts w:eastAsiaTheme="minorEastAsia"/>
                <w:lang w:eastAsia="zh-CN"/>
              </w:rPr>
              <w:t>nrs-PowerOffsetNonAnchor</w:t>
            </w:r>
            <w:proofErr w:type="spellEnd"/>
            <w:r w:rsidRPr="007772B8">
              <w:rPr>
                <w:rFonts w:eastAsiaTheme="minorEastAsia"/>
                <w:lang w:eastAsia="zh-CN"/>
              </w:rPr>
              <w:t>, provided that</w:t>
            </w:r>
          </w:p>
          <w:p w:rsidR="007772B8" w:rsidRPr="007772B8" w:rsidRDefault="007772B8" w:rsidP="007772B8">
            <w:pPr>
              <w:pStyle w:val="a6"/>
              <w:numPr>
                <w:ilvl w:val="1"/>
                <w:numId w:val="19"/>
              </w:numPr>
              <w:spacing w:after="120"/>
              <w:ind w:firstLineChars="0"/>
              <w:rPr>
                <w:rFonts w:eastAsiaTheme="minorEastAsia"/>
                <w:lang w:eastAsia="zh-CN"/>
              </w:rPr>
            </w:pPr>
            <w:r w:rsidRPr="007772B8">
              <w:rPr>
                <w:rFonts w:eastAsiaTheme="minorEastAsia"/>
                <w:lang w:eastAsia="zh-CN"/>
              </w:rPr>
              <w:t xml:space="preserve">the UE is in normal coverage (SINR </w:t>
            </w:r>
            <w:r w:rsidRPr="007772B8">
              <w:rPr>
                <w:rFonts w:eastAsiaTheme="minorEastAsia" w:hint="eastAsia"/>
                <w:lang w:eastAsia="zh-CN"/>
              </w:rPr>
              <w:t>≥</w:t>
            </w:r>
            <w:r w:rsidRPr="007772B8">
              <w:rPr>
                <w:rFonts w:eastAsiaTheme="minorEastAsia"/>
                <w:lang w:eastAsia="zh-CN"/>
              </w:rPr>
              <w:t xml:space="preserve"> -6 dB) and </w:t>
            </w:r>
          </w:p>
          <w:p w:rsidR="007772B8" w:rsidRPr="007772B8" w:rsidRDefault="007772B8" w:rsidP="007772B8">
            <w:pPr>
              <w:pStyle w:val="a6"/>
              <w:numPr>
                <w:ilvl w:val="1"/>
                <w:numId w:val="19"/>
              </w:numPr>
              <w:spacing w:after="120"/>
              <w:ind w:firstLineChars="0"/>
              <w:rPr>
                <w:rFonts w:eastAsiaTheme="minorEastAsia"/>
                <w:lang w:eastAsia="zh-CN"/>
              </w:rPr>
            </w:pPr>
            <w:r w:rsidRPr="007772B8">
              <w:rPr>
                <w:rFonts w:eastAsiaTheme="minorEastAsia"/>
                <w:lang w:eastAsia="zh-CN"/>
              </w:rPr>
              <w:t xml:space="preserve">the comparison of NRSRP samples between anchor and non-anchor carrier, taken during the same measurement period and accounting for the signal power offset, yields a difference within a margin M (FFS if a fixed predefined value or a value </w:t>
            </w:r>
            <w:proofErr w:type="spellStart"/>
            <w:r w:rsidRPr="007772B8">
              <w:rPr>
                <w:rFonts w:eastAsiaTheme="minorEastAsia"/>
                <w:lang w:eastAsia="zh-CN"/>
              </w:rPr>
              <w:t>signaled</w:t>
            </w:r>
            <w:proofErr w:type="spellEnd"/>
            <w:r w:rsidRPr="007772B8">
              <w:rPr>
                <w:rFonts w:eastAsiaTheme="minorEastAsia"/>
                <w:lang w:eastAsia="zh-CN"/>
              </w:rPr>
              <w:t xml:space="preserve"> by the network should be applied).</w:t>
            </w:r>
          </w:p>
          <w:p w:rsidR="007F1E46" w:rsidRPr="007772B8" w:rsidRDefault="007F1E46" w:rsidP="006A7217">
            <w:pPr>
              <w:overflowPunct w:val="0"/>
              <w:autoSpaceDE w:val="0"/>
              <w:autoSpaceDN w:val="0"/>
              <w:adjustRightInd w:val="0"/>
              <w:textAlignment w:val="baseline"/>
              <w:rPr>
                <w:rFonts w:eastAsiaTheme="minorEastAsia"/>
                <w:lang w:eastAsia="zh-CN"/>
              </w:rPr>
            </w:pPr>
          </w:p>
        </w:tc>
      </w:tr>
    </w:tbl>
    <w:p w:rsidR="007F1E46" w:rsidRDefault="007F1E46" w:rsidP="00FC625D">
      <w:pPr>
        <w:overflowPunct w:val="0"/>
        <w:autoSpaceDE w:val="0"/>
        <w:autoSpaceDN w:val="0"/>
        <w:adjustRightInd w:val="0"/>
        <w:textAlignment w:val="baseline"/>
        <w:rPr>
          <w:rFonts w:eastAsiaTheme="minorEastAsia"/>
          <w:lang w:val="en-US" w:eastAsia="zh-CN"/>
        </w:rPr>
      </w:pPr>
    </w:p>
    <w:p w:rsidR="001F2AE4" w:rsidRDefault="00CE176A" w:rsidP="001F2AE4">
      <w:pPr>
        <w:rPr>
          <w:rFonts w:eastAsiaTheme="minorEastAsia"/>
          <w:lang w:eastAsia="zh-CN"/>
        </w:rPr>
      </w:pPr>
      <w:r>
        <w:rPr>
          <w:rFonts w:eastAsiaTheme="minorEastAsia" w:hint="eastAsia"/>
          <w:lang w:eastAsia="zh-CN"/>
        </w:rPr>
        <w:t>A</w:t>
      </w:r>
      <w:r>
        <w:rPr>
          <w:rFonts w:eastAsiaTheme="minorEastAsia"/>
          <w:lang w:eastAsia="zh-CN"/>
        </w:rPr>
        <w:t>s discussed in the previous meeting, option 2b is an acceptable method with some necessary clarifications. Firstly, as mentioned in option 2b, there is no prerequisite or condition for UE in enhanced coverage when filtering the measurement between anchor and non-anchor carriers.</w:t>
      </w:r>
    </w:p>
    <w:p w:rsidR="00CE176A" w:rsidRPr="00AC01E6" w:rsidRDefault="00CE176A" w:rsidP="001F2AE4">
      <w:pPr>
        <w:rPr>
          <w:rFonts w:eastAsiaTheme="minorEastAsia"/>
          <w:b/>
          <w:lang w:eastAsia="zh-CN"/>
        </w:rPr>
      </w:pPr>
      <w:r w:rsidRPr="00AC01E6">
        <w:rPr>
          <w:rFonts w:eastAsiaTheme="minorEastAsia"/>
          <w:b/>
          <w:lang w:eastAsia="zh-CN"/>
        </w:rPr>
        <w:t>Proposal 1: There is no prerequisite or condition for UE in enhanced coverage when filtering the measurement between anchor and non-anchor carriers.</w:t>
      </w:r>
    </w:p>
    <w:p w:rsidR="00CE176A" w:rsidRDefault="00AC01E6" w:rsidP="001F2AE4">
      <w:pPr>
        <w:rPr>
          <w:rFonts w:cs="Arial"/>
        </w:rPr>
      </w:pPr>
      <w:r>
        <w:rPr>
          <w:rFonts w:eastAsiaTheme="minorEastAsia" w:hint="eastAsia"/>
          <w:lang w:eastAsia="zh-CN"/>
        </w:rPr>
        <w:t>F</w:t>
      </w:r>
      <w:r>
        <w:rPr>
          <w:rFonts w:eastAsiaTheme="minorEastAsia"/>
          <w:lang w:eastAsia="zh-CN"/>
        </w:rPr>
        <w:t>or UE in normal coverage, a threshold shall be introduced. As analysed in the last RAN4 meeting, considering the accuracy requirements for NB-</w:t>
      </w:r>
      <w:proofErr w:type="spellStart"/>
      <w:r>
        <w:rPr>
          <w:rFonts w:eastAsiaTheme="minorEastAsia"/>
          <w:lang w:eastAsia="zh-CN"/>
        </w:rPr>
        <w:t>IoT</w:t>
      </w:r>
      <w:proofErr w:type="spellEnd"/>
      <w:r>
        <w:rPr>
          <w:rFonts w:eastAsiaTheme="minorEastAsia"/>
          <w:lang w:eastAsia="zh-CN"/>
        </w:rPr>
        <w:t xml:space="preserve"> defined in clause 9.1.22 in TS 36.133 [2], the accuracy requirements for normal coverage is </w:t>
      </w:r>
      <w:r w:rsidRPr="0089796C">
        <w:rPr>
          <w:rFonts w:cs="Arial"/>
        </w:rPr>
        <w:sym w:font="Symbol" w:char="F0B1"/>
      </w:r>
      <w:r w:rsidRPr="0089796C">
        <w:rPr>
          <w:rFonts w:cs="Arial"/>
        </w:rPr>
        <w:t>6</w:t>
      </w:r>
      <w:r>
        <w:rPr>
          <w:rFonts w:cs="Arial"/>
        </w:rPr>
        <w:t xml:space="preserve"> dB, thus the threshold makes sense provided that it is larger than 12 </w:t>
      </w:r>
      <w:proofErr w:type="spellStart"/>
      <w:r>
        <w:rPr>
          <w:rFonts w:cs="Arial"/>
        </w:rPr>
        <w:t>dB.</w:t>
      </w:r>
      <w:proofErr w:type="spellEnd"/>
      <w:r>
        <w:rPr>
          <w:rFonts w:cs="Arial"/>
        </w:rPr>
        <w:t xml:space="preserve"> Therefore, we propose that the threshold for comparison between anchor carrier and non-anchor carrier in normal coverage is 18 dB, which is a predefined value in TS 36.133.</w:t>
      </w:r>
    </w:p>
    <w:p w:rsidR="00AC01E6" w:rsidRPr="00AC01E6" w:rsidRDefault="00AC01E6" w:rsidP="001F2AE4">
      <w:pPr>
        <w:rPr>
          <w:rFonts w:cs="Arial"/>
          <w:b/>
        </w:rPr>
      </w:pPr>
      <w:r w:rsidRPr="00AC01E6">
        <w:rPr>
          <w:rFonts w:cs="Arial"/>
          <w:b/>
        </w:rPr>
        <w:t>Proposal 2: The threshold for comparison between anchor carrier and non-anchor carrier in normal coverage is 18 dB, which is a predefined value in TS 36.133.</w:t>
      </w:r>
    </w:p>
    <w:p w:rsidR="007A4804" w:rsidRDefault="000B300F" w:rsidP="001F2AE4">
      <w:pPr>
        <w:rPr>
          <w:rFonts w:eastAsiaTheme="minorEastAsia" w:cs="Arial"/>
          <w:lang w:eastAsia="zh-CN"/>
        </w:rPr>
      </w:pPr>
      <w:r>
        <w:rPr>
          <w:rFonts w:eastAsiaTheme="minorEastAsia" w:cs="Arial"/>
          <w:lang w:eastAsia="zh-CN"/>
        </w:rPr>
        <w:t>In addition to</w:t>
      </w:r>
      <w:r w:rsidR="00AC01E6">
        <w:rPr>
          <w:rFonts w:eastAsiaTheme="minorEastAsia" w:cs="Arial"/>
          <w:lang w:eastAsia="zh-CN"/>
        </w:rPr>
        <w:t xml:space="preserve"> the value and the indication method of the threshold for comparison, there are some UE behaviours shall be clarified and defined. </w:t>
      </w:r>
      <w:r w:rsidR="007A4804">
        <w:rPr>
          <w:rFonts w:eastAsiaTheme="minorEastAsia" w:cs="Arial"/>
          <w:lang w:eastAsia="zh-CN"/>
        </w:rPr>
        <w:t xml:space="preserve">As agreed to introduce the threshold for comparison, the accuracy and reliability shall be guaranteed. Thus, the measurement results for comparison shall be from anchor and non-anchor carrier within the same </w:t>
      </w:r>
      <w:r w:rsidR="007A4804">
        <w:rPr>
          <w:rFonts w:eastAsiaTheme="minorEastAsia" w:cs="Arial"/>
          <w:lang w:eastAsia="zh-CN"/>
        </w:rPr>
        <w:lastRenderedPageBreak/>
        <w:t xml:space="preserve">DRX cycles, which means in same DRX cycles, UE shall perform measurement on both anchor carrier and non-anchor carrier within the same DRX cycles. </w:t>
      </w:r>
    </w:p>
    <w:p w:rsidR="00E435B5" w:rsidRPr="00E435B5" w:rsidRDefault="007A4804" w:rsidP="00E435B5">
      <w:pPr>
        <w:rPr>
          <w:rFonts w:eastAsiaTheme="minorEastAsia" w:cs="Arial"/>
          <w:b/>
          <w:lang w:eastAsia="zh-CN"/>
        </w:rPr>
      </w:pPr>
      <w:r w:rsidRPr="00E435B5">
        <w:rPr>
          <w:rFonts w:eastAsiaTheme="minorEastAsia" w:cs="Arial"/>
          <w:b/>
          <w:lang w:eastAsia="zh-CN"/>
        </w:rPr>
        <w:t xml:space="preserve">Proposal 3: </w:t>
      </w:r>
      <w:r w:rsidR="00E435B5" w:rsidRPr="00E435B5">
        <w:rPr>
          <w:rFonts w:eastAsiaTheme="minorEastAsia" w:cs="Arial"/>
          <w:b/>
          <w:lang w:eastAsia="zh-CN"/>
        </w:rPr>
        <w:t xml:space="preserve">The measurement results for comparison shall be from anchor and non-anchor carrier within the same DRX cycles, which means in same DRX cycles, UE shall perform measurement on both anchor carrier and non-anchor carrier within in the same DRX cycles. </w:t>
      </w:r>
    </w:p>
    <w:p w:rsidR="007A4804" w:rsidRDefault="00E435B5" w:rsidP="001F2AE4">
      <w:pPr>
        <w:rPr>
          <w:rFonts w:eastAsiaTheme="minorEastAsia" w:cs="Arial"/>
          <w:lang w:eastAsia="zh-CN"/>
        </w:rPr>
      </w:pPr>
      <w:r>
        <w:rPr>
          <w:rFonts w:eastAsiaTheme="minorEastAsia" w:cs="Arial" w:hint="eastAsia"/>
          <w:lang w:eastAsia="zh-CN"/>
        </w:rPr>
        <w:t>B</w:t>
      </w:r>
      <w:r>
        <w:rPr>
          <w:rFonts w:eastAsiaTheme="minorEastAsia" w:cs="Arial"/>
          <w:lang w:eastAsia="zh-CN"/>
        </w:rPr>
        <w:t>ased on proposal 3, it is obvious that UE shall perform the measurement on both carrier in a much lower frequency. For example</w:t>
      </w:r>
      <w:r w:rsidR="00C65636">
        <w:rPr>
          <w:rFonts w:eastAsiaTheme="minorEastAsia" w:cs="Arial"/>
          <w:lang w:eastAsia="zh-CN"/>
        </w:rPr>
        <w:t xml:space="preserve"> as shown in Fig.1,</w:t>
      </w:r>
      <w:r>
        <w:rPr>
          <w:rFonts w:eastAsiaTheme="minorEastAsia" w:cs="Arial"/>
          <w:lang w:eastAsia="zh-CN"/>
        </w:rPr>
        <w:t xml:space="preserve"> UE is required to perform measurement on non-anchor carrier every DRX cycles, and in addition, UE shall perform measurement on anchor carrier at least every M DRX cycles, where M is FFS.</w:t>
      </w:r>
    </w:p>
    <w:p w:rsidR="00C65636" w:rsidRDefault="00C65636" w:rsidP="00C65636">
      <w:pPr>
        <w:jc w:val="center"/>
        <w:rPr>
          <w:rFonts w:eastAsiaTheme="minorEastAsia" w:cs="Arial"/>
          <w:lang w:eastAsia="zh-CN"/>
        </w:rPr>
      </w:pPr>
      <w:r>
        <w:rPr>
          <w:noProof/>
          <w:lang w:val="en-US" w:eastAsia="zh-CN"/>
        </w:rPr>
        <w:drawing>
          <wp:inline distT="0" distB="0" distL="0" distR="0" wp14:anchorId="5CDFB95C" wp14:editId="389BCCEA">
            <wp:extent cx="3554522" cy="1797685"/>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567996" cy="1804499"/>
                    </a:xfrm>
                    <a:prstGeom prst="rect">
                      <a:avLst/>
                    </a:prstGeom>
                  </pic:spPr>
                </pic:pic>
              </a:graphicData>
            </a:graphic>
          </wp:inline>
        </w:drawing>
      </w:r>
    </w:p>
    <w:p w:rsidR="00C65636" w:rsidRDefault="00C65636" w:rsidP="00C65636">
      <w:pPr>
        <w:jc w:val="center"/>
        <w:rPr>
          <w:rFonts w:eastAsiaTheme="minorEastAsia" w:cs="Arial"/>
          <w:lang w:eastAsia="zh-CN"/>
        </w:rPr>
      </w:pPr>
      <w:r>
        <w:rPr>
          <w:rFonts w:eastAsiaTheme="minorEastAsia" w:cs="Arial" w:hint="eastAsia"/>
          <w:lang w:eastAsia="zh-CN"/>
        </w:rPr>
        <w:t>F</w:t>
      </w:r>
      <w:r>
        <w:rPr>
          <w:rFonts w:eastAsiaTheme="minorEastAsia" w:cs="Arial"/>
          <w:lang w:eastAsia="zh-CN"/>
        </w:rPr>
        <w:t>ig. 1</w:t>
      </w:r>
    </w:p>
    <w:p w:rsidR="007A4804" w:rsidRPr="00E435B5" w:rsidRDefault="00E435B5" w:rsidP="001F2AE4">
      <w:pPr>
        <w:rPr>
          <w:rFonts w:eastAsiaTheme="minorEastAsia" w:cs="Arial"/>
          <w:b/>
          <w:lang w:eastAsia="zh-CN"/>
        </w:rPr>
      </w:pPr>
      <w:r w:rsidRPr="00E435B5">
        <w:rPr>
          <w:rFonts w:eastAsiaTheme="minorEastAsia" w:cs="Arial"/>
          <w:b/>
          <w:lang w:eastAsia="zh-CN"/>
        </w:rPr>
        <w:t>Proposal 4: UE shall perform measurement on anchor carrier at least every M DRX cycles, where M is FFS</w:t>
      </w:r>
      <w:r>
        <w:rPr>
          <w:rFonts w:eastAsiaTheme="minorEastAsia" w:cs="Arial"/>
          <w:b/>
          <w:lang w:eastAsia="zh-CN"/>
        </w:rPr>
        <w:t>.</w:t>
      </w:r>
    </w:p>
    <w:p w:rsidR="00A74208" w:rsidRDefault="00654DC9" w:rsidP="001F2AE4">
      <w:pPr>
        <w:rPr>
          <w:rFonts w:eastAsiaTheme="minorEastAsia" w:cs="Arial"/>
          <w:lang w:eastAsia="zh-CN"/>
        </w:rPr>
      </w:pPr>
      <w:r>
        <w:rPr>
          <w:rFonts w:eastAsiaTheme="minorEastAsia" w:cs="Arial"/>
          <w:lang w:eastAsia="zh-CN"/>
        </w:rPr>
        <w:t xml:space="preserve">If </w:t>
      </w:r>
      <w:r w:rsidR="00A74208">
        <w:rPr>
          <w:rFonts w:eastAsiaTheme="minorEastAsia" w:cs="Arial"/>
          <w:lang w:eastAsia="zh-CN"/>
        </w:rPr>
        <w:t xml:space="preserve">the difference between NRSRP 1 and </w:t>
      </w:r>
      <w:r>
        <w:rPr>
          <w:rFonts w:eastAsiaTheme="minorEastAsia" w:cs="Arial"/>
          <w:lang w:eastAsia="zh-CN"/>
        </w:rPr>
        <w:t xml:space="preserve">NRSRP2 </w:t>
      </w:r>
      <w:r w:rsidR="00A74208">
        <w:rPr>
          <w:rFonts w:eastAsiaTheme="minorEastAsia" w:cs="Arial"/>
          <w:lang w:eastAsia="zh-CN"/>
        </w:rPr>
        <w:t>(translated by</w:t>
      </w:r>
      <w:r w:rsidR="00A74208" w:rsidRPr="00A74208">
        <w:rPr>
          <w:rFonts w:eastAsiaTheme="minorEastAsia"/>
          <w:lang w:eastAsia="zh-CN"/>
        </w:rPr>
        <w:t xml:space="preserve"> </w:t>
      </w:r>
      <w:proofErr w:type="spellStart"/>
      <w:r w:rsidR="00A74208" w:rsidRPr="007772B8">
        <w:rPr>
          <w:rFonts w:eastAsiaTheme="minorEastAsia"/>
          <w:lang w:eastAsia="zh-CN"/>
        </w:rPr>
        <w:t>nrs-PowerOffsetNonAnchor</w:t>
      </w:r>
      <w:proofErr w:type="spellEnd"/>
      <w:r w:rsidR="00A74208">
        <w:rPr>
          <w:rFonts w:eastAsiaTheme="minorEastAsia" w:cs="Arial"/>
          <w:lang w:eastAsia="zh-CN"/>
        </w:rPr>
        <w:t>) is larger than the defined threshold, the subsequent behaviour need to be clarified. There are two intuitive option</w:t>
      </w:r>
      <w:r w:rsidR="00EB7CE0">
        <w:rPr>
          <w:rFonts w:eastAsiaTheme="minorEastAsia" w:cs="Arial"/>
          <w:lang w:eastAsia="zh-CN"/>
        </w:rPr>
        <w:t>s</w:t>
      </w:r>
      <w:r w:rsidR="00A74208">
        <w:rPr>
          <w:rFonts w:eastAsiaTheme="minorEastAsia" w:cs="Arial"/>
          <w:lang w:eastAsia="zh-CN"/>
        </w:rPr>
        <w:t xml:space="preserve"> for UE here: 1) UE is not allowed to perform measurement on non-anchor carrier. 2) Abandon the NRSRP1 and filtering the samples only from non-anchor carrier. For the option1, it</w:t>
      </w:r>
      <w:r w:rsidR="000B300F">
        <w:rPr>
          <w:rFonts w:eastAsiaTheme="minorEastAsia" w:cs="Arial"/>
          <w:lang w:eastAsia="zh-CN"/>
        </w:rPr>
        <w:t xml:space="preserve"> is</w:t>
      </w:r>
      <w:r w:rsidR="00A74208">
        <w:rPr>
          <w:rFonts w:eastAsiaTheme="minorEastAsia" w:cs="Arial"/>
          <w:lang w:eastAsia="zh-CN"/>
        </w:rPr>
        <w:t xml:space="preserve"> unfair to disable the non-anchor carrier measurement only based on the single-shot comparison which could contains huge error due to small scale fading. </w:t>
      </w:r>
      <w:r w:rsidR="00A3518C">
        <w:rPr>
          <w:rFonts w:eastAsiaTheme="minorEastAsia" w:cs="Arial"/>
          <w:lang w:eastAsia="zh-CN"/>
        </w:rPr>
        <w:t xml:space="preserve">For option 2, if there is indeed significant difference between carriers, the issue is not fixed by only abandoning the sample from anchor carriers. </w:t>
      </w:r>
    </w:p>
    <w:p w:rsidR="00C9646E" w:rsidRDefault="00A3518C" w:rsidP="001F2AE4">
      <w:pPr>
        <w:rPr>
          <w:rFonts w:eastAsiaTheme="minorEastAsia" w:cs="Arial"/>
          <w:b/>
          <w:lang w:eastAsia="zh-CN"/>
        </w:rPr>
      </w:pPr>
      <w:r w:rsidRPr="00D12EA8">
        <w:rPr>
          <w:rFonts w:eastAsiaTheme="minorEastAsia" w:cs="Arial"/>
          <w:b/>
          <w:lang w:eastAsia="zh-CN"/>
        </w:rPr>
        <w:t>Observation</w:t>
      </w:r>
      <w:r w:rsidR="00D12EA8">
        <w:rPr>
          <w:rFonts w:eastAsiaTheme="minorEastAsia" w:cs="Arial"/>
          <w:b/>
          <w:lang w:eastAsia="zh-CN"/>
        </w:rPr>
        <w:t xml:space="preserve"> 1</w:t>
      </w:r>
      <w:r w:rsidRPr="00D12EA8">
        <w:rPr>
          <w:rFonts w:eastAsiaTheme="minorEastAsia" w:cs="Arial"/>
          <w:b/>
          <w:lang w:eastAsia="zh-CN"/>
        </w:rPr>
        <w:t>: The decision (i.e. disabling the NRSRP measurement on non-anchor carrier) shall not be ma</w:t>
      </w:r>
      <w:r w:rsidR="004F628B">
        <w:rPr>
          <w:rFonts w:eastAsiaTheme="minorEastAsia" w:cs="Arial" w:hint="eastAsia"/>
          <w:b/>
          <w:lang w:eastAsia="zh-CN"/>
        </w:rPr>
        <w:t>de</w:t>
      </w:r>
      <w:r w:rsidRPr="00D12EA8">
        <w:rPr>
          <w:rFonts w:eastAsiaTheme="minorEastAsia" w:cs="Arial"/>
          <w:b/>
          <w:lang w:eastAsia="zh-CN"/>
        </w:rPr>
        <w:t xml:space="preserve"> only based on one single-</w:t>
      </w:r>
      <w:r w:rsidR="004F628B">
        <w:rPr>
          <w:rFonts w:eastAsiaTheme="minorEastAsia" w:cs="Arial"/>
          <w:b/>
          <w:lang w:eastAsia="zh-CN"/>
        </w:rPr>
        <w:t>s</w:t>
      </w:r>
      <w:r w:rsidRPr="00D12EA8">
        <w:rPr>
          <w:rFonts w:eastAsiaTheme="minorEastAsia" w:cs="Arial"/>
          <w:b/>
          <w:lang w:eastAsia="zh-CN"/>
        </w:rPr>
        <w:t>hot comparison between samples from anchor and non-anchor carriers.</w:t>
      </w:r>
    </w:p>
    <w:p w:rsidR="003F6E35" w:rsidRDefault="00E435B5" w:rsidP="001F2AE4">
      <w:pPr>
        <w:rPr>
          <w:rFonts w:eastAsiaTheme="minorEastAsia" w:cs="Arial"/>
          <w:lang w:eastAsia="zh-CN"/>
        </w:rPr>
      </w:pPr>
      <w:r>
        <w:rPr>
          <w:rFonts w:eastAsiaTheme="minorEastAsia" w:cs="Arial"/>
          <w:lang w:eastAsia="zh-CN"/>
        </w:rPr>
        <w:t>Based on observation 1 and proposal 4. Within the DRX where UE perform measurement on both carriers, if the difference is larger than the threshold, the measurement on non-anchor carrier is regarded as unavailable</w:t>
      </w:r>
      <w:r w:rsidR="00C65636">
        <w:rPr>
          <w:rFonts w:eastAsiaTheme="minorEastAsia" w:cs="Arial"/>
          <w:lang w:eastAsia="zh-CN"/>
        </w:rPr>
        <w:t>, and in the next DRX cycle, UE shall also perform measurement on anchor and non-anchor carrier for more reliable comparison. Only after K consecutive times that the measurement on non-anchor carrier is regarded as unavailable that UE shall only perform measurement on anchor carrier for a certain period of time</w:t>
      </w:r>
      <w:r w:rsidR="003F6E35">
        <w:rPr>
          <w:rFonts w:eastAsiaTheme="minorEastAsia" w:cs="Arial"/>
          <w:lang w:eastAsia="zh-CN"/>
        </w:rPr>
        <w:t>, as shown in the example in Fig. 2</w:t>
      </w:r>
      <w:r w:rsidR="00C65636">
        <w:rPr>
          <w:rFonts w:eastAsiaTheme="minorEastAsia" w:cs="Arial"/>
          <w:lang w:eastAsia="zh-CN"/>
        </w:rPr>
        <w:t>.</w:t>
      </w:r>
    </w:p>
    <w:p w:rsidR="00E435B5" w:rsidRDefault="003F6E35" w:rsidP="003F6E35">
      <w:pPr>
        <w:jc w:val="center"/>
        <w:rPr>
          <w:rFonts w:eastAsiaTheme="minorEastAsia" w:cs="Arial"/>
          <w:lang w:eastAsia="zh-CN"/>
        </w:rPr>
      </w:pPr>
      <w:r>
        <w:rPr>
          <w:noProof/>
          <w:lang w:val="en-US" w:eastAsia="zh-CN"/>
        </w:rPr>
        <w:drawing>
          <wp:inline distT="0" distB="0" distL="0" distR="0" wp14:anchorId="36ABBE3E" wp14:editId="54ABBB45">
            <wp:extent cx="3411220" cy="14333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427229" cy="1440067"/>
                    </a:xfrm>
                    <a:prstGeom prst="rect">
                      <a:avLst/>
                    </a:prstGeom>
                  </pic:spPr>
                </pic:pic>
              </a:graphicData>
            </a:graphic>
          </wp:inline>
        </w:drawing>
      </w:r>
    </w:p>
    <w:p w:rsidR="003F6E35" w:rsidRDefault="003F6E35" w:rsidP="003F6E35">
      <w:pPr>
        <w:jc w:val="center"/>
        <w:rPr>
          <w:rFonts w:eastAsiaTheme="minorEastAsia" w:cs="Arial"/>
          <w:lang w:eastAsia="zh-CN"/>
        </w:rPr>
      </w:pPr>
      <w:r>
        <w:rPr>
          <w:rFonts w:eastAsiaTheme="minorEastAsia" w:cs="Arial"/>
          <w:lang w:eastAsia="zh-CN"/>
        </w:rPr>
        <w:t>Fig. 2</w:t>
      </w:r>
    </w:p>
    <w:p w:rsidR="00F6683C" w:rsidRPr="00F6683C" w:rsidRDefault="00F6683C" w:rsidP="00F6683C">
      <w:pPr>
        <w:rPr>
          <w:rFonts w:eastAsiaTheme="minorEastAsia" w:cs="Arial"/>
          <w:b/>
          <w:lang w:eastAsia="zh-CN"/>
        </w:rPr>
      </w:pPr>
      <w:r w:rsidRPr="00F6683C">
        <w:rPr>
          <w:rFonts w:eastAsiaTheme="minorEastAsia" w:cs="Arial"/>
          <w:b/>
          <w:lang w:eastAsia="zh-CN"/>
        </w:rPr>
        <w:t xml:space="preserve">Proposal </w:t>
      </w:r>
      <w:r w:rsidR="00C65636">
        <w:rPr>
          <w:rFonts w:eastAsiaTheme="minorEastAsia" w:cs="Arial"/>
          <w:b/>
          <w:lang w:eastAsia="zh-CN"/>
        </w:rPr>
        <w:t>5</w:t>
      </w:r>
      <w:r w:rsidRPr="00F6683C">
        <w:rPr>
          <w:rFonts w:eastAsiaTheme="minorEastAsia" w:cs="Arial"/>
          <w:b/>
          <w:lang w:eastAsia="zh-CN"/>
        </w:rPr>
        <w:t xml:space="preserve">: </w:t>
      </w:r>
      <w:r w:rsidR="00C65636" w:rsidRPr="00C65636">
        <w:rPr>
          <w:rFonts w:eastAsiaTheme="minorEastAsia" w:cs="Arial"/>
          <w:b/>
          <w:lang w:eastAsia="zh-CN"/>
        </w:rPr>
        <w:t>Only after K consecutive times that the measurement on non-anchor carrier is regarded as unavailable that UE shall only perform measurement on anchor carrier for a certain period of time.</w:t>
      </w:r>
    </w:p>
    <w:p w:rsidR="00AC01E6" w:rsidRPr="00D12EA8" w:rsidRDefault="00AC01E6" w:rsidP="001F2AE4">
      <w:pPr>
        <w:rPr>
          <w:rFonts w:eastAsiaTheme="minorEastAsia"/>
          <w:lang w:val="en-US" w:eastAsia="zh-CN"/>
        </w:rPr>
      </w:pPr>
    </w:p>
    <w:p w:rsidR="0050339C" w:rsidRDefault="0050339C" w:rsidP="0050339C">
      <w:pPr>
        <w:pStyle w:val="1"/>
        <w:numPr>
          <w:ilvl w:val="0"/>
          <w:numId w:val="1"/>
        </w:numPr>
        <w:rPr>
          <w:lang w:val="en-US"/>
        </w:rPr>
      </w:pPr>
      <w:r>
        <w:rPr>
          <w:lang w:val="en-US"/>
        </w:rPr>
        <w:lastRenderedPageBreak/>
        <w:t>Conclusion</w:t>
      </w:r>
    </w:p>
    <w:p w:rsidR="00F6683C" w:rsidRPr="00F6683C" w:rsidRDefault="00F6683C" w:rsidP="00F6683C">
      <w:pPr>
        <w:rPr>
          <w:rFonts w:eastAsiaTheme="minorEastAsia"/>
          <w:b/>
          <w:lang w:eastAsia="zh-CN"/>
        </w:rPr>
      </w:pPr>
      <w:r w:rsidRPr="00F6683C">
        <w:rPr>
          <w:rFonts w:eastAsiaTheme="minorEastAsia"/>
          <w:b/>
          <w:lang w:eastAsia="zh-CN"/>
        </w:rPr>
        <w:t>Proposal 1: There is no prerequisite or condition for UE in enhanced coverage when filtering the measurement between anchor and non-anchor carriers.</w:t>
      </w:r>
    </w:p>
    <w:p w:rsidR="00F6683C" w:rsidRPr="00AC01E6" w:rsidRDefault="00F6683C" w:rsidP="00F6683C">
      <w:pPr>
        <w:rPr>
          <w:rFonts w:cs="Arial"/>
          <w:b/>
        </w:rPr>
      </w:pPr>
      <w:r w:rsidRPr="00AC01E6">
        <w:rPr>
          <w:rFonts w:cs="Arial"/>
          <w:b/>
        </w:rPr>
        <w:t>Proposal 2: The threshold for comparison between anchor carrier and non-anchor carrier in normal coverage is 18 dB, which is a predefined value in TS 36.133.</w:t>
      </w:r>
    </w:p>
    <w:p w:rsidR="00BE0B8F" w:rsidRPr="00E435B5" w:rsidRDefault="00BE0B8F" w:rsidP="00BE0B8F">
      <w:pPr>
        <w:rPr>
          <w:rFonts w:eastAsiaTheme="minorEastAsia" w:cs="Arial"/>
          <w:b/>
          <w:lang w:eastAsia="zh-CN"/>
        </w:rPr>
      </w:pPr>
      <w:r w:rsidRPr="00E435B5">
        <w:rPr>
          <w:rFonts w:eastAsiaTheme="minorEastAsia" w:cs="Arial"/>
          <w:b/>
          <w:lang w:eastAsia="zh-CN"/>
        </w:rPr>
        <w:t xml:space="preserve">Proposal 3: The measurement results for comparison shall be from anchor and non-anchor carrier within the same DRX cycles, which means in same DRX cycles, UE shall perform measurement on both anchor carrier and non-anchor carrier within in the same DRX cycles. </w:t>
      </w:r>
    </w:p>
    <w:p w:rsidR="00BE0B8F" w:rsidRPr="00E435B5" w:rsidRDefault="00BE0B8F" w:rsidP="00BE0B8F">
      <w:pPr>
        <w:rPr>
          <w:rFonts w:eastAsiaTheme="minorEastAsia" w:cs="Arial"/>
          <w:b/>
          <w:lang w:eastAsia="zh-CN"/>
        </w:rPr>
      </w:pPr>
      <w:r w:rsidRPr="00E435B5">
        <w:rPr>
          <w:rFonts w:eastAsiaTheme="minorEastAsia" w:cs="Arial"/>
          <w:b/>
          <w:lang w:eastAsia="zh-CN"/>
        </w:rPr>
        <w:t>Proposal 4: UE shall perform measurement on anchor carrier at least every M DRX cycles, where M is FFS</w:t>
      </w:r>
      <w:r>
        <w:rPr>
          <w:rFonts w:eastAsiaTheme="minorEastAsia" w:cs="Arial"/>
          <w:b/>
          <w:lang w:eastAsia="zh-CN"/>
        </w:rPr>
        <w:t>.</w:t>
      </w:r>
    </w:p>
    <w:p w:rsidR="00BE0B8F" w:rsidRDefault="00BE0B8F" w:rsidP="00BE0B8F">
      <w:pPr>
        <w:rPr>
          <w:rFonts w:eastAsiaTheme="minorEastAsia" w:cs="Arial"/>
          <w:b/>
          <w:lang w:eastAsia="zh-CN"/>
        </w:rPr>
      </w:pPr>
      <w:r w:rsidRPr="00D12EA8">
        <w:rPr>
          <w:rFonts w:eastAsiaTheme="minorEastAsia" w:cs="Arial"/>
          <w:b/>
          <w:lang w:eastAsia="zh-CN"/>
        </w:rPr>
        <w:t>Observation</w:t>
      </w:r>
      <w:r>
        <w:rPr>
          <w:rFonts w:eastAsiaTheme="minorEastAsia" w:cs="Arial"/>
          <w:b/>
          <w:lang w:eastAsia="zh-CN"/>
        </w:rPr>
        <w:t xml:space="preserve"> 1</w:t>
      </w:r>
      <w:r w:rsidRPr="00D12EA8">
        <w:rPr>
          <w:rFonts w:eastAsiaTheme="minorEastAsia" w:cs="Arial"/>
          <w:b/>
          <w:lang w:eastAsia="zh-CN"/>
        </w:rPr>
        <w:t>: The decision (i.e. disabling the NRSRP measurement on non-anchor carrier) shall not be ma</w:t>
      </w:r>
      <w:r>
        <w:rPr>
          <w:rFonts w:eastAsiaTheme="minorEastAsia" w:cs="Arial" w:hint="eastAsia"/>
          <w:b/>
          <w:lang w:eastAsia="zh-CN"/>
        </w:rPr>
        <w:t>de</w:t>
      </w:r>
      <w:r w:rsidRPr="00D12EA8">
        <w:rPr>
          <w:rFonts w:eastAsiaTheme="minorEastAsia" w:cs="Arial"/>
          <w:b/>
          <w:lang w:eastAsia="zh-CN"/>
        </w:rPr>
        <w:t xml:space="preserve"> only based on one single-</w:t>
      </w:r>
      <w:r>
        <w:rPr>
          <w:rFonts w:eastAsiaTheme="minorEastAsia" w:cs="Arial"/>
          <w:b/>
          <w:lang w:eastAsia="zh-CN"/>
        </w:rPr>
        <w:t>s</w:t>
      </w:r>
      <w:r w:rsidRPr="00D12EA8">
        <w:rPr>
          <w:rFonts w:eastAsiaTheme="minorEastAsia" w:cs="Arial"/>
          <w:b/>
          <w:lang w:eastAsia="zh-CN"/>
        </w:rPr>
        <w:t>hot comparison between samples from anchor and non-anchor carriers.</w:t>
      </w:r>
    </w:p>
    <w:p w:rsidR="00BE0B8F" w:rsidRPr="00F6683C" w:rsidRDefault="00BE0B8F" w:rsidP="00BE0B8F">
      <w:pPr>
        <w:rPr>
          <w:rFonts w:eastAsiaTheme="minorEastAsia" w:cs="Arial"/>
          <w:b/>
          <w:lang w:eastAsia="zh-CN"/>
        </w:rPr>
      </w:pPr>
      <w:r w:rsidRPr="00F6683C">
        <w:rPr>
          <w:rFonts w:eastAsiaTheme="minorEastAsia" w:cs="Arial"/>
          <w:b/>
          <w:lang w:eastAsia="zh-CN"/>
        </w:rPr>
        <w:t xml:space="preserve">Proposal </w:t>
      </w:r>
      <w:r>
        <w:rPr>
          <w:rFonts w:eastAsiaTheme="minorEastAsia" w:cs="Arial"/>
          <w:b/>
          <w:lang w:eastAsia="zh-CN"/>
        </w:rPr>
        <w:t>5</w:t>
      </w:r>
      <w:r w:rsidRPr="00F6683C">
        <w:rPr>
          <w:rFonts w:eastAsiaTheme="minorEastAsia" w:cs="Arial"/>
          <w:b/>
          <w:lang w:eastAsia="zh-CN"/>
        </w:rPr>
        <w:t xml:space="preserve">: </w:t>
      </w:r>
      <w:r w:rsidRPr="00C65636">
        <w:rPr>
          <w:rFonts w:eastAsiaTheme="minorEastAsia" w:cs="Arial"/>
          <w:b/>
          <w:lang w:eastAsia="zh-CN"/>
        </w:rPr>
        <w:t>Only after K consecutive times that the measurement on non-anchor carrier is regarded as unavailable that UE shall only perform measurement on anchor carrier for a certain period of time.</w:t>
      </w:r>
    </w:p>
    <w:p w:rsidR="00DF0231" w:rsidRPr="002D2977" w:rsidRDefault="00DF0231" w:rsidP="00DF0231">
      <w:pPr>
        <w:pStyle w:val="1"/>
        <w:tabs>
          <w:tab w:val="clear" w:pos="432"/>
        </w:tabs>
        <w:ind w:left="0" w:firstLine="0"/>
        <w:rPr>
          <w:lang w:val="en-US"/>
        </w:rPr>
      </w:pPr>
      <w:r w:rsidRPr="002D2977">
        <w:rPr>
          <w:lang w:val="en-US"/>
        </w:rPr>
        <w:t>References</w:t>
      </w:r>
    </w:p>
    <w:p w:rsidR="00B10CEC" w:rsidRPr="00B10CEC" w:rsidRDefault="00DF0231" w:rsidP="00B10CEC">
      <w:pPr>
        <w:rPr>
          <w:lang w:val="en-US"/>
        </w:rPr>
      </w:pPr>
      <w:r w:rsidRPr="002D2977">
        <w:rPr>
          <w:lang w:val="en-US"/>
        </w:rPr>
        <w:t xml:space="preserve">[1] </w:t>
      </w:r>
      <w:r w:rsidR="00B10CEC">
        <w:rPr>
          <w:lang w:val="en-US"/>
        </w:rPr>
        <w:t>R4</w:t>
      </w:r>
      <w:r w:rsidR="00B10CEC" w:rsidRPr="00B10CEC">
        <w:rPr>
          <w:lang w:val="en-US"/>
        </w:rPr>
        <w:t>-2005289</w:t>
      </w:r>
      <w:r w:rsidR="007F1E46">
        <w:rPr>
          <w:lang w:val="en-US"/>
        </w:rPr>
        <w:t xml:space="preserve">, </w:t>
      </w:r>
      <w:r w:rsidR="00B10CEC" w:rsidRPr="00B10CEC">
        <w:rPr>
          <w:lang w:val="en-US"/>
        </w:rPr>
        <w:t>WF on RRM requirements for R16 enhancement for NB-</w:t>
      </w:r>
      <w:proofErr w:type="spellStart"/>
      <w:r w:rsidR="00B10CEC" w:rsidRPr="00B10CEC">
        <w:rPr>
          <w:lang w:val="en-US"/>
        </w:rPr>
        <w:t>IoT</w:t>
      </w:r>
      <w:proofErr w:type="spellEnd"/>
    </w:p>
    <w:p w:rsidR="007F1E46" w:rsidRPr="00AC01E6" w:rsidRDefault="00AC01E6" w:rsidP="007F1E46">
      <w:pPr>
        <w:rPr>
          <w:rFonts w:eastAsiaTheme="minorEastAsia"/>
          <w:lang w:val="en-US" w:eastAsia="zh-CN"/>
        </w:rPr>
      </w:pPr>
      <w:r>
        <w:rPr>
          <w:rFonts w:eastAsiaTheme="minorEastAsia" w:hint="eastAsia"/>
          <w:lang w:val="en-US" w:eastAsia="zh-CN"/>
        </w:rPr>
        <w:t>[</w:t>
      </w:r>
      <w:r>
        <w:rPr>
          <w:rFonts w:eastAsiaTheme="minorEastAsia"/>
          <w:lang w:val="en-US" w:eastAsia="zh-CN"/>
        </w:rPr>
        <w:t>2] TS 36.133</w:t>
      </w:r>
    </w:p>
    <w:p w:rsidR="007D0DF7" w:rsidRDefault="007D0DF7" w:rsidP="007B692E"/>
    <w:sectPr w:rsidR="007D0DF7" w:rsidSect="00701598">
      <w:footerReference w:type="even" r:id="rId9"/>
      <w:footerReference w:type="default" r:id="rId10"/>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30AC" w:rsidRDefault="003E30AC">
      <w:pPr>
        <w:spacing w:after="0"/>
      </w:pPr>
      <w:r>
        <w:separator/>
      </w:r>
    </w:p>
  </w:endnote>
  <w:endnote w:type="continuationSeparator" w:id="0">
    <w:p w:rsidR="003E30AC" w:rsidRDefault="003E30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35B5" w:rsidRDefault="00E435B5">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E435B5" w:rsidRDefault="00E435B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35B5" w:rsidRDefault="00E435B5">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4B0500">
      <w:rPr>
        <w:rStyle w:val="a5"/>
      </w:rPr>
      <w:t>3</w:t>
    </w:r>
    <w:r>
      <w:rPr>
        <w:rStyle w:val="a5"/>
      </w:rPr>
      <w:fldChar w:fldCharType="end"/>
    </w:r>
  </w:p>
  <w:p w:rsidR="00E435B5" w:rsidRDefault="00E435B5">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30AC" w:rsidRDefault="003E30AC">
      <w:pPr>
        <w:spacing w:after="0"/>
      </w:pPr>
      <w:r>
        <w:separator/>
      </w:r>
    </w:p>
  </w:footnote>
  <w:footnote w:type="continuationSeparator" w:id="0">
    <w:p w:rsidR="003E30AC" w:rsidRDefault="003E30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BD44BE"/>
    <w:multiLevelType w:val="hybridMultilevel"/>
    <w:tmpl w:val="EAFA3E32"/>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137F29FC"/>
    <w:multiLevelType w:val="hybridMultilevel"/>
    <w:tmpl w:val="B33EE90E"/>
    <w:lvl w:ilvl="0" w:tplc="4B381452">
      <w:start w:val="1"/>
      <w:numFmt w:val="bullet"/>
      <w:lvlText w:val="–"/>
      <w:lvlJc w:val="left"/>
      <w:pPr>
        <w:tabs>
          <w:tab w:val="num" w:pos="720"/>
        </w:tabs>
        <w:ind w:left="720" w:hanging="360"/>
      </w:pPr>
      <w:rPr>
        <w:rFonts w:ascii="Arial" w:hAnsi="Arial" w:hint="default"/>
      </w:rPr>
    </w:lvl>
    <w:lvl w:ilvl="1" w:tplc="DCE85592">
      <w:start w:val="1"/>
      <w:numFmt w:val="bullet"/>
      <w:lvlText w:val="–"/>
      <w:lvlJc w:val="left"/>
      <w:pPr>
        <w:tabs>
          <w:tab w:val="num" w:pos="1440"/>
        </w:tabs>
        <w:ind w:left="1440" w:hanging="360"/>
      </w:pPr>
      <w:rPr>
        <w:rFonts w:ascii="Arial" w:hAnsi="Arial" w:hint="default"/>
      </w:rPr>
    </w:lvl>
    <w:lvl w:ilvl="2" w:tplc="26248CB2" w:tentative="1">
      <w:start w:val="1"/>
      <w:numFmt w:val="bullet"/>
      <w:lvlText w:val="–"/>
      <w:lvlJc w:val="left"/>
      <w:pPr>
        <w:tabs>
          <w:tab w:val="num" w:pos="2160"/>
        </w:tabs>
        <w:ind w:left="2160" w:hanging="360"/>
      </w:pPr>
      <w:rPr>
        <w:rFonts w:ascii="Arial" w:hAnsi="Arial" w:hint="default"/>
      </w:rPr>
    </w:lvl>
    <w:lvl w:ilvl="3" w:tplc="0414AD80" w:tentative="1">
      <w:start w:val="1"/>
      <w:numFmt w:val="bullet"/>
      <w:lvlText w:val="–"/>
      <w:lvlJc w:val="left"/>
      <w:pPr>
        <w:tabs>
          <w:tab w:val="num" w:pos="2880"/>
        </w:tabs>
        <w:ind w:left="2880" w:hanging="360"/>
      </w:pPr>
      <w:rPr>
        <w:rFonts w:ascii="Arial" w:hAnsi="Arial" w:hint="default"/>
      </w:rPr>
    </w:lvl>
    <w:lvl w:ilvl="4" w:tplc="898074B2" w:tentative="1">
      <w:start w:val="1"/>
      <w:numFmt w:val="bullet"/>
      <w:lvlText w:val="–"/>
      <w:lvlJc w:val="left"/>
      <w:pPr>
        <w:tabs>
          <w:tab w:val="num" w:pos="3600"/>
        </w:tabs>
        <w:ind w:left="3600" w:hanging="360"/>
      </w:pPr>
      <w:rPr>
        <w:rFonts w:ascii="Arial" w:hAnsi="Arial" w:hint="default"/>
      </w:rPr>
    </w:lvl>
    <w:lvl w:ilvl="5" w:tplc="6446407A" w:tentative="1">
      <w:start w:val="1"/>
      <w:numFmt w:val="bullet"/>
      <w:lvlText w:val="–"/>
      <w:lvlJc w:val="left"/>
      <w:pPr>
        <w:tabs>
          <w:tab w:val="num" w:pos="4320"/>
        </w:tabs>
        <w:ind w:left="4320" w:hanging="360"/>
      </w:pPr>
      <w:rPr>
        <w:rFonts w:ascii="Arial" w:hAnsi="Arial" w:hint="default"/>
      </w:rPr>
    </w:lvl>
    <w:lvl w:ilvl="6" w:tplc="0C962580" w:tentative="1">
      <w:start w:val="1"/>
      <w:numFmt w:val="bullet"/>
      <w:lvlText w:val="–"/>
      <w:lvlJc w:val="left"/>
      <w:pPr>
        <w:tabs>
          <w:tab w:val="num" w:pos="5040"/>
        </w:tabs>
        <w:ind w:left="5040" w:hanging="360"/>
      </w:pPr>
      <w:rPr>
        <w:rFonts w:ascii="Arial" w:hAnsi="Arial" w:hint="default"/>
      </w:rPr>
    </w:lvl>
    <w:lvl w:ilvl="7" w:tplc="F004761E" w:tentative="1">
      <w:start w:val="1"/>
      <w:numFmt w:val="bullet"/>
      <w:lvlText w:val="–"/>
      <w:lvlJc w:val="left"/>
      <w:pPr>
        <w:tabs>
          <w:tab w:val="num" w:pos="5760"/>
        </w:tabs>
        <w:ind w:left="5760" w:hanging="360"/>
      </w:pPr>
      <w:rPr>
        <w:rFonts w:ascii="Arial" w:hAnsi="Arial" w:hint="default"/>
      </w:rPr>
    </w:lvl>
    <w:lvl w:ilvl="8" w:tplc="DE388A8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7237E6"/>
    <w:multiLevelType w:val="hybridMultilevel"/>
    <w:tmpl w:val="8402AE92"/>
    <w:lvl w:ilvl="0" w:tplc="ABB49BE4">
      <w:start w:val="1"/>
      <w:numFmt w:val="bullet"/>
      <w:lvlText w:val="•"/>
      <w:lvlJc w:val="left"/>
      <w:pPr>
        <w:tabs>
          <w:tab w:val="num" w:pos="720"/>
        </w:tabs>
        <w:ind w:left="720" w:hanging="360"/>
      </w:pPr>
      <w:rPr>
        <w:rFonts w:ascii="Arial" w:hAnsi="Arial" w:hint="default"/>
      </w:rPr>
    </w:lvl>
    <w:lvl w:ilvl="1" w:tplc="26CA8348">
      <w:numFmt w:val="bullet"/>
      <w:lvlText w:val="–"/>
      <w:lvlJc w:val="left"/>
      <w:pPr>
        <w:tabs>
          <w:tab w:val="num" w:pos="1440"/>
        </w:tabs>
        <w:ind w:left="1440" w:hanging="360"/>
      </w:pPr>
      <w:rPr>
        <w:rFonts w:ascii="Arial" w:hAnsi="Arial" w:hint="default"/>
      </w:rPr>
    </w:lvl>
    <w:lvl w:ilvl="2" w:tplc="DBE8E200" w:tentative="1">
      <w:start w:val="1"/>
      <w:numFmt w:val="bullet"/>
      <w:lvlText w:val="•"/>
      <w:lvlJc w:val="left"/>
      <w:pPr>
        <w:tabs>
          <w:tab w:val="num" w:pos="2160"/>
        </w:tabs>
        <w:ind w:left="2160" w:hanging="360"/>
      </w:pPr>
      <w:rPr>
        <w:rFonts w:ascii="Arial" w:hAnsi="Arial" w:hint="default"/>
      </w:rPr>
    </w:lvl>
    <w:lvl w:ilvl="3" w:tplc="96F235BC" w:tentative="1">
      <w:start w:val="1"/>
      <w:numFmt w:val="bullet"/>
      <w:lvlText w:val="•"/>
      <w:lvlJc w:val="left"/>
      <w:pPr>
        <w:tabs>
          <w:tab w:val="num" w:pos="2880"/>
        </w:tabs>
        <w:ind w:left="2880" w:hanging="360"/>
      </w:pPr>
      <w:rPr>
        <w:rFonts w:ascii="Arial" w:hAnsi="Arial" w:hint="default"/>
      </w:rPr>
    </w:lvl>
    <w:lvl w:ilvl="4" w:tplc="FB8EFAAE" w:tentative="1">
      <w:start w:val="1"/>
      <w:numFmt w:val="bullet"/>
      <w:lvlText w:val="•"/>
      <w:lvlJc w:val="left"/>
      <w:pPr>
        <w:tabs>
          <w:tab w:val="num" w:pos="3600"/>
        </w:tabs>
        <w:ind w:left="3600" w:hanging="360"/>
      </w:pPr>
      <w:rPr>
        <w:rFonts w:ascii="Arial" w:hAnsi="Arial" w:hint="default"/>
      </w:rPr>
    </w:lvl>
    <w:lvl w:ilvl="5" w:tplc="6FDEFBC2" w:tentative="1">
      <w:start w:val="1"/>
      <w:numFmt w:val="bullet"/>
      <w:lvlText w:val="•"/>
      <w:lvlJc w:val="left"/>
      <w:pPr>
        <w:tabs>
          <w:tab w:val="num" w:pos="4320"/>
        </w:tabs>
        <w:ind w:left="4320" w:hanging="360"/>
      </w:pPr>
      <w:rPr>
        <w:rFonts w:ascii="Arial" w:hAnsi="Arial" w:hint="default"/>
      </w:rPr>
    </w:lvl>
    <w:lvl w:ilvl="6" w:tplc="CE52DE10" w:tentative="1">
      <w:start w:val="1"/>
      <w:numFmt w:val="bullet"/>
      <w:lvlText w:val="•"/>
      <w:lvlJc w:val="left"/>
      <w:pPr>
        <w:tabs>
          <w:tab w:val="num" w:pos="5040"/>
        </w:tabs>
        <w:ind w:left="5040" w:hanging="360"/>
      </w:pPr>
      <w:rPr>
        <w:rFonts w:ascii="Arial" w:hAnsi="Arial" w:hint="default"/>
      </w:rPr>
    </w:lvl>
    <w:lvl w:ilvl="7" w:tplc="8ABA7AE8" w:tentative="1">
      <w:start w:val="1"/>
      <w:numFmt w:val="bullet"/>
      <w:lvlText w:val="•"/>
      <w:lvlJc w:val="left"/>
      <w:pPr>
        <w:tabs>
          <w:tab w:val="num" w:pos="5760"/>
        </w:tabs>
        <w:ind w:left="5760" w:hanging="360"/>
      </w:pPr>
      <w:rPr>
        <w:rFonts w:ascii="Arial" w:hAnsi="Arial" w:hint="default"/>
      </w:rPr>
    </w:lvl>
    <w:lvl w:ilvl="8" w:tplc="BB94D4F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E84063"/>
    <w:multiLevelType w:val="hybridMultilevel"/>
    <w:tmpl w:val="CFEC514E"/>
    <w:lvl w:ilvl="0" w:tplc="8522CBDC">
      <w:start w:val="1"/>
      <w:numFmt w:val="bullet"/>
      <w:lvlText w:val=""/>
      <w:lvlJc w:val="left"/>
      <w:pPr>
        <w:tabs>
          <w:tab w:val="num" w:pos="720"/>
        </w:tabs>
        <w:ind w:left="720" w:hanging="360"/>
      </w:pPr>
      <w:rPr>
        <w:rFonts w:ascii="Symbol" w:hAnsi="Symbol" w:hint="default"/>
      </w:rPr>
    </w:lvl>
    <w:lvl w:ilvl="1" w:tplc="5156E064" w:tentative="1">
      <w:start w:val="1"/>
      <w:numFmt w:val="bullet"/>
      <w:lvlText w:val=""/>
      <w:lvlJc w:val="left"/>
      <w:pPr>
        <w:tabs>
          <w:tab w:val="num" w:pos="1440"/>
        </w:tabs>
        <w:ind w:left="1440" w:hanging="360"/>
      </w:pPr>
      <w:rPr>
        <w:rFonts w:ascii="Symbol" w:hAnsi="Symbol" w:hint="default"/>
      </w:rPr>
    </w:lvl>
    <w:lvl w:ilvl="2" w:tplc="F6B6598E" w:tentative="1">
      <w:start w:val="1"/>
      <w:numFmt w:val="bullet"/>
      <w:lvlText w:val=""/>
      <w:lvlJc w:val="left"/>
      <w:pPr>
        <w:tabs>
          <w:tab w:val="num" w:pos="2160"/>
        </w:tabs>
        <w:ind w:left="2160" w:hanging="360"/>
      </w:pPr>
      <w:rPr>
        <w:rFonts w:ascii="Symbol" w:hAnsi="Symbol" w:hint="default"/>
      </w:rPr>
    </w:lvl>
    <w:lvl w:ilvl="3" w:tplc="28D25736" w:tentative="1">
      <w:start w:val="1"/>
      <w:numFmt w:val="bullet"/>
      <w:lvlText w:val=""/>
      <w:lvlJc w:val="left"/>
      <w:pPr>
        <w:tabs>
          <w:tab w:val="num" w:pos="2880"/>
        </w:tabs>
        <w:ind w:left="2880" w:hanging="360"/>
      </w:pPr>
      <w:rPr>
        <w:rFonts w:ascii="Symbol" w:hAnsi="Symbol" w:hint="default"/>
      </w:rPr>
    </w:lvl>
    <w:lvl w:ilvl="4" w:tplc="377037FA" w:tentative="1">
      <w:start w:val="1"/>
      <w:numFmt w:val="bullet"/>
      <w:lvlText w:val=""/>
      <w:lvlJc w:val="left"/>
      <w:pPr>
        <w:tabs>
          <w:tab w:val="num" w:pos="3600"/>
        </w:tabs>
        <w:ind w:left="3600" w:hanging="360"/>
      </w:pPr>
      <w:rPr>
        <w:rFonts w:ascii="Symbol" w:hAnsi="Symbol" w:hint="default"/>
      </w:rPr>
    </w:lvl>
    <w:lvl w:ilvl="5" w:tplc="FB28D24E" w:tentative="1">
      <w:start w:val="1"/>
      <w:numFmt w:val="bullet"/>
      <w:lvlText w:val=""/>
      <w:lvlJc w:val="left"/>
      <w:pPr>
        <w:tabs>
          <w:tab w:val="num" w:pos="4320"/>
        </w:tabs>
        <w:ind w:left="4320" w:hanging="360"/>
      </w:pPr>
      <w:rPr>
        <w:rFonts w:ascii="Symbol" w:hAnsi="Symbol" w:hint="default"/>
      </w:rPr>
    </w:lvl>
    <w:lvl w:ilvl="6" w:tplc="864A298A" w:tentative="1">
      <w:start w:val="1"/>
      <w:numFmt w:val="bullet"/>
      <w:lvlText w:val=""/>
      <w:lvlJc w:val="left"/>
      <w:pPr>
        <w:tabs>
          <w:tab w:val="num" w:pos="5040"/>
        </w:tabs>
        <w:ind w:left="5040" w:hanging="360"/>
      </w:pPr>
      <w:rPr>
        <w:rFonts w:ascii="Symbol" w:hAnsi="Symbol" w:hint="default"/>
      </w:rPr>
    </w:lvl>
    <w:lvl w:ilvl="7" w:tplc="1DDA9A7C" w:tentative="1">
      <w:start w:val="1"/>
      <w:numFmt w:val="bullet"/>
      <w:lvlText w:val=""/>
      <w:lvlJc w:val="left"/>
      <w:pPr>
        <w:tabs>
          <w:tab w:val="num" w:pos="5760"/>
        </w:tabs>
        <w:ind w:left="5760" w:hanging="360"/>
      </w:pPr>
      <w:rPr>
        <w:rFonts w:ascii="Symbol" w:hAnsi="Symbol" w:hint="default"/>
      </w:rPr>
    </w:lvl>
    <w:lvl w:ilvl="8" w:tplc="32068CD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F913EE8"/>
    <w:multiLevelType w:val="hybridMultilevel"/>
    <w:tmpl w:val="20828EF8"/>
    <w:lvl w:ilvl="0" w:tplc="9C20070A">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86567A"/>
    <w:multiLevelType w:val="hybridMultilevel"/>
    <w:tmpl w:val="86F2630A"/>
    <w:lvl w:ilvl="0" w:tplc="F7369240">
      <w:start w:val="1"/>
      <w:numFmt w:val="bullet"/>
      <w:lvlText w:val=""/>
      <w:lvlJc w:val="left"/>
      <w:pPr>
        <w:tabs>
          <w:tab w:val="num" w:pos="720"/>
        </w:tabs>
        <w:ind w:left="720" w:hanging="360"/>
      </w:pPr>
      <w:rPr>
        <w:rFonts w:ascii="Symbol" w:hAnsi="Symbol" w:hint="default"/>
      </w:rPr>
    </w:lvl>
    <w:lvl w:ilvl="1" w:tplc="22940A88" w:tentative="1">
      <w:start w:val="1"/>
      <w:numFmt w:val="bullet"/>
      <w:lvlText w:val=""/>
      <w:lvlJc w:val="left"/>
      <w:pPr>
        <w:tabs>
          <w:tab w:val="num" w:pos="1440"/>
        </w:tabs>
        <w:ind w:left="1440" w:hanging="360"/>
      </w:pPr>
      <w:rPr>
        <w:rFonts w:ascii="Symbol" w:hAnsi="Symbol" w:hint="default"/>
      </w:rPr>
    </w:lvl>
    <w:lvl w:ilvl="2" w:tplc="4EF0AE88" w:tentative="1">
      <w:start w:val="1"/>
      <w:numFmt w:val="bullet"/>
      <w:lvlText w:val=""/>
      <w:lvlJc w:val="left"/>
      <w:pPr>
        <w:tabs>
          <w:tab w:val="num" w:pos="2160"/>
        </w:tabs>
        <w:ind w:left="2160" w:hanging="360"/>
      </w:pPr>
      <w:rPr>
        <w:rFonts w:ascii="Symbol" w:hAnsi="Symbol" w:hint="default"/>
      </w:rPr>
    </w:lvl>
    <w:lvl w:ilvl="3" w:tplc="1910F644" w:tentative="1">
      <w:start w:val="1"/>
      <w:numFmt w:val="bullet"/>
      <w:lvlText w:val=""/>
      <w:lvlJc w:val="left"/>
      <w:pPr>
        <w:tabs>
          <w:tab w:val="num" w:pos="2880"/>
        </w:tabs>
        <w:ind w:left="2880" w:hanging="360"/>
      </w:pPr>
      <w:rPr>
        <w:rFonts w:ascii="Symbol" w:hAnsi="Symbol" w:hint="default"/>
      </w:rPr>
    </w:lvl>
    <w:lvl w:ilvl="4" w:tplc="3432C41C" w:tentative="1">
      <w:start w:val="1"/>
      <w:numFmt w:val="bullet"/>
      <w:lvlText w:val=""/>
      <w:lvlJc w:val="left"/>
      <w:pPr>
        <w:tabs>
          <w:tab w:val="num" w:pos="3600"/>
        </w:tabs>
        <w:ind w:left="3600" w:hanging="360"/>
      </w:pPr>
      <w:rPr>
        <w:rFonts w:ascii="Symbol" w:hAnsi="Symbol" w:hint="default"/>
      </w:rPr>
    </w:lvl>
    <w:lvl w:ilvl="5" w:tplc="19C02460" w:tentative="1">
      <w:start w:val="1"/>
      <w:numFmt w:val="bullet"/>
      <w:lvlText w:val=""/>
      <w:lvlJc w:val="left"/>
      <w:pPr>
        <w:tabs>
          <w:tab w:val="num" w:pos="4320"/>
        </w:tabs>
        <w:ind w:left="4320" w:hanging="360"/>
      </w:pPr>
      <w:rPr>
        <w:rFonts w:ascii="Symbol" w:hAnsi="Symbol" w:hint="default"/>
      </w:rPr>
    </w:lvl>
    <w:lvl w:ilvl="6" w:tplc="C6E4B02A" w:tentative="1">
      <w:start w:val="1"/>
      <w:numFmt w:val="bullet"/>
      <w:lvlText w:val=""/>
      <w:lvlJc w:val="left"/>
      <w:pPr>
        <w:tabs>
          <w:tab w:val="num" w:pos="5040"/>
        </w:tabs>
        <w:ind w:left="5040" w:hanging="360"/>
      </w:pPr>
      <w:rPr>
        <w:rFonts w:ascii="Symbol" w:hAnsi="Symbol" w:hint="default"/>
      </w:rPr>
    </w:lvl>
    <w:lvl w:ilvl="7" w:tplc="DE982344" w:tentative="1">
      <w:start w:val="1"/>
      <w:numFmt w:val="bullet"/>
      <w:lvlText w:val=""/>
      <w:lvlJc w:val="left"/>
      <w:pPr>
        <w:tabs>
          <w:tab w:val="num" w:pos="5760"/>
        </w:tabs>
        <w:ind w:left="5760" w:hanging="360"/>
      </w:pPr>
      <w:rPr>
        <w:rFonts w:ascii="Symbol" w:hAnsi="Symbol" w:hint="default"/>
      </w:rPr>
    </w:lvl>
    <w:lvl w:ilvl="8" w:tplc="56D0D5C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8832EDB"/>
    <w:multiLevelType w:val="hybridMultilevel"/>
    <w:tmpl w:val="72022C2C"/>
    <w:lvl w:ilvl="0" w:tplc="F4CA8B6E">
      <w:start w:val="1"/>
      <w:numFmt w:val="bullet"/>
      <w:lvlText w:val="•"/>
      <w:lvlJc w:val="left"/>
      <w:pPr>
        <w:tabs>
          <w:tab w:val="num" w:pos="720"/>
        </w:tabs>
        <w:ind w:left="720" w:hanging="360"/>
      </w:pPr>
      <w:rPr>
        <w:rFonts w:ascii="Arial" w:hAnsi="Arial" w:hint="default"/>
      </w:rPr>
    </w:lvl>
    <w:lvl w:ilvl="1" w:tplc="88D4D14A">
      <w:numFmt w:val="bullet"/>
      <w:lvlText w:val="•"/>
      <w:lvlJc w:val="left"/>
      <w:pPr>
        <w:tabs>
          <w:tab w:val="num" w:pos="1440"/>
        </w:tabs>
        <w:ind w:left="1440" w:hanging="360"/>
      </w:pPr>
      <w:rPr>
        <w:rFonts w:ascii="Arial" w:hAnsi="Arial" w:hint="default"/>
      </w:rPr>
    </w:lvl>
    <w:lvl w:ilvl="2" w:tplc="9DF2CFF8">
      <w:numFmt w:val="bullet"/>
      <w:lvlText w:val="•"/>
      <w:lvlJc w:val="left"/>
      <w:pPr>
        <w:tabs>
          <w:tab w:val="num" w:pos="2160"/>
        </w:tabs>
        <w:ind w:left="2160" w:hanging="360"/>
      </w:pPr>
      <w:rPr>
        <w:rFonts w:ascii="Arial" w:hAnsi="Arial" w:hint="default"/>
      </w:rPr>
    </w:lvl>
    <w:lvl w:ilvl="3" w:tplc="07EE8330">
      <w:start w:val="1"/>
      <w:numFmt w:val="bullet"/>
      <w:lvlText w:val="•"/>
      <w:lvlJc w:val="left"/>
      <w:pPr>
        <w:tabs>
          <w:tab w:val="num" w:pos="2880"/>
        </w:tabs>
        <w:ind w:left="2880" w:hanging="360"/>
      </w:pPr>
      <w:rPr>
        <w:rFonts w:ascii="Arial" w:hAnsi="Arial" w:hint="default"/>
      </w:rPr>
    </w:lvl>
    <w:lvl w:ilvl="4" w:tplc="38CA218C" w:tentative="1">
      <w:start w:val="1"/>
      <w:numFmt w:val="bullet"/>
      <w:lvlText w:val="•"/>
      <w:lvlJc w:val="left"/>
      <w:pPr>
        <w:tabs>
          <w:tab w:val="num" w:pos="3600"/>
        </w:tabs>
        <w:ind w:left="3600" w:hanging="360"/>
      </w:pPr>
      <w:rPr>
        <w:rFonts w:ascii="Arial" w:hAnsi="Arial" w:hint="default"/>
      </w:rPr>
    </w:lvl>
    <w:lvl w:ilvl="5" w:tplc="813ECE54" w:tentative="1">
      <w:start w:val="1"/>
      <w:numFmt w:val="bullet"/>
      <w:lvlText w:val="•"/>
      <w:lvlJc w:val="left"/>
      <w:pPr>
        <w:tabs>
          <w:tab w:val="num" w:pos="4320"/>
        </w:tabs>
        <w:ind w:left="4320" w:hanging="360"/>
      </w:pPr>
      <w:rPr>
        <w:rFonts w:ascii="Arial" w:hAnsi="Arial" w:hint="default"/>
      </w:rPr>
    </w:lvl>
    <w:lvl w:ilvl="6" w:tplc="ECD41F72" w:tentative="1">
      <w:start w:val="1"/>
      <w:numFmt w:val="bullet"/>
      <w:lvlText w:val="•"/>
      <w:lvlJc w:val="left"/>
      <w:pPr>
        <w:tabs>
          <w:tab w:val="num" w:pos="5040"/>
        </w:tabs>
        <w:ind w:left="5040" w:hanging="360"/>
      </w:pPr>
      <w:rPr>
        <w:rFonts w:ascii="Arial" w:hAnsi="Arial" w:hint="default"/>
      </w:rPr>
    </w:lvl>
    <w:lvl w:ilvl="7" w:tplc="CAD62B72" w:tentative="1">
      <w:start w:val="1"/>
      <w:numFmt w:val="bullet"/>
      <w:lvlText w:val="•"/>
      <w:lvlJc w:val="left"/>
      <w:pPr>
        <w:tabs>
          <w:tab w:val="num" w:pos="5760"/>
        </w:tabs>
        <w:ind w:left="5760" w:hanging="360"/>
      </w:pPr>
      <w:rPr>
        <w:rFonts w:ascii="Arial" w:hAnsi="Arial" w:hint="default"/>
      </w:rPr>
    </w:lvl>
    <w:lvl w:ilvl="8" w:tplc="26EEEF3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0357041"/>
    <w:multiLevelType w:val="hybridMultilevel"/>
    <w:tmpl w:val="81261294"/>
    <w:lvl w:ilvl="0" w:tplc="19901B98">
      <w:start w:val="1"/>
      <w:numFmt w:val="bullet"/>
      <w:lvlText w:val="•"/>
      <w:lvlJc w:val="left"/>
      <w:pPr>
        <w:tabs>
          <w:tab w:val="num" w:pos="720"/>
        </w:tabs>
        <w:ind w:left="720" w:hanging="360"/>
      </w:pPr>
      <w:rPr>
        <w:rFonts w:ascii="Arial" w:hAnsi="Arial" w:hint="default"/>
      </w:rPr>
    </w:lvl>
    <w:lvl w:ilvl="1" w:tplc="EA6834FE">
      <w:numFmt w:val="bullet"/>
      <w:lvlText w:val="•"/>
      <w:lvlJc w:val="left"/>
      <w:pPr>
        <w:tabs>
          <w:tab w:val="num" w:pos="1440"/>
        </w:tabs>
        <w:ind w:left="1440" w:hanging="360"/>
      </w:pPr>
      <w:rPr>
        <w:rFonts w:ascii="Arial" w:hAnsi="Arial" w:hint="default"/>
      </w:rPr>
    </w:lvl>
    <w:lvl w:ilvl="2" w:tplc="6C601D42">
      <w:numFmt w:val="bullet"/>
      <w:lvlText w:val="•"/>
      <w:lvlJc w:val="left"/>
      <w:pPr>
        <w:tabs>
          <w:tab w:val="num" w:pos="2160"/>
        </w:tabs>
        <w:ind w:left="2160" w:hanging="360"/>
      </w:pPr>
      <w:rPr>
        <w:rFonts w:ascii="Arial" w:hAnsi="Arial" w:hint="default"/>
      </w:rPr>
    </w:lvl>
    <w:lvl w:ilvl="3" w:tplc="DECA6D1E">
      <w:numFmt w:val="bullet"/>
      <w:lvlText w:val="•"/>
      <w:lvlJc w:val="left"/>
      <w:pPr>
        <w:tabs>
          <w:tab w:val="num" w:pos="2880"/>
        </w:tabs>
        <w:ind w:left="2880" w:hanging="360"/>
      </w:pPr>
      <w:rPr>
        <w:rFonts w:ascii="Arial" w:hAnsi="Arial" w:hint="default"/>
      </w:rPr>
    </w:lvl>
    <w:lvl w:ilvl="4" w:tplc="91724DAA" w:tentative="1">
      <w:start w:val="1"/>
      <w:numFmt w:val="bullet"/>
      <w:lvlText w:val="•"/>
      <w:lvlJc w:val="left"/>
      <w:pPr>
        <w:tabs>
          <w:tab w:val="num" w:pos="3600"/>
        </w:tabs>
        <w:ind w:left="3600" w:hanging="360"/>
      </w:pPr>
      <w:rPr>
        <w:rFonts w:ascii="Arial" w:hAnsi="Arial" w:hint="default"/>
      </w:rPr>
    </w:lvl>
    <w:lvl w:ilvl="5" w:tplc="DD021414" w:tentative="1">
      <w:start w:val="1"/>
      <w:numFmt w:val="bullet"/>
      <w:lvlText w:val="•"/>
      <w:lvlJc w:val="left"/>
      <w:pPr>
        <w:tabs>
          <w:tab w:val="num" w:pos="4320"/>
        </w:tabs>
        <w:ind w:left="4320" w:hanging="360"/>
      </w:pPr>
      <w:rPr>
        <w:rFonts w:ascii="Arial" w:hAnsi="Arial" w:hint="default"/>
      </w:rPr>
    </w:lvl>
    <w:lvl w:ilvl="6" w:tplc="8A265EB8" w:tentative="1">
      <w:start w:val="1"/>
      <w:numFmt w:val="bullet"/>
      <w:lvlText w:val="•"/>
      <w:lvlJc w:val="left"/>
      <w:pPr>
        <w:tabs>
          <w:tab w:val="num" w:pos="5040"/>
        </w:tabs>
        <w:ind w:left="5040" w:hanging="360"/>
      </w:pPr>
      <w:rPr>
        <w:rFonts w:ascii="Arial" w:hAnsi="Arial" w:hint="default"/>
      </w:rPr>
    </w:lvl>
    <w:lvl w:ilvl="7" w:tplc="5024DCC0" w:tentative="1">
      <w:start w:val="1"/>
      <w:numFmt w:val="bullet"/>
      <w:lvlText w:val="•"/>
      <w:lvlJc w:val="left"/>
      <w:pPr>
        <w:tabs>
          <w:tab w:val="num" w:pos="5760"/>
        </w:tabs>
        <w:ind w:left="5760" w:hanging="360"/>
      </w:pPr>
      <w:rPr>
        <w:rFonts w:ascii="Arial" w:hAnsi="Arial" w:hint="default"/>
      </w:rPr>
    </w:lvl>
    <w:lvl w:ilvl="8" w:tplc="3F4EF5F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1A2107"/>
    <w:multiLevelType w:val="hybridMultilevel"/>
    <w:tmpl w:val="8D30F83A"/>
    <w:lvl w:ilvl="0" w:tplc="7826C864">
      <w:start w:val="1"/>
      <w:numFmt w:val="bullet"/>
      <w:lvlText w:val="•"/>
      <w:lvlJc w:val="left"/>
      <w:pPr>
        <w:tabs>
          <w:tab w:val="num" w:pos="720"/>
        </w:tabs>
        <w:ind w:left="720" w:hanging="360"/>
      </w:pPr>
      <w:rPr>
        <w:rFonts w:ascii="Arial" w:hAnsi="Arial" w:hint="default"/>
      </w:rPr>
    </w:lvl>
    <w:lvl w:ilvl="1" w:tplc="5C76A96E" w:tentative="1">
      <w:start w:val="1"/>
      <w:numFmt w:val="bullet"/>
      <w:lvlText w:val="•"/>
      <w:lvlJc w:val="left"/>
      <w:pPr>
        <w:tabs>
          <w:tab w:val="num" w:pos="1440"/>
        </w:tabs>
        <w:ind w:left="1440" w:hanging="360"/>
      </w:pPr>
      <w:rPr>
        <w:rFonts w:ascii="Arial" w:hAnsi="Arial" w:hint="default"/>
      </w:rPr>
    </w:lvl>
    <w:lvl w:ilvl="2" w:tplc="6636C626" w:tentative="1">
      <w:start w:val="1"/>
      <w:numFmt w:val="bullet"/>
      <w:lvlText w:val="•"/>
      <w:lvlJc w:val="left"/>
      <w:pPr>
        <w:tabs>
          <w:tab w:val="num" w:pos="2160"/>
        </w:tabs>
        <w:ind w:left="2160" w:hanging="360"/>
      </w:pPr>
      <w:rPr>
        <w:rFonts w:ascii="Arial" w:hAnsi="Arial" w:hint="default"/>
      </w:rPr>
    </w:lvl>
    <w:lvl w:ilvl="3" w:tplc="122213D0" w:tentative="1">
      <w:start w:val="1"/>
      <w:numFmt w:val="bullet"/>
      <w:lvlText w:val="•"/>
      <w:lvlJc w:val="left"/>
      <w:pPr>
        <w:tabs>
          <w:tab w:val="num" w:pos="2880"/>
        </w:tabs>
        <w:ind w:left="2880" w:hanging="360"/>
      </w:pPr>
      <w:rPr>
        <w:rFonts w:ascii="Arial" w:hAnsi="Arial" w:hint="default"/>
      </w:rPr>
    </w:lvl>
    <w:lvl w:ilvl="4" w:tplc="91E475BC" w:tentative="1">
      <w:start w:val="1"/>
      <w:numFmt w:val="bullet"/>
      <w:lvlText w:val="•"/>
      <w:lvlJc w:val="left"/>
      <w:pPr>
        <w:tabs>
          <w:tab w:val="num" w:pos="3600"/>
        </w:tabs>
        <w:ind w:left="3600" w:hanging="360"/>
      </w:pPr>
      <w:rPr>
        <w:rFonts w:ascii="Arial" w:hAnsi="Arial" w:hint="default"/>
      </w:rPr>
    </w:lvl>
    <w:lvl w:ilvl="5" w:tplc="1528F7AA" w:tentative="1">
      <w:start w:val="1"/>
      <w:numFmt w:val="bullet"/>
      <w:lvlText w:val="•"/>
      <w:lvlJc w:val="left"/>
      <w:pPr>
        <w:tabs>
          <w:tab w:val="num" w:pos="4320"/>
        </w:tabs>
        <w:ind w:left="4320" w:hanging="360"/>
      </w:pPr>
      <w:rPr>
        <w:rFonts w:ascii="Arial" w:hAnsi="Arial" w:hint="default"/>
      </w:rPr>
    </w:lvl>
    <w:lvl w:ilvl="6" w:tplc="F9643EA0" w:tentative="1">
      <w:start w:val="1"/>
      <w:numFmt w:val="bullet"/>
      <w:lvlText w:val="•"/>
      <w:lvlJc w:val="left"/>
      <w:pPr>
        <w:tabs>
          <w:tab w:val="num" w:pos="5040"/>
        </w:tabs>
        <w:ind w:left="5040" w:hanging="360"/>
      </w:pPr>
      <w:rPr>
        <w:rFonts w:ascii="Arial" w:hAnsi="Arial" w:hint="default"/>
      </w:rPr>
    </w:lvl>
    <w:lvl w:ilvl="7" w:tplc="F1F4CD1C" w:tentative="1">
      <w:start w:val="1"/>
      <w:numFmt w:val="bullet"/>
      <w:lvlText w:val="•"/>
      <w:lvlJc w:val="left"/>
      <w:pPr>
        <w:tabs>
          <w:tab w:val="num" w:pos="5760"/>
        </w:tabs>
        <w:ind w:left="5760" w:hanging="360"/>
      </w:pPr>
      <w:rPr>
        <w:rFonts w:ascii="Arial" w:hAnsi="Arial" w:hint="default"/>
      </w:rPr>
    </w:lvl>
    <w:lvl w:ilvl="8" w:tplc="5FBAE9B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66D6612"/>
    <w:multiLevelType w:val="hybridMultilevel"/>
    <w:tmpl w:val="0BC0076C"/>
    <w:lvl w:ilvl="0" w:tplc="11622EEE">
      <w:start w:val="1"/>
      <w:numFmt w:val="bullet"/>
      <w:lvlText w:val="•"/>
      <w:lvlJc w:val="left"/>
      <w:pPr>
        <w:tabs>
          <w:tab w:val="num" w:pos="720"/>
        </w:tabs>
        <w:ind w:left="720" w:hanging="360"/>
      </w:pPr>
      <w:rPr>
        <w:rFonts w:ascii="Arial" w:hAnsi="Arial" w:hint="default"/>
      </w:rPr>
    </w:lvl>
    <w:lvl w:ilvl="1" w:tplc="D172B67C" w:tentative="1">
      <w:start w:val="1"/>
      <w:numFmt w:val="bullet"/>
      <w:lvlText w:val="•"/>
      <w:lvlJc w:val="left"/>
      <w:pPr>
        <w:tabs>
          <w:tab w:val="num" w:pos="1440"/>
        </w:tabs>
        <w:ind w:left="1440" w:hanging="360"/>
      </w:pPr>
      <w:rPr>
        <w:rFonts w:ascii="Arial" w:hAnsi="Arial" w:hint="default"/>
      </w:rPr>
    </w:lvl>
    <w:lvl w:ilvl="2" w:tplc="589024D8" w:tentative="1">
      <w:start w:val="1"/>
      <w:numFmt w:val="bullet"/>
      <w:lvlText w:val="•"/>
      <w:lvlJc w:val="left"/>
      <w:pPr>
        <w:tabs>
          <w:tab w:val="num" w:pos="2160"/>
        </w:tabs>
        <w:ind w:left="2160" w:hanging="360"/>
      </w:pPr>
      <w:rPr>
        <w:rFonts w:ascii="Arial" w:hAnsi="Arial" w:hint="default"/>
      </w:rPr>
    </w:lvl>
    <w:lvl w:ilvl="3" w:tplc="BA2A7554" w:tentative="1">
      <w:start w:val="1"/>
      <w:numFmt w:val="bullet"/>
      <w:lvlText w:val="•"/>
      <w:lvlJc w:val="left"/>
      <w:pPr>
        <w:tabs>
          <w:tab w:val="num" w:pos="2880"/>
        </w:tabs>
        <w:ind w:left="2880" w:hanging="360"/>
      </w:pPr>
      <w:rPr>
        <w:rFonts w:ascii="Arial" w:hAnsi="Arial" w:hint="default"/>
      </w:rPr>
    </w:lvl>
    <w:lvl w:ilvl="4" w:tplc="717CFAA4" w:tentative="1">
      <w:start w:val="1"/>
      <w:numFmt w:val="bullet"/>
      <w:lvlText w:val="•"/>
      <w:lvlJc w:val="left"/>
      <w:pPr>
        <w:tabs>
          <w:tab w:val="num" w:pos="3600"/>
        </w:tabs>
        <w:ind w:left="3600" w:hanging="360"/>
      </w:pPr>
      <w:rPr>
        <w:rFonts w:ascii="Arial" w:hAnsi="Arial" w:hint="default"/>
      </w:rPr>
    </w:lvl>
    <w:lvl w:ilvl="5" w:tplc="1200112E" w:tentative="1">
      <w:start w:val="1"/>
      <w:numFmt w:val="bullet"/>
      <w:lvlText w:val="•"/>
      <w:lvlJc w:val="left"/>
      <w:pPr>
        <w:tabs>
          <w:tab w:val="num" w:pos="4320"/>
        </w:tabs>
        <w:ind w:left="4320" w:hanging="360"/>
      </w:pPr>
      <w:rPr>
        <w:rFonts w:ascii="Arial" w:hAnsi="Arial" w:hint="default"/>
      </w:rPr>
    </w:lvl>
    <w:lvl w:ilvl="6" w:tplc="4EBABE5C" w:tentative="1">
      <w:start w:val="1"/>
      <w:numFmt w:val="bullet"/>
      <w:lvlText w:val="•"/>
      <w:lvlJc w:val="left"/>
      <w:pPr>
        <w:tabs>
          <w:tab w:val="num" w:pos="5040"/>
        </w:tabs>
        <w:ind w:left="5040" w:hanging="360"/>
      </w:pPr>
      <w:rPr>
        <w:rFonts w:ascii="Arial" w:hAnsi="Arial" w:hint="default"/>
      </w:rPr>
    </w:lvl>
    <w:lvl w:ilvl="7" w:tplc="48683AC0" w:tentative="1">
      <w:start w:val="1"/>
      <w:numFmt w:val="bullet"/>
      <w:lvlText w:val="•"/>
      <w:lvlJc w:val="left"/>
      <w:pPr>
        <w:tabs>
          <w:tab w:val="num" w:pos="5760"/>
        </w:tabs>
        <w:ind w:left="5760" w:hanging="360"/>
      </w:pPr>
      <w:rPr>
        <w:rFonts w:ascii="Arial" w:hAnsi="Arial" w:hint="default"/>
      </w:rPr>
    </w:lvl>
    <w:lvl w:ilvl="8" w:tplc="65E68EE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15:restartNumberingAfterBreak="0">
    <w:nsid w:val="74BB7EA8"/>
    <w:multiLevelType w:val="multilevel"/>
    <w:tmpl w:val="74BB7E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num w:numId="1">
    <w:abstractNumId w:val="11"/>
  </w:num>
  <w:num w:numId="2">
    <w:abstractNumId w:val="1"/>
  </w:num>
  <w:num w:numId="3">
    <w:abstractNumId w:val="16"/>
  </w:num>
  <w:num w:numId="4">
    <w:abstractNumId w:val="18"/>
  </w:num>
  <w:num w:numId="5">
    <w:abstractNumId w:val="14"/>
  </w:num>
  <w:num w:numId="6">
    <w:abstractNumId w:val="8"/>
  </w:num>
  <w:num w:numId="7">
    <w:abstractNumId w:val="13"/>
  </w:num>
  <w:num w:numId="8">
    <w:abstractNumId w:val="4"/>
  </w:num>
  <w:num w:numId="9">
    <w:abstractNumId w:val="7"/>
  </w:num>
  <w:num w:numId="10">
    <w:abstractNumId w:val="5"/>
  </w:num>
  <w:num w:numId="11">
    <w:abstractNumId w:val="9"/>
  </w:num>
  <w:num w:numId="12">
    <w:abstractNumId w:val="10"/>
  </w:num>
  <w:num w:numId="13">
    <w:abstractNumId w:val="12"/>
  </w:num>
  <w:num w:numId="14">
    <w:abstractNumId w:val="2"/>
  </w:num>
  <w:num w:numId="15">
    <w:abstractNumId w:val="3"/>
  </w:num>
  <w:num w:numId="16">
    <w:abstractNumId w:val="15"/>
  </w:num>
  <w:num w:numId="17">
    <w:abstractNumId w:val="6"/>
  </w:num>
  <w:num w:numId="18">
    <w:abstractNumId w:val="17"/>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4558E"/>
    <w:rsid w:val="00063E08"/>
    <w:rsid w:val="00067B89"/>
    <w:rsid w:val="000A2ED7"/>
    <w:rsid w:val="000A4BCB"/>
    <w:rsid w:val="000B300F"/>
    <w:rsid w:val="000D2930"/>
    <w:rsid w:val="000E2C03"/>
    <w:rsid w:val="00100360"/>
    <w:rsid w:val="00187A32"/>
    <w:rsid w:val="00192DA7"/>
    <w:rsid w:val="001E7174"/>
    <w:rsid w:val="001F2AE4"/>
    <w:rsid w:val="0020033A"/>
    <w:rsid w:val="002129CD"/>
    <w:rsid w:val="002221AC"/>
    <w:rsid w:val="00222D7E"/>
    <w:rsid w:val="002328DD"/>
    <w:rsid w:val="00254F38"/>
    <w:rsid w:val="00282D3C"/>
    <w:rsid w:val="002A5E54"/>
    <w:rsid w:val="002B45C3"/>
    <w:rsid w:val="002E668C"/>
    <w:rsid w:val="002F579F"/>
    <w:rsid w:val="00311CF9"/>
    <w:rsid w:val="00336939"/>
    <w:rsid w:val="00356FB6"/>
    <w:rsid w:val="003664ED"/>
    <w:rsid w:val="003757E8"/>
    <w:rsid w:val="003A5E2B"/>
    <w:rsid w:val="003E30AC"/>
    <w:rsid w:val="003F37DD"/>
    <w:rsid w:val="003F37F1"/>
    <w:rsid w:val="003F5BF9"/>
    <w:rsid w:val="003F6E35"/>
    <w:rsid w:val="003F762D"/>
    <w:rsid w:val="00430F24"/>
    <w:rsid w:val="00435EBD"/>
    <w:rsid w:val="00466D02"/>
    <w:rsid w:val="00477263"/>
    <w:rsid w:val="00490A38"/>
    <w:rsid w:val="0049501A"/>
    <w:rsid w:val="004A678E"/>
    <w:rsid w:val="004A7CF2"/>
    <w:rsid w:val="004B0500"/>
    <w:rsid w:val="004C4868"/>
    <w:rsid w:val="004E0927"/>
    <w:rsid w:val="004F0167"/>
    <w:rsid w:val="004F628B"/>
    <w:rsid w:val="0050339C"/>
    <w:rsid w:val="005134B8"/>
    <w:rsid w:val="005235DB"/>
    <w:rsid w:val="00530EB0"/>
    <w:rsid w:val="005449A0"/>
    <w:rsid w:val="00545EC2"/>
    <w:rsid w:val="0054734A"/>
    <w:rsid w:val="00570BD3"/>
    <w:rsid w:val="00574536"/>
    <w:rsid w:val="005F5231"/>
    <w:rsid w:val="0061475E"/>
    <w:rsid w:val="00617532"/>
    <w:rsid w:val="00654DC9"/>
    <w:rsid w:val="006A7217"/>
    <w:rsid w:val="006C6191"/>
    <w:rsid w:val="006D43CD"/>
    <w:rsid w:val="00701598"/>
    <w:rsid w:val="00712608"/>
    <w:rsid w:val="007200C7"/>
    <w:rsid w:val="00723883"/>
    <w:rsid w:val="00736D84"/>
    <w:rsid w:val="0077159B"/>
    <w:rsid w:val="007772B8"/>
    <w:rsid w:val="007902A8"/>
    <w:rsid w:val="007A37DA"/>
    <w:rsid w:val="007A4804"/>
    <w:rsid w:val="007B692E"/>
    <w:rsid w:val="007B71D5"/>
    <w:rsid w:val="007D0DF7"/>
    <w:rsid w:val="007D3409"/>
    <w:rsid w:val="007E5F97"/>
    <w:rsid w:val="007E67EC"/>
    <w:rsid w:val="007F1E46"/>
    <w:rsid w:val="007F2E6A"/>
    <w:rsid w:val="007F4542"/>
    <w:rsid w:val="00803073"/>
    <w:rsid w:val="00804945"/>
    <w:rsid w:val="008446CE"/>
    <w:rsid w:val="00865708"/>
    <w:rsid w:val="0087326D"/>
    <w:rsid w:val="00873C1C"/>
    <w:rsid w:val="00892EAE"/>
    <w:rsid w:val="008A1C4E"/>
    <w:rsid w:val="008B4F73"/>
    <w:rsid w:val="008D2271"/>
    <w:rsid w:val="008D3137"/>
    <w:rsid w:val="008D55C5"/>
    <w:rsid w:val="008E2591"/>
    <w:rsid w:val="008E4053"/>
    <w:rsid w:val="00914A03"/>
    <w:rsid w:val="009450D8"/>
    <w:rsid w:val="00951825"/>
    <w:rsid w:val="009708D0"/>
    <w:rsid w:val="00985077"/>
    <w:rsid w:val="009968CF"/>
    <w:rsid w:val="009C4E39"/>
    <w:rsid w:val="009C7D5E"/>
    <w:rsid w:val="009D03C6"/>
    <w:rsid w:val="009D2942"/>
    <w:rsid w:val="009E6763"/>
    <w:rsid w:val="009E6DC8"/>
    <w:rsid w:val="009F06FB"/>
    <w:rsid w:val="00A1597D"/>
    <w:rsid w:val="00A22790"/>
    <w:rsid w:val="00A26AB0"/>
    <w:rsid w:val="00A3518C"/>
    <w:rsid w:val="00A42E3A"/>
    <w:rsid w:val="00A74208"/>
    <w:rsid w:val="00A90E6D"/>
    <w:rsid w:val="00AC01E6"/>
    <w:rsid w:val="00AC2C97"/>
    <w:rsid w:val="00AD69AA"/>
    <w:rsid w:val="00AD7FF0"/>
    <w:rsid w:val="00AE6BE0"/>
    <w:rsid w:val="00AF0E37"/>
    <w:rsid w:val="00AF5966"/>
    <w:rsid w:val="00B10C6E"/>
    <w:rsid w:val="00B10CEC"/>
    <w:rsid w:val="00B23292"/>
    <w:rsid w:val="00B41E6D"/>
    <w:rsid w:val="00B474B6"/>
    <w:rsid w:val="00B53963"/>
    <w:rsid w:val="00B73A82"/>
    <w:rsid w:val="00BA0200"/>
    <w:rsid w:val="00BB2A32"/>
    <w:rsid w:val="00BC47AB"/>
    <w:rsid w:val="00BD2AB1"/>
    <w:rsid w:val="00BE0B8F"/>
    <w:rsid w:val="00BE1FD4"/>
    <w:rsid w:val="00BE677A"/>
    <w:rsid w:val="00BF00A7"/>
    <w:rsid w:val="00BF33D9"/>
    <w:rsid w:val="00C11B10"/>
    <w:rsid w:val="00C338CA"/>
    <w:rsid w:val="00C50A0A"/>
    <w:rsid w:val="00C65636"/>
    <w:rsid w:val="00C83525"/>
    <w:rsid w:val="00C9646E"/>
    <w:rsid w:val="00CA14B1"/>
    <w:rsid w:val="00CA1729"/>
    <w:rsid w:val="00CA1DAE"/>
    <w:rsid w:val="00CE0DA0"/>
    <w:rsid w:val="00CE176A"/>
    <w:rsid w:val="00CF40B2"/>
    <w:rsid w:val="00D12EA8"/>
    <w:rsid w:val="00D41D2D"/>
    <w:rsid w:val="00DB1DD4"/>
    <w:rsid w:val="00DB61B3"/>
    <w:rsid w:val="00DD1DFF"/>
    <w:rsid w:val="00DD38B2"/>
    <w:rsid w:val="00DF0231"/>
    <w:rsid w:val="00E17F78"/>
    <w:rsid w:val="00E22BED"/>
    <w:rsid w:val="00E435B5"/>
    <w:rsid w:val="00E52FB0"/>
    <w:rsid w:val="00E5666B"/>
    <w:rsid w:val="00E577DD"/>
    <w:rsid w:val="00E9184C"/>
    <w:rsid w:val="00EA4E79"/>
    <w:rsid w:val="00EA5149"/>
    <w:rsid w:val="00EB02DF"/>
    <w:rsid w:val="00EB7CE0"/>
    <w:rsid w:val="00EC2F68"/>
    <w:rsid w:val="00EE6F45"/>
    <w:rsid w:val="00F0497C"/>
    <w:rsid w:val="00F076D1"/>
    <w:rsid w:val="00F12F0F"/>
    <w:rsid w:val="00F14AB2"/>
    <w:rsid w:val="00F303F4"/>
    <w:rsid w:val="00F413E7"/>
    <w:rsid w:val="00F442DE"/>
    <w:rsid w:val="00F6683C"/>
    <w:rsid w:val="00FA4943"/>
    <w:rsid w:val="00FA5BBD"/>
    <w:rsid w:val="00FC0F9D"/>
    <w:rsid w:val="00FC27EC"/>
    <w:rsid w:val="00FC3492"/>
    <w:rsid w:val="00FC62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1DD4"/>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
    <w:next w:val="a"/>
    <w:link w:val="4Char"/>
    <w:uiPriority w:val="9"/>
    <w:unhideWhenUsed/>
    <w:qFormat/>
    <w:rsid w:val="00490A38"/>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R4_bullets,列出段落1"/>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character" w:customStyle="1" w:styleId="4Char">
    <w:name w:val="标题 4 Char"/>
    <w:basedOn w:val="a0"/>
    <w:link w:val="4"/>
    <w:uiPriority w:val="9"/>
    <w:rsid w:val="00490A38"/>
    <w:rPr>
      <w:rFonts w:asciiTheme="majorHAnsi" w:eastAsiaTheme="majorEastAsia" w:hAnsiTheme="majorHAnsi" w:cstheme="majorBidi"/>
      <w:b/>
      <w:bCs/>
      <w:kern w:val="0"/>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491660">
      <w:bodyDiv w:val="1"/>
      <w:marLeft w:val="0"/>
      <w:marRight w:val="0"/>
      <w:marTop w:val="0"/>
      <w:marBottom w:val="0"/>
      <w:divBdr>
        <w:top w:val="none" w:sz="0" w:space="0" w:color="auto"/>
        <w:left w:val="none" w:sz="0" w:space="0" w:color="auto"/>
        <w:bottom w:val="none" w:sz="0" w:space="0" w:color="auto"/>
        <w:right w:val="none" w:sz="0" w:space="0" w:color="auto"/>
      </w:divBdr>
      <w:divsChild>
        <w:div w:id="780301014">
          <w:marLeft w:val="547"/>
          <w:marRight w:val="0"/>
          <w:marTop w:val="115"/>
          <w:marBottom w:val="0"/>
          <w:divBdr>
            <w:top w:val="none" w:sz="0" w:space="0" w:color="auto"/>
            <w:left w:val="none" w:sz="0" w:space="0" w:color="auto"/>
            <w:bottom w:val="none" w:sz="0" w:space="0" w:color="auto"/>
            <w:right w:val="none" w:sz="0" w:space="0" w:color="auto"/>
          </w:divBdr>
        </w:div>
        <w:div w:id="580020843">
          <w:marLeft w:val="1166"/>
          <w:marRight w:val="0"/>
          <w:marTop w:val="96"/>
          <w:marBottom w:val="0"/>
          <w:divBdr>
            <w:top w:val="none" w:sz="0" w:space="0" w:color="auto"/>
            <w:left w:val="none" w:sz="0" w:space="0" w:color="auto"/>
            <w:bottom w:val="none" w:sz="0" w:space="0" w:color="auto"/>
            <w:right w:val="none" w:sz="0" w:space="0" w:color="auto"/>
          </w:divBdr>
        </w:div>
        <w:div w:id="2098288507">
          <w:marLeft w:val="1166"/>
          <w:marRight w:val="0"/>
          <w:marTop w:val="96"/>
          <w:marBottom w:val="0"/>
          <w:divBdr>
            <w:top w:val="none" w:sz="0" w:space="0" w:color="auto"/>
            <w:left w:val="none" w:sz="0" w:space="0" w:color="auto"/>
            <w:bottom w:val="none" w:sz="0" w:space="0" w:color="auto"/>
            <w:right w:val="none" w:sz="0" w:space="0" w:color="auto"/>
          </w:divBdr>
        </w:div>
        <w:div w:id="592980203">
          <w:marLeft w:val="1800"/>
          <w:marRight w:val="0"/>
          <w:marTop w:val="77"/>
          <w:marBottom w:val="0"/>
          <w:divBdr>
            <w:top w:val="none" w:sz="0" w:space="0" w:color="auto"/>
            <w:left w:val="none" w:sz="0" w:space="0" w:color="auto"/>
            <w:bottom w:val="none" w:sz="0" w:space="0" w:color="auto"/>
            <w:right w:val="none" w:sz="0" w:space="0" w:color="auto"/>
          </w:divBdr>
        </w:div>
        <w:div w:id="518348607">
          <w:marLeft w:val="1800"/>
          <w:marRight w:val="0"/>
          <w:marTop w:val="77"/>
          <w:marBottom w:val="0"/>
          <w:divBdr>
            <w:top w:val="none" w:sz="0" w:space="0" w:color="auto"/>
            <w:left w:val="none" w:sz="0" w:space="0" w:color="auto"/>
            <w:bottom w:val="none" w:sz="0" w:space="0" w:color="auto"/>
            <w:right w:val="none" w:sz="0" w:space="0" w:color="auto"/>
          </w:divBdr>
        </w:div>
      </w:divsChild>
    </w:div>
    <w:div w:id="164631798">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91749173">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3469042">
      <w:bodyDiv w:val="1"/>
      <w:marLeft w:val="0"/>
      <w:marRight w:val="0"/>
      <w:marTop w:val="0"/>
      <w:marBottom w:val="0"/>
      <w:divBdr>
        <w:top w:val="none" w:sz="0" w:space="0" w:color="auto"/>
        <w:left w:val="none" w:sz="0" w:space="0" w:color="auto"/>
        <w:bottom w:val="none" w:sz="0" w:space="0" w:color="auto"/>
        <w:right w:val="none" w:sz="0" w:space="0" w:color="auto"/>
      </w:divBdr>
      <w:divsChild>
        <w:div w:id="1532379243">
          <w:marLeft w:val="547"/>
          <w:marRight w:val="0"/>
          <w:marTop w:val="115"/>
          <w:marBottom w:val="0"/>
          <w:divBdr>
            <w:top w:val="none" w:sz="0" w:space="0" w:color="auto"/>
            <w:left w:val="none" w:sz="0" w:space="0" w:color="auto"/>
            <w:bottom w:val="none" w:sz="0" w:space="0" w:color="auto"/>
            <w:right w:val="none" w:sz="0" w:space="0" w:color="auto"/>
          </w:divBdr>
        </w:div>
        <w:div w:id="1497695353">
          <w:marLeft w:val="1166"/>
          <w:marRight w:val="0"/>
          <w:marTop w:val="96"/>
          <w:marBottom w:val="0"/>
          <w:divBdr>
            <w:top w:val="none" w:sz="0" w:space="0" w:color="auto"/>
            <w:left w:val="none" w:sz="0" w:space="0" w:color="auto"/>
            <w:bottom w:val="none" w:sz="0" w:space="0" w:color="auto"/>
            <w:right w:val="none" w:sz="0" w:space="0" w:color="auto"/>
          </w:divBdr>
        </w:div>
        <w:div w:id="1918513666">
          <w:marLeft w:val="1166"/>
          <w:marRight w:val="0"/>
          <w:marTop w:val="96"/>
          <w:marBottom w:val="0"/>
          <w:divBdr>
            <w:top w:val="none" w:sz="0" w:space="0" w:color="auto"/>
            <w:left w:val="none" w:sz="0" w:space="0" w:color="auto"/>
            <w:bottom w:val="none" w:sz="0" w:space="0" w:color="auto"/>
            <w:right w:val="none" w:sz="0" w:space="0" w:color="auto"/>
          </w:divBdr>
        </w:div>
        <w:div w:id="1859153317">
          <w:marLeft w:val="1800"/>
          <w:marRight w:val="0"/>
          <w:marTop w:val="77"/>
          <w:marBottom w:val="0"/>
          <w:divBdr>
            <w:top w:val="none" w:sz="0" w:space="0" w:color="auto"/>
            <w:left w:val="none" w:sz="0" w:space="0" w:color="auto"/>
            <w:bottom w:val="none" w:sz="0" w:space="0" w:color="auto"/>
            <w:right w:val="none" w:sz="0" w:space="0" w:color="auto"/>
          </w:divBdr>
        </w:div>
        <w:div w:id="1053383851">
          <w:marLeft w:val="1800"/>
          <w:marRight w:val="0"/>
          <w:marTop w:val="77"/>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63803196">
      <w:bodyDiv w:val="1"/>
      <w:marLeft w:val="0"/>
      <w:marRight w:val="0"/>
      <w:marTop w:val="0"/>
      <w:marBottom w:val="0"/>
      <w:divBdr>
        <w:top w:val="none" w:sz="0" w:space="0" w:color="auto"/>
        <w:left w:val="none" w:sz="0" w:space="0" w:color="auto"/>
        <w:bottom w:val="none" w:sz="0" w:space="0" w:color="auto"/>
        <w:right w:val="none" w:sz="0" w:space="0" w:color="auto"/>
      </w:divBdr>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7294796">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93882443">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4302551">
      <w:bodyDiv w:val="1"/>
      <w:marLeft w:val="0"/>
      <w:marRight w:val="0"/>
      <w:marTop w:val="0"/>
      <w:marBottom w:val="0"/>
      <w:divBdr>
        <w:top w:val="none" w:sz="0" w:space="0" w:color="auto"/>
        <w:left w:val="none" w:sz="0" w:space="0" w:color="auto"/>
        <w:bottom w:val="none" w:sz="0" w:space="0" w:color="auto"/>
        <w:right w:val="none" w:sz="0" w:space="0" w:color="auto"/>
      </w:divBdr>
      <w:divsChild>
        <w:div w:id="2006321602">
          <w:marLeft w:val="547"/>
          <w:marRight w:val="0"/>
          <w:marTop w:val="134"/>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41429119">
      <w:bodyDiv w:val="1"/>
      <w:marLeft w:val="0"/>
      <w:marRight w:val="0"/>
      <w:marTop w:val="0"/>
      <w:marBottom w:val="0"/>
      <w:divBdr>
        <w:top w:val="none" w:sz="0" w:space="0" w:color="auto"/>
        <w:left w:val="none" w:sz="0" w:space="0" w:color="auto"/>
        <w:bottom w:val="none" w:sz="0" w:space="0" w:color="auto"/>
        <w:right w:val="none" w:sz="0" w:space="0" w:color="auto"/>
      </w:divBdr>
      <w:divsChild>
        <w:div w:id="2036534021">
          <w:marLeft w:val="1166"/>
          <w:marRight w:val="0"/>
          <w:marTop w:val="96"/>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621715870">
      <w:bodyDiv w:val="1"/>
      <w:marLeft w:val="0"/>
      <w:marRight w:val="0"/>
      <w:marTop w:val="0"/>
      <w:marBottom w:val="0"/>
      <w:divBdr>
        <w:top w:val="none" w:sz="0" w:space="0" w:color="auto"/>
        <w:left w:val="none" w:sz="0" w:space="0" w:color="auto"/>
        <w:bottom w:val="none" w:sz="0" w:space="0" w:color="auto"/>
        <w:right w:val="none" w:sz="0" w:space="0" w:color="auto"/>
      </w:divBdr>
      <w:divsChild>
        <w:div w:id="362828221">
          <w:marLeft w:val="547"/>
          <w:marRight w:val="0"/>
          <w:marTop w:val="134"/>
          <w:marBottom w:val="0"/>
          <w:divBdr>
            <w:top w:val="none" w:sz="0" w:space="0" w:color="auto"/>
            <w:left w:val="none" w:sz="0" w:space="0" w:color="auto"/>
            <w:bottom w:val="none" w:sz="0" w:space="0" w:color="auto"/>
            <w:right w:val="none" w:sz="0" w:space="0" w:color="auto"/>
          </w:divBdr>
        </w:div>
        <w:div w:id="781341144">
          <w:marLeft w:val="547"/>
          <w:marRight w:val="0"/>
          <w:marTop w:val="134"/>
          <w:marBottom w:val="0"/>
          <w:divBdr>
            <w:top w:val="none" w:sz="0" w:space="0" w:color="auto"/>
            <w:left w:val="none" w:sz="0" w:space="0" w:color="auto"/>
            <w:bottom w:val="none" w:sz="0" w:space="0" w:color="auto"/>
            <w:right w:val="none" w:sz="0" w:space="0" w:color="auto"/>
          </w:divBdr>
        </w:div>
      </w:divsChild>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90784995">
      <w:bodyDiv w:val="1"/>
      <w:marLeft w:val="0"/>
      <w:marRight w:val="0"/>
      <w:marTop w:val="0"/>
      <w:marBottom w:val="0"/>
      <w:divBdr>
        <w:top w:val="none" w:sz="0" w:space="0" w:color="auto"/>
        <w:left w:val="none" w:sz="0" w:space="0" w:color="auto"/>
        <w:bottom w:val="none" w:sz="0" w:space="0" w:color="auto"/>
        <w:right w:val="none" w:sz="0" w:space="0" w:color="auto"/>
      </w:divBdr>
      <w:divsChild>
        <w:div w:id="1160972064">
          <w:marLeft w:val="1166"/>
          <w:marRight w:val="0"/>
          <w:marTop w:val="77"/>
          <w:marBottom w:val="0"/>
          <w:divBdr>
            <w:top w:val="none" w:sz="0" w:space="0" w:color="auto"/>
            <w:left w:val="none" w:sz="0" w:space="0" w:color="auto"/>
            <w:bottom w:val="none" w:sz="0" w:space="0" w:color="auto"/>
            <w:right w:val="none" w:sz="0" w:space="0" w:color="auto"/>
          </w:divBdr>
        </w:div>
      </w:divsChild>
    </w:div>
    <w:div w:id="1860854068">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17614557">
      <w:bodyDiv w:val="1"/>
      <w:marLeft w:val="0"/>
      <w:marRight w:val="0"/>
      <w:marTop w:val="0"/>
      <w:marBottom w:val="0"/>
      <w:divBdr>
        <w:top w:val="none" w:sz="0" w:space="0" w:color="auto"/>
        <w:left w:val="none" w:sz="0" w:space="0" w:color="auto"/>
        <w:bottom w:val="none" w:sz="0" w:space="0" w:color="auto"/>
        <w:right w:val="none" w:sz="0" w:space="0" w:color="auto"/>
      </w:divBdr>
      <w:divsChild>
        <w:div w:id="698701343">
          <w:marLeft w:val="547"/>
          <w:marRight w:val="0"/>
          <w:marTop w:val="134"/>
          <w:marBottom w:val="0"/>
          <w:divBdr>
            <w:top w:val="none" w:sz="0" w:space="0" w:color="auto"/>
            <w:left w:val="none" w:sz="0" w:space="0" w:color="auto"/>
            <w:bottom w:val="none" w:sz="0" w:space="0" w:color="auto"/>
            <w:right w:val="none" w:sz="0" w:space="0" w:color="auto"/>
          </w:divBdr>
        </w:div>
        <w:div w:id="930548914">
          <w:marLeft w:val="1166"/>
          <w:marRight w:val="0"/>
          <w:marTop w:val="118"/>
          <w:marBottom w:val="0"/>
          <w:divBdr>
            <w:top w:val="none" w:sz="0" w:space="0" w:color="auto"/>
            <w:left w:val="none" w:sz="0" w:space="0" w:color="auto"/>
            <w:bottom w:val="none" w:sz="0" w:space="0" w:color="auto"/>
            <w:right w:val="none" w:sz="0" w:space="0" w:color="auto"/>
          </w:divBdr>
        </w:div>
        <w:div w:id="878395012">
          <w:marLeft w:val="1166"/>
          <w:marRight w:val="0"/>
          <w:marTop w:val="134"/>
          <w:marBottom w:val="0"/>
          <w:divBdr>
            <w:top w:val="none" w:sz="0" w:space="0" w:color="auto"/>
            <w:left w:val="none" w:sz="0" w:space="0" w:color="auto"/>
            <w:bottom w:val="none" w:sz="0" w:space="0" w:color="auto"/>
            <w:right w:val="none" w:sz="0" w:space="0" w:color="auto"/>
          </w:divBdr>
        </w:div>
        <w:div w:id="1387484556">
          <w:marLeft w:val="1166"/>
          <w:marRight w:val="0"/>
          <w:marTop w:val="134"/>
          <w:marBottom w:val="0"/>
          <w:divBdr>
            <w:top w:val="none" w:sz="0" w:space="0" w:color="auto"/>
            <w:left w:val="none" w:sz="0" w:space="0" w:color="auto"/>
            <w:bottom w:val="none" w:sz="0" w:space="0" w:color="auto"/>
            <w:right w:val="none" w:sz="0" w:space="0" w:color="auto"/>
          </w:divBdr>
        </w:div>
      </w:divsChild>
    </w:div>
    <w:div w:id="2040275213">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2371</TotalTime>
  <Pages>1</Pages>
  <Words>1015</Words>
  <Characters>5792</Characters>
  <Application>Microsoft Office Word</Application>
  <DocSecurity>0</DocSecurity>
  <Lines>48</Lines>
  <Paragraphs>13</Paragraphs>
  <ScaleCrop>false</ScaleCrop>
  <Company>HUAWEI</Company>
  <LinksUpToDate>false</LinksUpToDate>
  <CharactersWithSpaces>6794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77</cp:revision>
  <dcterms:created xsi:type="dcterms:W3CDTF">2019-09-18T02:52:00Z</dcterms:created>
  <dcterms:modified xsi:type="dcterms:W3CDTF">2020-05-15T15:45:00Z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(3)MmuJVHGJOnndYR4Z75YI+4jR+cHFyGhwfMqt67KjmdlwWKug/j8+fAY1ROZ21RATdVvAjgAz
deK764vWjf12Liea+KalyMtFPqoTHa+gb/yIUyawc+ECQa6y6c8xG2ITJwDAfzZe4QtsDwBo
YqS7x+yBE1nwn0zpqyVb5MOJbpxgxB+r1qfB9I8c+G3WmEf7kXjjT8PBNKtY1Cy+GMufrg84
y/nusqXco6apQtI6qd</vt:lpwstr>
  </property>
  <property fmtid="{D5CDD505-2E9C-101B-9397-08002B2CF9AE}" pid="3" name="_2015_ms_pID_7253431">
    <vt:lpwstr>VilqgNvaW+apqoD3pQ0IosGmpcsp8NixrXUUy4mFChBebK23KQussX
oS79kRFzl4OZSwpqkukt0sJs0gDB+gug0C9gnC99HtETaFxYCs6042FfIk4+mEcKCi08QJdF
olf+onYnrKs5yAHUTlH6Ck61bT6YGjVUBbFeku0vlxTFuibTp59328MuHxmL/c5N27SQynne
kbaTIrMHARDHfSh19W7RZCL7JlmfliADOmU1</vt:lpwstr>
  </property>
  <property fmtid="{D5CDD505-2E9C-101B-9397-08002B2CF9AE}" pid="4" name="_2015_ms_pID_7253432">
    <vt:lpwstr>WAARFkipksXn76C1pOOJLnY=</vt:lpwstr>
  </property>
</Properties>
</file>