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6020C1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C8187B">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r w:rsidR="00F0520D">
        <w:rPr>
          <w:rFonts w:ascii="Arial" w:eastAsia="SimSun" w:hAnsi="Arial" w:cs="Times New Roman"/>
          <w:b/>
          <w:bCs/>
          <w:sz w:val="24"/>
          <w:szCs w:val="20"/>
          <w:lang w:val="en-GB" w:eastAsia="zh-CN"/>
        </w:rPr>
        <w:t>07151</w:t>
      </w:r>
    </w:p>
    <w:p w14:paraId="3DEDC117" w14:textId="676C837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0A576C">
        <w:rPr>
          <w:rFonts w:ascii="Arial" w:eastAsia="SimSun" w:hAnsi="Arial" w:cs="Times New Roman"/>
          <w:b/>
          <w:sz w:val="24"/>
          <w:szCs w:val="20"/>
          <w:lang w:val="en-GB"/>
        </w:rPr>
        <w:t>5</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June</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252BE7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D58AB">
        <w:rPr>
          <w:rFonts w:ascii="Arial" w:eastAsia="Calibri" w:hAnsi="Arial" w:cs="Arial"/>
          <w:b/>
          <w:bCs/>
          <w:sz w:val="24"/>
          <w:lang w:val="en-GB"/>
        </w:rPr>
        <w:t>NR EMR requirements for 3</w:t>
      </w:r>
      <w:r w:rsidR="00375729">
        <w:rPr>
          <w:rFonts w:ascii="Arial" w:eastAsia="Calibri" w:hAnsi="Arial" w:cs="Arial"/>
          <w:b/>
          <w:bCs/>
          <w:sz w:val="24"/>
          <w:lang w:val="en-GB"/>
        </w:rPr>
        <w:t>8</w:t>
      </w:r>
      <w:r w:rsidR="00AD58AB">
        <w:rPr>
          <w:rFonts w:ascii="Arial" w:eastAsia="Calibri" w:hAnsi="Arial" w:cs="Arial"/>
          <w:b/>
          <w:bCs/>
          <w:sz w:val="24"/>
          <w:lang w:val="en-GB"/>
        </w:rPr>
        <w:t>.133</w:t>
      </w:r>
      <w:r w:rsidRPr="00841BCD" w:rsidDel="000A742C">
        <w:rPr>
          <w:rFonts w:ascii="Arial" w:eastAsia="Calibri" w:hAnsi="Arial" w:cs="Arial"/>
          <w:b/>
          <w:bCs/>
          <w:sz w:val="24"/>
          <w:lang w:val="en-GB"/>
        </w:rPr>
        <w:t xml:space="preserve"> </w:t>
      </w:r>
    </w:p>
    <w:p w14:paraId="53921647" w14:textId="0C0AD82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F74BC">
        <w:rPr>
          <w:rFonts w:ascii="Arial" w:eastAsia="MS Mincho" w:hAnsi="Arial" w:cs="Arial"/>
          <w:b/>
          <w:bCs/>
          <w:sz w:val="24"/>
          <w:szCs w:val="20"/>
          <w:lang w:val="en-GB"/>
        </w:rPr>
        <w:t>6.6.3.</w:t>
      </w:r>
      <w:r w:rsidR="00F0520D">
        <w:rPr>
          <w:rFonts w:ascii="Arial" w:eastAsia="MS Mincho" w:hAnsi="Arial" w:cs="Arial"/>
          <w:b/>
          <w:bCs/>
          <w:sz w:val="24"/>
          <w:szCs w:val="20"/>
          <w:lang w:val="en-GB"/>
        </w:rPr>
        <w:t>1</w:t>
      </w:r>
      <w:r w:rsidR="007F74BC">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F0520D">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0E65FFFE" w:rsidR="00AD58AB" w:rsidRPr="00387C76" w:rsidRDefault="00B531A7" w:rsidP="00841BCD">
      <w:pPr>
        <w:ind w:right="-22"/>
        <w:rPr>
          <w:rFonts w:eastAsia="Calibri" w:cs="Times New Roman"/>
          <w:szCs w:val="20"/>
          <w:lang w:val="en-GB"/>
        </w:rPr>
      </w:pPr>
      <w:r>
        <w:rPr>
          <w:rFonts w:eastAsia="Calibri" w:cs="Times New Roman"/>
          <w:szCs w:val="20"/>
          <w:lang w:val="en-GB"/>
        </w:rPr>
        <w:t xml:space="preserve">In the last RAN4 meeting </w:t>
      </w:r>
      <w:proofErr w:type="gramStart"/>
      <w:r>
        <w:rPr>
          <w:rFonts w:eastAsia="Calibri" w:cs="Times New Roman"/>
          <w:szCs w:val="20"/>
          <w:lang w:val="en-GB"/>
        </w:rPr>
        <w:t>a number of</w:t>
      </w:r>
      <w:proofErr w:type="gramEnd"/>
      <w:r>
        <w:rPr>
          <w:rFonts w:eastAsia="Calibri" w:cs="Times New Roman"/>
          <w:szCs w:val="20"/>
          <w:lang w:val="en-GB"/>
        </w:rPr>
        <w:t xml:space="preserve"> agreements were reached related to NR EMR requirements. In [</w:t>
      </w:r>
      <w:r w:rsidR="00F0520D">
        <w:rPr>
          <w:rFonts w:eastAsia="Calibri" w:cs="Times New Roman"/>
          <w:szCs w:val="20"/>
          <w:lang w:val="en-GB"/>
        </w:rPr>
        <w:t>3</w:t>
      </w:r>
      <w:r>
        <w:rPr>
          <w:rFonts w:eastAsia="Calibri" w:cs="Times New Roman"/>
          <w:szCs w:val="20"/>
          <w:lang w:val="en-GB"/>
        </w:rPr>
        <w:t xml:space="preserve">] the </w:t>
      </w:r>
      <w:r w:rsidRPr="00387C76">
        <w:rPr>
          <w:rFonts w:eastAsia="Calibri" w:cs="Times New Roman"/>
          <w:szCs w:val="20"/>
          <w:lang w:val="en-GB"/>
        </w:rPr>
        <w:t>current agreements are captured as reference.</w:t>
      </w:r>
      <w:r w:rsidR="00AD58AB" w:rsidRPr="00387C76">
        <w:rPr>
          <w:rFonts w:eastAsia="Calibri" w:cs="Times New Roman"/>
          <w:szCs w:val="20"/>
          <w:lang w:val="en-GB"/>
        </w:rPr>
        <w:t xml:space="preserve"> </w:t>
      </w:r>
    </w:p>
    <w:p w14:paraId="034937BB" w14:textId="6046B80B" w:rsidR="005433E0" w:rsidRPr="00387C76" w:rsidRDefault="00B531A7" w:rsidP="00841BCD">
      <w:pPr>
        <w:ind w:right="-22"/>
        <w:rPr>
          <w:rFonts w:eastAsia="Calibri" w:cs="Times New Roman"/>
          <w:szCs w:val="20"/>
          <w:lang w:val="en-GB"/>
        </w:rPr>
      </w:pPr>
      <w:r w:rsidRPr="00387C76">
        <w:rPr>
          <w:rFonts w:eastAsia="Calibri" w:cs="Times New Roman"/>
          <w:szCs w:val="20"/>
          <w:lang w:val="en-GB"/>
        </w:rPr>
        <w:t xml:space="preserve">However, </w:t>
      </w:r>
      <w:r w:rsidR="00F0520D" w:rsidRPr="00387C76">
        <w:rPr>
          <w:rFonts w:eastAsia="Calibri" w:cs="Times New Roman"/>
          <w:szCs w:val="20"/>
          <w:lang w:val="en-GB"/>
        </w:rPr>
        <w:t>several</w:t>
      </w:r>
      <w:r w:rsidRPr="00387C76">
        <w:rPr>
          <w:rFonts w:eastAsia="Calibri" w:cs="Times New Roman"/>
          <w:szCs w:val="20"/>
          <w:lang w:val="en-GB"/>
        </w:rPr>
        <w:t xml:space="preserve"> issues are still open. One of the open items relates to UE search threshold – </w:t>
      </w:r>
      <w:r w:rsidR="003642C5" w:rsidRPr="00387C76">
        <w:rPr>
          <w:i/>
        </w:rPr>
        <w:t>s-</w:t>
      </w:r>
      <w:proofErr w:type="spellStart"/>
      <w:r w:rsidR="003642C5" w:rsidRPr="00387C76">
        <w:rPr>
          <w:i/>
        </w:rPr>
        <w:t>NonIntraSearch</w:t>
      </w:r>
      <w:proofErr w:type="spellEnd"/>
      <w:r w:rsidRPr="00387C76">
        <w:rPr>
          <w:rFonts w:eastAsia="Calibri" w:cs="Times New Roman"/>
          <w:szCs w:val="20"/>
          <w:lang w:val="en-GB"/>
        </w:rPr>
        <w:t xml:space="preserve">P and </w:t>
      </w:r>
      <w:r w:rsidR="003642C5" w:rsidRPr="00387C76">
        <w:rPr>
          <w:i/>
        </w:rPr>
        <w:t>s-</w:t>
      </w:r>
      <w:proofErr w:type="spellStart"/>
      <w:r w:rsidR="003642C5" w:rsidRPr="00387C76">
        <w:rPr>
          <w:i/>
        </w:rPr>
        <w:t>NonIntraSearch</w:t>
      </w:r>
      <w:proofErr w:type="spellEnd"/>
      <w:r w:rsidRPr="00387C76">
        <w:rPr>
          <w:rFonts w:eastAsia="Calibri" w:cs="Times New Roman"/>
          <w:szCs w:val="20"/>
          <w:lang w:val="en-GB"/>
        </w:rPr>
        <w:t>Q – applicability. This was discussed in last meeting and in this paper, we continue this discussion together with the other open items listed in the agreed WF [1].</w:t>
      </w:r>
    </w:p>
    <w:p w14:paraId="2FF6A72B" w14:textId="77777777" w:rsidR="003B659E" w:rsidRPr="00387C76" w:rsidRDefault="003B659E" w:rsidP="00AE56B1">
      <w:pPr>
        <w:pStyle w:val="RAN4H1"/>
      </w:pPr>
      <w:r w:rsidRPr="00387C76">
        <w:t>Discussion</w:t>
      </w:r>
    </w:p>
    <w:p w14:paraId="0285C40D" w14:textId="053BF94C" w:rsidR="00B531A7" w:rsidRPr="00387C76" w:rsidRDefault="00B55213" w:rsidP="00EA17AC">
      <w:pPr>
        <w:ind w:right="-22"/>
        <w:rPr>
          <w:rFonts w:eastAsia="Calibri" w:cs="Times New Roman"/>
          <w:szCs w:val="20"/>
          <w:lang w:val="en-GB"/>
        </w:rPr>
      </w:pPr>
      <w:proofErr w:type="gramStart"/>
      <w:r w:rsidRPr="00387C76">
        <w:rPr>
          <w:rFonts w:eastAsia="Calibri" w:cs="Times New Roman"/>
          <w:szCs w:val="20"/>
          <w:lang w:val="en-GB"/>
        </w:rPr>
        <w:t>A number of</w:t>
      </w:r>
      <w:proofErr w:type="gramEnd"/>
      <w:r w:rsidRPr="00387C76">
        <w:rPr>
          <w:rFonts w:eastAsia="Calibri" w:cs="Times New Roman"/>
          <w:szCs w:val="20"/>
          <w:lang w:val="en-GB"/>
        </w:rPr>
        <w:t xml:space="preserve"> aspects still needs to be discussed and agreed related to NR EMR. Based on the final agreed WF [1] and the meeting discussion at least following topics needs to be closed:</w:t>
      </w:r>
    </w:p>
    <w:p w14:paraId="68D778D4" w14:textId="10584123" w:rsidR="00B55213" w:rsidRDefault="00B55213" w:rsidP="00B55213">
      <w:pPr>
        <w:pStyle w:val="ListParagraph"/>
        <w:numPr>
          <w:ilvl w:val="0"/>
          <w:numId w:val="23"/>
        </w:numPr>
        <w:ind w:right="-22"/>
        <w:rPr>
          <w:rFonts w:eastAsia="Calibri" w:cs="Times New Roman"/>
          <w:szCs w:val="20"/>
          <w:lang w:val="en-GB"/>
        </w:rPr>
      </w:pPr>
      <w:r w:rsidRPr="00387C76">
        <w:rPr>
          <w:rFonts w:eastAsia="Calibri" w:cs="Times New Roman"/>
          <w:szCs w:val="20"/>
          <w:lang w:val="en-GB"/>
        </w:rPr>
        <w:t xml:space="preserve">Applicability of </w:t>
      </w:r>
      <w:r w:rsidR="003642C5" w:rsidRPr="00387C76">
        <w:rPr>
          <w:i/>
        </w:rPr>
        <w:t>s-</w:t>
      </w:r>
      <w:proofErr w:type="spellStart"/>
      <w:r w:rsidR="003642C5" w:rsidRPr="00387C76">
        <w:rPr>
          <w:i/>
        </w:rPr>
        <w:t>NonIntraSearch</w:t>
      </w:r>
      <w:proofErr w:type="spellEnd"/>
      <w:r w:rsidRPr="00387C76">
        <w:rPr>
          <w:rFonts w:eastAsia="Calibri" w:cs="Times New Roman"/>
          <w:szCs w:val="20"/>
          <w:lang w:val="en-GB"/>
        </w:rPr>
        <w:t xml:space="preserve"> thresholds</w:t>
      </w:r>
      <w:r>
        <w:rPr>
          <w:rFonts w:eastAsia="Calibri" w:cs="Times New Roman"/>
          <w:szCs w:val="20"/>
          <w:lang w:val="en-GB"/>
        </w:rPr>
        <w:t xml:space="preserve"> and EMR carriers.</w:t>
      </w:r>
    </w:p>
    <w:p w14:paraId="3DDA7C47" w14:textId="6FA28C1A" w:rsidR="00B55213" w:rsidRDefault="00B55213" w:rsidP="00B55213">
      <w:pPr>
        <w:pStyle w:val="ListParagraph"/>
        <w:numPr>
          <w:ilvl w:val="0"/>
          <w:numId w:val="23"/>
        </w:numPr>
        <w:ind w:right="-22"/>
        <w:rPr>
          <w:rFonts w:eastAsia="Calibri" w:cs="Times New Roman"/>
          <w:szCs w:val="20"/>
          <w:lang w:val="en-GB"/>
        </w:rPr>
      </w:pPr>
      <w:r>
        <w:rPr>
          <w:rFonts w:eastAsia="Calibri" w:cs="Times New Roman"/>
          <w:szCs w:val="20"/>
          <w:lang w:val="en-GB"/>
        </w:rPr>
        <w:t>Number of EMR carriers to measure.</w:t>
      </w:r>
    </w:p>
    <w:p w14:paraId="75D3F00B" w14:textId="140F6985" w:rsidR="00B55213" w:rsidRDefault="00B55213" w:rsidP="00B55213">
      <w:pPr>
        <w:pStyle w:val="ListParagraph"/>
        <w:numPr>
          <w:ilvl w:val="0"/>
          <w:numId w:val="23"/>
        </w:numPr>
        <w:ind w:right="-22"/>
        <w:rPr>
          <w:rFonts w:eastAsia="Calibri" w:cs="Times New Roman"/>
          <w:szCs w:val="20"/>
          <w:lang w:val="en-GB"/>
        </w:rPr>
      </w:pPr>
      <w:r>
        <w:rPr>
          <w:rFonts w:eastAsia="Calibri" w:cs="Times New Roman"/>
          <w:szCs w:val="20"/>
          <w:lang w:val="en-GB"/>
        </w:rPr>
        <w:t>Beam level measurements and reporting.</w:t>
      </w:r>
      <w:r w:rsidR="000D6177">
        <w:rPr>
          <w:rFonts w:eastAsia="Calibri" w:cs="Times New Roman"/>
          <w:szCs w:val="20"/>
          <w:lang w:val="en-GB"/>
        </w:rPr>
        <w:t xml:space="preserve"> </w:t>
      </w:r>
    </w:p>
    <w:p w14:paraId="0A5A7C0F" w14:textId="2E4FDFE5" w:rsidR="00B55213" w:rsidRDefault="00B55213" w:rsidP="00B55213">
      <w:pPr>
        <w:pStyle w:val="ListParagraph"/>
        <w:numPr>
          <w:ilvl w:val="0"/>
          <w:numId w:val="23"/>
        </w:numPr>
        <w:ind w:right="-22"/>
        <w:rPr>
          <w:rFonts w:eastAsia="Calibri" w:cs="Times New Roman"/>
          <w:szCs w:val="20"/>
          <w:lang w:val="en-GB"/>
        </w:rPr>
      </w:pPr>
      <w:r>
        <w:rPr>
          <w:rFonts w:eastAsia="Calibri" w:cs="Times New Roman"/>
          <w:szCs w:val="20"/>
          <w:lang w:val="en-GB"/>
        </w:rPr>
        <w:t>Detected cell status</w:t>
      </w:r>
      <w:r w:rsidR="00F0520D">
        <w:rPr>
          <w:rFonts w:eastAsia="Calibri" w:cs="Times New Roman"/>
          <w:szCs w:val="20"/>
          <w:lang w:val="en-GB"/>
        </w:rPr>
        <w:t>.</w:t>
      </w:r>
    </w:p>
    <w:p w14:paraId="2E357DA8" w14:textId="6E458C0D" w:rsidR="00B55213" w:rsidRDefault="00B55213" w:rsidP="00B55213">
      <w:pPr>
        <w:pStyle w:val="ListParagraph"/>
        <w:numPr>
          <w:ilvl w:val="0"/>
          <w:numId w:val="23"/>
        </w:numPr>
        <w:ind w:right="-22"/>
        <w:rPr>
          <w:rFonts w:eastAsia="Calibri" w:cs="Times New Roman"/>
          <w:szCs w:val="20"/>
          <w:lang w:val="en-GB"/>
        </w:rPr>
      </w:pPr>
      <w:r>
        <w:rPr>
          <w:rFonts w:eastAsia="Calibri" w:cs="Times New Roman"/>
          <w:szCs w:val="20"/>
          <w:lang w:val="en-GB"/>
        </w:rPr>
        <w:t>Requirements for non-overlapping EMR carriers.</w:t>
      </w:r>
    </w:p>
    <w:p w14:paraId="7D1ACE3F" w14:textId="4C230182" w:rsidR="00B55213" w:rsidRDefault="00B55213" w:rsidP="00B55213">
      <w:pPr>
        <w:pStyle w:val="ListParagraph"/>
        <w:numPr>
          <w:ilvl w:val="0"/>
          <w:numId w:val="23"/>
        </w:numPr>
        <w:ind w:right="-22"/>
        <w:rPr>
          <w:rFonts w:eastAsia="Calibri" w:cs="Times New Roman"/>
          <w:szCs w:val="20"/>
          <w:lang w:val="en-GB"/>
        </w:rPr>
      </w:pPr>
      <w:r>
        <w:rPr>
          <w:rFonts w:eastAsia="Calibri" w:cs="Times New Roman"/>
          <w:szCs w:val="20"/>
          <w:lang w:val="en-GB"/>
        </w:rPr>
        <w:t>UE EMR requirements when T331 has expired</w:t>
      </w:r>
      <w:r w:rsidR="00F0520D">
        <w:rPr>
          <w:rFonts w:eastAsia="Calibri" w:cs="Times New Roman"/>
          <w:szCs w:val="20"/>
          <w:lang w:val="en-GB"/>
        </w:rPr>
        <w:t>.</w:t>
      </w:r>
    </w:p>
    <w:p w14:paraId="44AF7541" w14:textId="2176DE69" w:rsidR="00B55213" w:rsidRPr="00B55213" w:rsidRDefault="00B55213" w:rsidP="00B55213">
      <w:pPr>
        <w:pStyle w:val="ListParagraph"/>
        <w:numPr>
          <w:ilvl w:val="0"/>
          <w:numId w:val="23"/>
        </w:numPr>
        <w:ind w:right="-22"/>
        <w:rPr>
          <w:rFonts w:eastAsia="Calibri" w:cs="Times New Roman"/>
          <w:szCs w:val="20"/>
          <w:lang w:val="en-GB"/>
        </w:rPr>
      </w:pPr>
      <w:r>
        <w:rPr>
          <w:rFonts w:eastAsia="Calibri" w:cs="Times New Roman"/>
          <w:szCs w:val="20"/>
          <w:lang w:val="en-GB"/>
        </w:rPr>
        <w:t>UE EMR requirements at cell change</w:t>
      </w:r>
      <w:r w:rsidR="00F0520D">
        <w:rPr>
          <w:rFonts w:eastAsia="Calibri" w:cs="Times New Roman"/>
          <w:szCs w:val="20"/>
          <w:lang w:val="en-GB"/>
        </w:rPr>
        <w:t>.</w:t>
      </w:r>
    </w:p>
    <w:p w14:paraId="3B1FA42D" w14:textId="4006B4C6" w:rsidR="00B55213" w:rsidRDefault="00B55213" w:rsidP="00EA17AC">
      <w:pPr>
        <w:ind w:right="-22"/>
        <w:rPr>
          <w:rFonts w:eastAsia="Calibri" w:cs="Times New Roman"/>
          <w:szCs w:val="20"/>
          <w:lang w:val="en-GB"/>
        </w:rPr>
      </w:pPr>
      <w:r>
        <w:rPr>
          <w:rFonts w:eastAsia="Calibri" w:cs="Times New Roman"/>
          <w:szCs w:val="20"/>
          <w:lang w:val="en-GB"/>
        </w:rPr>
        <w:t>Following we address all these topics. It should be noted that some agreements impacting these topics have already been agreed in RAN2 which needs to be followed by RAN4. In general, the guidelines were listed in chair minutes from last meeting:</w:t>
      </w:r>
    </w:p>
    <w:p w14:paraId="5C51DBC1" w14:textId="23091E88" w:rsidR="00B55213" w:rsidRDefault="00B55213" w:rsidP="00EA17AC">
      <w:pPr>
        <w:ind w:right="-22"/>
        <w:rPr>
          <w:rFonts w:eastAsia="Calibri" w:cs="Times New Roman"/>
          <w:szCs w:val="20"/>
          <w:lang w:val="en-GB"/>
        </w:rPr>
      </w:pPr>
      <w:bookmarkStart w:id="4" w:name="_Hlk39585289"/>
      <w:r>
        <w:rPr>
          <w:highlight w:val="yellow"/>
        </w:rPr>
        <w:t xml:space="preserve">Session chair: </w:t>
      </w:r>
      <w:r w:rsidRPr="00384838">
        <w:rPr>
          <w:highlight w:val="yellow"/>
        </w:rPr>
        <w:t xml:space="preserve">RAN4 shall follow RAN2 agreements and based on WID the LTE Rel-15 </w:t>
      </w:r>
      <w:proofErr w:type="spellStart"/>
      <w:r w:rsidRPr="00384838">
        <w:rPr>
          <w:highlight w:val="yellow"/>
        </w:rPr>
        <w:t>euCA</w:t>
      </w:r>
      <w:proofErr w:type="spellEnd"/>
      <w:r w:rsidRPr="00384838">
        <w:rPr>
          <w:highlight w:val="yellow"/>
        </w:rPr>
        <w:t xml:space="preserve"> work should be utilized when applicable (i.e. </w:t>
      </w:r>
      <w:r>
        <w:rPr>
          <w:highlight w:val="yellow"/>
        </w:rPr>
        <w:t xml:space="preserve">RAN4 needs to </w:t>
      </w:r>
      <w:r w:rsidRPr="00384838">
        <w:rPr>
          <w:highlight w:val="yellow"/>
        </w:rPr>
        <w:t xml:space="preserve">reuse the framework </w:t>
      </w:r>
      <w:r>
        <w:rPr>
          <w:highlight w:val="yellow"/>
        </w:rPr>
        <w:t xml:space="preserve">as much as possible </w:t>
      </w:r>
      <w:r w:rsidRPr="00384838">
        <w:rPr>
          <w:highlight w:val="yellow"/>
        </w:rPr>
        <w:t>unless critical issues identified)</w:t>
      </w:r>
      <w:bookmarkEnd w:id="4"/>
    </w:p>
    <w:p w14:paraId="4EE8F655" w14:textId="2E070517" w:rsidR="00FB5F77" w:rsidRDefault="003642C5" w:rsidP="00FB5F77">
      <w:pPr>
        <w:pStyle w:val="RAN4H2"/>
        <w:rPr>
          <w:rFonts w:eastAsia="Calibri"/>
          <w:lang w:val="en-GB"/>
        </w:rPr>
      </w:pPr>
      <w:r w:rsidRPr="00387C76">
        <w:rPr>
          <w:i/>
        </w:rPr>
        <w:t>s-</w:t>
      </w:r>
      <w:proofErr w:type="spellStart"/>
      <w:r w:rsidRPr="00387C76">
        <w:rPr>
          <w:i/>
        </w:rPr>
        <w:t>NonIntraSearch</w:t>
      </w:r>
      <w:proofErr w:type="spellEnd"/>
      <w:r w:rsidR="00FB5F77" w:rsidRPr="00387C76">
        <w:rPr>
          <w:rFonts w:eastAsia="Calibri"/>
          <w:lang w:val="en-GB"/>
        </w:rPr>
        <w:t xml:space="preserve"> thresholds</w:t>
      </w:r>
      <w:r w:rsidR="00FB5F77">
        <w:rPr>
          <w:rFonts w:eastAsia="Calibri"/>
          <w:lang w:val="en-GB"/>
        </w:rPr>
        <w:t xml:space="preserve"> and EMR carriers</w:t>
      </w:r>
    </w:p>
    <w:p w14:paraId="76BF1E73" w14:textId="5807BC9B" w:rsidR="003642C5" w:rsidRPr="00A74167" w:rsidRDefault="003642C5" w:rsidP="003642C5">
      <w:r>
        <w:rPr>
          <w:rFonts w:eastAsia="Calibri" w:cs="Times New Roman"/>
          <w:szCs w:val="20"/>
          <w:lang w:val="en-GB"/>
        </w:rPr>
        <w:t xml:space="preserve">Hence, </w:t>
      </w:r>
      <w:r>
        <w:t>f</w:t>
      </w:r>
      <w:r w:rsidRPr="00A74167">
        <w:t>or LTE Rel-15 EMR (enhanced utilization of carrier aggregation) it was decided in RAN2 that search thresholds (</w:t>
      </w:r>
      <w:r w:rsidRPr="003642C5">
        <w:rPr>
          <w:rFonts w:eastAsia="Calibri" w:cs="Times New Roman"/>
          <w:szCs w:val="20"/>
          <w:lang w:val="en-GB"/>
        </w:rPr>
        <w:t>s-</w:t>
      </w:r>
      <w:proofErr w:type="spellStart"/>
      <w:r w:rsidRPr="003642C5">
        <w:rPr>
          <w:rFonts w:eastAsia="Calibri" w:cs="Times New Roman"/>
          <w:szCs w:val="20"/>
          <w:lang w:val="en-GB"/>
        </w:rPr>
        <w:t>NonIntraSearch</w:t>
      </w:r>
      <w:proofErr w:type="spellEnd"/>
      <w:r w:rsidRPr="00A74167">
        <w:t>) do not apply to carrier configured for EMR (36.33</w:t>
      </w:r>
      <w:r w:rsidR="00F0520D">
        <w:t>1</w:t>
      </w:r>
      <w:r w:rsidRPr="00A74167">
        <w:t>, 5.6.20):</w:t>
      </w:r>
    </w:p>
    <w:p w14:paraId="1D001133" w14:textId="77777777" w:rsidR="003642C5" w:rsidRPr="000A10CE" w:rsidRDefault="003642C5" w:rsidP="003642C5">
      <w:pPr>
        <w:ind w:left="1304"/>
        <w:rPr>
          <w:i/>
          <w:iCs/>
        </w:rPr>
      </w:pPr>
      <w:r w:rsidRPr="000A10CE">
        <w:rPr>
          <w:i/>
          <w:iCs/>
        </w:rPr>
        <w:t>The fields s-</w:t>
      </w:r>
      <w:proofErr w:type="spellStart"/>
      <w:r w:rsidRPr="000A10CE">
        <w:rPr>
          <w:i/>
          <w:iCs/>
        </w:rPr>
        <w:t>NonIntraSearch</w:t>
      </w:r>
      <w:proofErr w:type="spellEnd"/>
      <w:r w:rsidRPr="000A10CE">
        <w:rPr>
          <w:i/>
          <w:iCs/>
        </w:rPr>
        <w:t xml:space="preserve"> in SystemInformationBlockType3 do not affect the UE measurement procedures in IDLE mode. How the UE performs measurements in IDLE mode is up to UE implementation </w:t>
      </w:r>
      <w:proofErr w:type="gramStart"/>
      <w:r w:rsidRPr="000A10CE">
        <w:rPr>
          <w:i/>
          <w:iCs/>
        </w:rPr>
        <w:t>as long as</w:t>
      </w:r>
      <w:proofErr w:type="gramEnd"/>
      <w:r w:rsidRPr="000A10CE">
        <w:rPr>
          <w:i/>
          <w:iCs/>
        </w:rPr>
        <w:t xml:space="preserve"> the requirements in TS 36.133 [16] are met for measurement reporting. UE is not required to perform idle measurements if SIB2 idle measurement indication is not configured.</w:t>
      </w:r>
    </w:p>
    <w:p w14:paraId="30E4A91B" w14:textId="30B6249C" w:rsidR="003642C5" w:rsidRDefault="003642C5" w:rsidP="003642C5">
      <w:pPr>
        <w:ind w:right="-22"/>
        <w:rPr>
          <w:rFonts w:eastAsia="Calibri" w:cs="Times New Roman"/>
          <w:szCs w:val="20"/>
          <w:lang w:val="en-GB"/>
        </w:rPr>
      </w:pPr>
      <w:r w:rsidRPr="003642C5">
        <w:rPr>
          <w:rFonts w:eastAsia="Calibri" w:cs="Times New Roman"/>
          <w:szCs w:val="20"/>
          <w:lang w:val="en-GB"/>
        </w:rPr>
        <w:t xml:space="preserve">In RAN4#93 Reno, it was agreed to align the RAN4 </w:t>
      </w:r>
      <w:proofErr w:type="spellStart"/>
      <w:r w:rsidRPr="003642C5">
        <w:rPr>
          <w:rFonts w:eastAsia="Calibri" w:cs="Times New Roman"/>
          <w:szCs w:val="20"/>
          <w:lang w:val="en-GB"/>
        </w:rPr>
        <w:t>euCA</w:t>
      </w:r>
      <w:proofErr w:type="spellEnd"/>
      <w:r w:rsidRPr="003642C5">
        <w:rPr>
          <w:rFonts w:eastAsia="Calibri" w:cs="Times New Roman"/>
          <w:szCs w:val="20"/>
          <w:lang w:val="en-GB"/>
        </w:rPr>
        <w:t xml:space="preserve"> requirements with the RAN2 decision stating the inter-frequency search thresholds (s-</w:t>
      </w:r>
      <w:proofErr w:type="spellStart"/>
      <w:r w:rsidRPr="003642C5">
        <w:rPr>
          <w:rFonts w:eastAsia="Calibri" w:cs="Times New Roman"/>
          <w:szCs w:val="20"/>
          <w:lang w:val="en-GB"/>
        </w:rPr>
        <w:t>NonIntraSearch</w:t>
      </w:r>
      <w:proofErr w:type="spellEnd"/>
      <w:r w:rsidRPr="003642C5">
        <w:rPr>
          <w:rFonts w:eastAsia="Calibri" w:cs="Times New Roman"/>
          <w:szCs w:val="20"/>
          <w:lang w:val="en-GB"/>
        </w:rPr>
        <w:t>) are not applied for carriers configured for early measurement reporting. The CR was agreed in [</w:t>
      </w:r>
      <w:r>
        <w:rPr>
          <w:rFonts w:eastAsia="Calibri" w:cs="Times New Roman"/>
          <w:szCs w:val="20"/>
          <w:lang w:val="en-GB"/>
        </w:rPr>
        <w:t>2</w:t>
      </w:r>
      <w:r w:rsidRPr="003642C5">
        <w:rPr>
          <w:rFonts w:eastAsia="Calibri" w:cs="Times New Roman"/>
          <w:szCs w:val="20"/>
          <w:lang w:val="en-GB"/>
        </w:rPr>
        <w:t>].</w:t>
      </w:r>
    </w:p>
    <w:p w14:paraId="70CDAF1F" w14:textId="2122478C" w:rsidR="003642C5" w:rsidRPr="00A74167" w:rsidRDefault="003642C5" w:rsidP="003642C5">
      <w:r w:rsidRPr="00A74167">
        <w:t>RAN2 has agreed similar text for NR EMR in 38.331 (5.7.8) for NR EMR</w:t>
      </w:r>
      <w:r>
        <w:t>.</w:t>
      </w:r>
      <w:r w:rsidRPr="00A74167">
        <w:t xml:space="preserve"> RAN2 </w:t>
      </w:r>
      <w:r w:rsidR="00F0520D">
        <w:t>has agreed that</w:t>
      </w:r>
      <w:r w:rsidRPr="00A74167">
        <w:t xml:space="preserve"> </w:t>
      </w:r>
      <w:r>
        <w:t>the</w:t>
      </w:r>
      <w:r w:rsidRPr="00A74167">
        <w:t xml:space="preserve"> applicability of </w:t>
      </w:r>
      <w:r w:rsidR="00F32A54" w:rsidRPr="003642C5">
        <w:rPr>
          <w:rFonts w:eastAsia="Calibri" w:cs="Times New Roman"/>
          <w:szCs w:val="20"/>
          <w:lang w:val="en-GB"/>
        </w:rPr>
        <w:t>s-</w:t>
      </w:r>
      <w:proofErr w:type="spellStart"/>
      <w:r w:rsidR="00F32A54" w:rsidRPr="003642C5">
        <w:rPr>
          <w:rFonts w:eastAsia="Calibri" w:cs="Times New Roman"/>
          <w:szCs w:val="20"/>
          <w:lang w:val="en-GB"/>
        </w:rPr>
        <w:t>NonIntraSearch</w:t>
      </w:r>
      <w:proofErr w:type="spellEnd"/>
      <w:r w:rsidRPr="00A74167">
        <w:t xml:space="preserve"> is </w:t>
      </w:r>
      <w:r>
        <w:t xml:space="preserve">the </w:t>
      </w:r>
      <w:r w:rsidRPr="00A74167">
        <w:t xml:space="preserve">same </w:t>
      </w:r>
      <w:r>
        <w:t xml:space="preserve">for NR as what is </w:t>
      </w:r>
      <w:r w:rsidR="00F32A54">
        <w:t xml:space="preserve">already </w:t>
      </w:r>
      <w:r>
        <w:t>defined for LTE</w:t>
      </w:r>
      <w:r w:rsidRPr="00A74167">
        <w:t>.</w:t>
      </w:r>
    </w:p>
    <w:p w14:paraId="1DC420CA" w14:textId="77777777" w:rsidR="003642C5" w:rsidRDefault="003642C5" w:rsidP="003642C5">
      <w:pPr>
        <w:ind w:left="1304"/>
        <w:rPr>
          <w:i/>
          <w:iCs/>
        </w:rPr>
      </w:pPr>
      <w:r w:rsidRPr="009B3BBE">
        <w:rPr>
          <w:i/>
          <w:iCs/>
        </w:rPr>
        <w:lastRenderedPageBreak/>
        <w:t xml:space="preserve">The </w:t>
      </w:r>
      <w:bookmarkStart w:id="5" w:name="_Hlk40178271"/>
      <w:r w:rsidRPr="009B3BBE">
        <w:rPr>
          <w:i/>
          <w:iCs/>
        </w:rPr>
        <w:t>fields s-</w:t>
      </w:r>
      <w:proofErr w:type="spellStart"/>
      <w:r w:rsidRPr="009B3BBE">
        <w:rPr>
          <w:i/>
          <w:iCs/>
        </w:rPr>
        <w:t>NonIntraSearchP</w:t>
      </w:r>
      <w:proofErr w:type="spellEnd"/>
      <w:r w:rsidRPr="009B3BBE">
        <w:rPr>
          <w:i/>
          <w:iCs/>
        </w:rPr>
        <w:t xml:space="preserve"> and s-</w:t>
      </w:r>
      <w:proofErr w:type="spellStart"/>
      <w:r w:rsidRPr="009B3BBE">
        <w:rPr>
          <w:i/>
          <w:iCs/>
        </w:rPr>
        <w:t>NonIntraSearchQ</w:t>
      </w:r>
      <w:bookmarkEnd w:id="5"/>
      <w:proofErr w:type="spellEnd"/>
      <w:r w:rsidRPr="009B3BBE">
        <w:rPr>
          <w:i/>
          <w:iCs/>
        </w:rPr>
        <w:t xml:space="preserve"> in SIB2 do not affect the idle/inactive UE measurement procedures. How the UE performs idle/inactive measurements is up to UE implementation </w:t>
      </w:r>
      <w:proofErr w:type="gramStart"/>
      <w:r w:rsidRPr="009B3BBE">
        <w:rPr>
          <w:i/>
          <w:iCs/>
        </w:rPr>
        <w:t>as long as</w:t>
      </w:r>
      <w:proofErr w:type="gramEnd"/>
      <w:r w:rsidRPr="009B3BBE">
        <w:rPr>
          <w:i/>
          <w:iCs/>
        </w:rPr>
        <w:t xml:space="preserve"> the requirements in TS 38.133 [14] are met for measurement reporting</w:t>
      </w:r>
    </w:p>
    <w:p w14:paraId="199A24B0" w14:textId="6F7896B5" w:rsidR="00F32A54" w:rsidRPr="00F32A54" w:rsidRDefault="00F32A54" w:rsidP="00F32A54">
      <w:pPr>
        <w:ind w:right="-22"/>
        <w:rPr>
          <w:rFonts w:eastAsia="Calibri" w:cs="Times New Roman"/>
          <w:szCs w:val="20"/>
          <w:lang w:val="en-GB"/>
        </w:rPr>
      </w:pPr>
      <w:r>
        <w:rPr>
          <w:rFonts w:eastAsia="Calibri" w:cs="Times New Roman"/>
          <w:szCs w:val="20"/>
          <w:lang w:val="en-GB"/>
        </w:rPr>
        <w:t xml:space="preserve">Additionally, </w:t>
      </w:r>
      <w:r w:rsidRPr="00F32A54">
        <w:rPr>
          <w:rFonts w:eastAsia="Calibri" w:cs="Times New Roman"/>
          <w:szCs w:val="20"/>
          <w:lang w:val="en-GB"/>
        </w:rPr>
        <w:t xml:space="preserve">the guidance from the WID is to follow LTE Rel-15 </w:t>
      </w:r>
      <w:proofErr w:type="spellStart"/>
      <w:r w:rsidRPr="00F32A54">
        <w:rPr>
          <w:rFonts w:eastAsia="Calibri" w:cs="Times New Roman"/>
          <w:szCs w:val="20"/>
          <w:lang w:val="en-GB"/>
        </w:rPr>
        <w:t>euCA</w:t>
      </w:r>
      <w:proofErr w:type="spellEnd"/>
      <w:r w:rsidRPr="00F32A54">
        <w:rPr>
          <w:rFonts w:eastAsia="Calibri" w:cs="Times New Roman"/>
          <w:szCs w:val="20"/>
          <w:lang w:val="en-GB"/>
        </w:rPr>
        <w:t>:</w:t>
      </w:r>
    </w:p>
    <w:p w14:paraId="497E3BB8" w14:textId="77777777" w:rsidR="00F32A54" w:rsidRPr="00F32A54" w:rsidRDefault="00F32A54" w:rsidP="00F32A54">
      <w:pPr>
        <w:numPr>
          <w:ilvl w:val="0"/>
          <w:numId w:val="24"/>
        </w:numPr>
        <w:ind w:right="-22"/>
        <w:rPr>
          <w:rFonts w:eastAsia="Calibri" w:cs="Times New Roman"/>
          <w:bCs/>
          <w:szCs w:val="20"/>
        </w:rPr>
      </w:pPr>
      <w:r w:rsidRPr="00F32A54">
        <w:rPr>
          <w:rFonts w:eastAsia="Calibri" w:cs="Times New Roman"/>
          <w:b/>
          <w:bCs/>
          <w:szCs w:val="20"/>
        </w:rPr>
        <w:t xml:space="preserve">Early Measurement reporting: </w:t>
      </w:r>
      <w:r w:rsidRPr="00F32A54">
        <w:rPr>
          <w:rFonts w:eastAsia="Calibri" w:cs="Times New Roman"/>
          <w:bCs/>
          <w:szCs w:val="20"/>
        </w:rPr>
        <w:t>Early and fast reporting of measurements information availability from neighbor and serving cells to reduce delay setting up MR-DC and/or CA. [RAN2, RAN4]</w:t>
      </w:r>
    </w:p>
    <w:p w14:paraId="0AC5DC23" w14:textId="77777777" w:rsidR="00F32A54" w:rsidRPr="00F32A54" w:rsidRDefault="00F32A54" w:rsidP="00F32A54">
      <w:pPr>
        <w:numPr>
          <w:ilvl w:val="1"/>
          <w:numId w:val="24"/>
        </w:numPr>
        <w:ind w:right="-22"/>
        <w:rPr>
          <w:rFonts w:eastAsia="Calibri" w:cs="Times New Roman"/>
          <w:bCs/>
          <w:szCs w:val="20"/>
        </w:rPr>
      </w:pPr>
      <w:r w:rsidRPr="00F32A54">
        <w:rPr>
          <w:rFonts w:eastAsia="Calibri" w:cs="Times New Roman"/>
          <w:bCs/>
          <w:szCs w:val="20"/>
        </w:rPr>
        <w:t>This objective applies to MR-DC, NR-NR DC and CA</w:t>
      </w:r>
    </w:p>
    <w:p w14:paraId="639AD978" w14:textId="77777777" w:rsidR="00F32A54" w:rsidRPr="00F32A54" w:rsidRDefault="00F32A54" w:rsidP="00F32A54">
      <w:pPr>
        <w:numPr>
          <w:ilvl w:val="1"/>
          <w:numId w:val="24"/>
        </w:numPr>
        <w:ind w:right="-22"/>
        <w:rPr>
          <w:rFonts w:eastAsia="Calibri" w:cs="Times New Roman"/>
          <w:bCs/>
          <w:szCs w:val="20"/>
        </w:rPr>
      </w:pPr>
      <w:r w:rsidRPr="00F32A54">
        <w:rPr>
          <w:rFonts w:eastAsia="Calibri" w:cs="Times New Roman"/>
          <w:bCs/>
          <w:szCs w:val="20"/>
        </w:rPr>
        <w:t>The objective should consider measurements in IDLE, INACTIVE mode and CONNECTED mode</w:t>
      </w:r>
    </w:p>
    <w:p w14:paraId="4695B79F" w14:textId="77777777" w:rsidR="00F32A54" w:rsidRPr="00F32A54" w:rsidRDefault="00F32A54" w:rsidP="00F32A54">
      <w:pPr>
        <w:numPr>
          <w:ilvl w:val="1"/>
          <w:numId w:val="24"/>
        </w:numPr>
        <w:ind w:right="-22"/>
        <w:rPr>
          <w:rFonts w:eastAsia="Calibri" w:cs="Times New Roman"/>
          <w:bCs/>
          <w:szCs w:val="20"/>
        </w:rPr>
      </w:pPr>
      <w:r w:rsidRPr="00F32A54">
        <w:rPr>
          <w:rFonts w:eastAsia="Calibri" w:cs="Times New Roman"/>
          <w:bCs/>
          <w:szCs w:val="20"/>
        </w:rPr>
        <w:t>The impacts on UE power consumption should be minimized</w:t>
      </w:r>
    </w:p>
    <w:p w14:paraId="78B21F3B" w14:textId="77777777" w:rsidR="00F32A54" w:rsidRPr="00F32A54" w:rsidRDefault="00F32A54" w:rsidP="00F32A54">
      <w:pPr>
        <w:numPr>
          <w:ilvl w:val="1"/>
          <w:numId w:val="24"/>
        </w:numPr>
        <w:ind w:right="-22"/>
        <w:rPr>
          <w:rFonts w:eastAsia="Calibri" w:cs="Times New Roman"/>
          <w:bCs/>
          <w:szCs w:val="20"/>
          <w:u w:val="single"/>
        </w:rPr>
      </w:pPr>
      <w:r w:rsidRPr="00F32A54">
        <w:rPr>
          <w:rFonts w:eastAsia="Calibri" w:cs="Times New Roman"/>
          <w:bCs/>
          <w:szCs w:val="20"/>
          <w:u w:val="single"/>
        </w:rPr>
        <w:t xml:space="preserve">The LTE Rel-15 </w:t>
      </w:r>
      <w:proofErr w:type="spellStart"/>
      <w:r w:rsidRPr="00F32A54">
        <w:rPr>
          <w:rFonts w:eastAsia="Calibri" w:cs="Times New Roman"/>
          <w:bCs/>
          <w:szCs w:val="20"/>
          <w:u w:val="single"/>
        </w:rPr>
        <w:t>euCA</w:t>
      </w:r>
      <w:proofErr w:type="spellEnd"/>
      <w:r w:rsidRPr="00F32A54">
        <w:rPr>
          <w:rFonts w:eastAsia="Calibri" w:cs="Times New Roman"/>
          <w:bCs/>
          <w:szCs w:val="20"/>
          <w:u w:val="single"/>
        </w:rPr>
        <w:t xml:space="preserve"> work should be utilized, when applicable</w:t>
      </w:r>
    </w:p>
    <w:p w14:paraId="1688F93D" w14:textId="70DDBBA3" w:rsidR="00FB5F77" w:rsidRDefault="00F32A54" w:rsidP="00EA17AC">
      <w:pPr>
        <w:ind w:right="-22"/>
        <w:rPr>
          <w:rFonts w:eastAsia="Calibri" w:cs="Times New Roman"/>
          <w:szCs w:val="20"/>
        </w:rPr>
      </w:pPr>
      <w:r>
        <w:rPr>
          <w:rFonts w:eastAsia="Calibri" w:cs="Times New Roman"/>
          <w:szCs w:val="20"/>
        </w:rPr>
        <w:t xml:space="preserve">Unless the LTE Rel-15 </w:t>
      </w:r>
      <w:proofErr w:type="spellStart"/>
      <w:r>
        <w:rPr>
          <w:rFonts w:eastAsia="Calibri" w:cs="Times New Roman"/>
          <w:szCs w:val="20"/>
        </w:rPr>
        <w:t>euCA</w:t>
      </w:r>
      <w:proofErr w:type="spellEnd"/>
      <w:r>
        <w:rPr>
          <w:rFonts w:eastAsia="Calibri" w:cs="Times New Roman"/>
          <w:szCs w:val="20"/>
        </w:rPr>
        <w:t xml:space="preserve"> defined behavior and requirements are broken or cannot be applied to NR EMR, the LTE Rel-15 </w:t>
      </w:r>
      <w:proofErr w:type="spellStart"/>
      <w:r>
        <w:rPr>
          <w:rFonts w:eastAsia="Calibri" w:cs="Times New Roman"/>
          <w:szCs w:val="20"/>
        </w:rPr>
        <w:t>euCA</w:t>
      </w:r>
      <w:proofErr w:type="spellEnd"/>
      <w:r>
        <w:rPr>
          <w:rFonts w:eastAsia="Calibri" w:cs="Times New Roman"/>
          <w:szCs w:val="20"/>
        </w:rPr>
        <w:t xml:space="preserve"> work shall be utilized.</w:t>
      </w:r>
    </w:p>
    <w:p w14:paraId="05745EBE" w14:textId="565C68F9" w:rsidR="00B01AF2" w:rsidRDefault="00F0520D" w:rsidP="00EA17AC">
      <w:pPr>
        <w:ind w:right="-22"/>
        <w:rPr>
          <w:rFonts w:eastAsia="Calibri" w:cs="Times New Roman"/>
          <w:szCs w:val="20"/>
        </w:rPr>
      </w:pPr>
      <w:r>
        <w:rPr>
          <w:rFonts w:eastAsia="Calibri" w:cs="Times New Roman"/>
          <w:szCs w:val="20"/>
        </w:rPr>
        <w:t>Hence,</w:t>
      </w:r>
      <w:r w:rsidR="00A927EE">
        <w:rPr>
          <w:rFonts w:eastAsia="Calibri" w:cs="Times New Roman"/>
          <w:szCs w:val="20"/>
        </w:rPr>
        <w:t xml:space="preserve"> RAN4 </w:t>
      </w:r>
      <w:r w:rsidR="007E2633">
        <w:rPr>
          <w:rFonts w:eastAsia="Calibri" w:cs="Times New Roman"/>
          <w:szCs w:val="20"/>
        </w:rPr>
        <w:t>applies</w:t>
      </w:r>
      <w:r w:rsidR="00A927EE">
        <w:rPr>
          <w:rFonts w:eastAsia="Calibri" w:cs="Times New Roman"/>
          <w:szCs w:val="20"/>
        </w:rPr>
        <w:t xml:space="preserve"> the principles laid out by LTE </w:t>
      </w:r>
      <w:proofErr w:type="spellStart"/>
      <w:r w:rsidR="00A927EE">
        <w:rPr>
          <w:rFonts w:eastAsia="Calibri" w:cs="Times New Roman"/>
          <w:szCs w:val="20"/>
        </w:rPr>
        <w:t>euCA</w:t>
      </w:r>
      <w:proofErr w:type="spellEnd"/>
      <w:r w:rsidR="00A927EE">
        <w:rPr>
          <w:rFonts w:eastAsia="Calibri" w:cs="Times New Roman"/>
          <w:szCs w:val="20"/>
        </w:rPr>
        <w:t xml:space="preserve">, the WID and RAN2, and develop UE </w:t>
      </w:r>
      <w:r w:rsidR="007E2633">
        <w:rPr>
          <w:rFonts w:eastAsia="Calibri" w:cs="Times New Roman"/>
          <w:szCs w:val="20"/>
        </w:rPr>
        <w:t xml:space="preserve">NR </w:t>
      </w:r>
      <w:r w:rsidR="00A927EE">
        <w:rPr>
          <w:rFonts w:eastAsia="Calibri" w:cs="Times New Roman"/>
          <w:szCs w:val="20"/>
        </w:rPr>
        <w:t xml:space="preserve">EMR </w:t>
      </w:r>
      <w:r w:rsidR="007E2633">
        <w:rPr>
          <w:rFonts w:eastAsia="Calibri" w:cs="Times New Roman"/>
          <w:szCs w:val="20"/>
        </w:rPr>
        <w:t xml:space="preserve">measurement </w:t>
      </w:r>
      <w:r w:rsidR="00A927EE">
        <w:rPr>
          <w:rFonts w:eastAsia="Calibri" w:cs="Times New Roman"/>
          <w:szCs w:val="20"/>
        </w:rPr>
        <w:t xml:space="preserve">requirements accordingly. To ensure clarity of the requirements the principle of </w:t>
      </w:r>
      <w:r w:rsidR="00A927EE" w:rsidRPr="00A927EE">
        <w:rPr>
          <w:rFonts w:eastAsia="Calibri" w:cs="Times New Roman"/>
          <w:szCs w:val="20"/>
        </w:rPr>
        <w:t>s-</w:t>
      </w:r>
      <w:proofErr w:type="spellStart"/>
      <w:r w:rsidR="00A927EE" w:rsidRPr="00A927EE">
        <w:rPr>
          <w:rFonts w:eastAsia="Calibri" w:cs="Times New Roman"/>
          <w:szCs w:val="20"/>
        </w:rPr>
        <w:t>NonIntraSearchP</w:t>
      </w:r>
      <w:proofErr w:type="spellEnd"/>
      <w:r w:rsidR="00A927EE" w:rsidRPr="00A927EE">
        <w:rPr>
          <w:rFonts w:eastAsia="Calibri" w:cs="Times New Roman"/>
          <w:szCs w:val="20"/>
        </w:rPr>
        <w:t xml:space="preserve"> and s-</w:t>
      </w:r>
      <w:proofErr w:type="spellStart"/>
      <w:r w:rsidR="00A927EE" w:rsidRPr="00A927EE">
        <w:rPr>
          <w:rFonts w:eastAsia="Calibri" w:cs="Times New Roman"/>
          <w:szCs w:val="20"/>
        </w:rPr>
        <w:t>NonIntraSearchQ</w:t>
      </w:r>
      <w:proofErr w:type="spellEnd"/>
      <w:r w:rsidR="00A927EE">
        <w:rPr>
          <w:rFonts w:eastAsia="Calibri" w:cs="Times New Roman"/>
          <w:szCs w:val="20"/>
        </w:rPr>
        <w:t xml:space="preserve"> not affecting the idle/inactive mode measurement procedures </w:t>
      </w:r>
      <w:r w:rsidR="007E2633">
        <w:rPr>
          <w:rFonts w:eastAsia="Calibri" w:cs="Times New Roman"/>
          <w:szCs w:val="20"/>
        </w:rPr>
        <w:t>should</w:t>
      </w:r>
      <w:r w:rsidR="00A927EE">
        <w:rPr>
          <w:rFonts w:eastAsia="Calibri" w:cs="Times New Roman"/>
          <w:szCs w:val="20"/>
        </w:rPr>
        <w:t xml:space="preserve"> </w:t>
      </w:r>
      <w:r w:rsidR="007E2633">
        <w:rPr>
          <w:rFonts w:eastAsia="Calibri" w:cs="Times New Roman"/>
          <w:szCs w:val="20"/>
        </w:rPr>
        <w:t xml:space="preserve">additionally </w:t>
      </w:r>
      <w:r w:rsidR="00A927EE">
        <w:rPr>
          <w:rFonts w:eastAsia="Calibri" w:cs="Times New Roman"/>
          <w:szCs w:val="20"/>
        </w:rPr>
        <w:t>be captured in the RAN4 specification.</w:t>
      </w:r>
    </w:p>
    <w:p w14:paraId="4E5B41D4" w14:textId="7AF4D719" w:rsidR="00A927EE" w:rsidRDefault="00A927EE" w:rsidP="00A927EE">
      <w:pPr>
        <w:pStyle w:val="RAN4observation0"/>
      </w:pP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do not affect the idle/inactive mode measurement procedures.</w:t>
      </w:r>
    </w:p>
    <w:p w14:paraId="278A6918" w14:textId="3D120E07" w:rsidR="00A927EE" w:rsidRPr="00A927EE" w:rsidRDefault="00A927EE" w:rsidP="00A927EE">
      <w:pPr>
        <w:pStyle w:val="RAN4proposal"/>
        <w:rPr>
          <w:lang w:val="en-GB"/>
        </w:rPr>
      </w:pPr>
      <w:r>
        <w:rPr>
          <w:lang w:val="en-GB"/>
        </w:rPr>
        <w:t xml:space="preserve">UE </w:t>
      </w:r>
      <w:r w:rsidR="007E2633">
        <w:rPr>
          <w:lang w:val="en-GB"/>
        </w:rPr>
        <w:t xml:space="preserve">NR </w:t>
      </w:r>
      <w:r>
        <w:rPr>
          <w:lang w:val="en-GB"/>
        </w:rPr>
        <w:t xml:space="preserve">EMR requirements </w:t>
      </w:r>
      <w:r w:rsidR="00387AFA">
        <w:rPr>
          <w:lang w:val="en-GB"/>
        </w:rPr>
        <w:t xml:space="preserve">capture that </w:t>
      </w:r>
      <w:r w:rsidR="00387AFA" w:rsidRPr="00A927EE">
        <w:t>s-</w:t>
      </w:r>
      <w:proofErr w:type="spellStart"/>
      <w:r w:rsidR="00387AFA" w:rsidRPr="00A927EE">
        <w:t>NonIntraSearchP</w:t>
      </w:r>
      <w:proofErr w:type="spellEnd"/>
      <w:r w:rsidR="00387AFA" w:rsidRPr="00A927EE">
        <w:t xml:space="preserve"> and s-</w:t>
      </w:r>
      <w:proofErr w:type="spellStart"/>
      <w:r w:rsidR="00387AFA" w:rsidRPr="00A927EE">
        <w:t>NonIntraSearchQ</w:t>
      </w:r>
      <w:proofErr w:type="spellEnd"/>
      <w:r w:rsidR="00387AFA">
        <w:t xml:space="preserve"> do not affect the idle/inactive mode measurement procedures.</w:t>
      </w:r>
    </w:p>
    <w:p w14:paraId="4538F54F" w14:textId="6AB4C950" w:rsidR="00E667A3" w:rsidRDefault="00E667A3" w:rsidP="00EA17AC">
      <w:pPr>
        <w:ind w:right="-22"/>
        <w:rPr>
          <w:rFonts w:eastAsia="Calibri" w:cs="Times New Roman"/>
          <w:szCs w:val="20"/>
          <w:lang w:val="en-GB"/>
        </w:rPr>
      </w:pPr>
      <w:r>
        <w:rPr>
          <w:rFonts w:eastAsia="Calibri" w:cs="Times New Roman"/>
          <w:szCs w:val="20"/>
          <w:lang w:val="en-GB"/>
        </w:rPr>
        <w:t>One example TP how to capture such requirement:</w:t>
      </w:r>
    </w:p>
    <w:p w14:paraId="37A43CCC" w14:textId="161080C8" w:rsidR="00E667A3" w:rsidRDefault="00E667A3" w:rsidP="00E667A3">
      <w:pPr>
        <w:ind w:left="720" w:right="-22"/>
        <w:rPr>
          <w:rFonts w:eastAsia="Calibri" w:cs="Times New Roman"/>
          <w:szCs w:val="20"/>
          <w:lang w:val="en-GB"/>
        </w:rPr>
      </w:pPr>
      <w:r>
        <w:t xml:space="preserve">Configured </w:t>
      </w:r>
      <w:proofErr w:type="spellStart"/>
      <w:r>
        <w:t>S</w:t>
      </w:r>
      <w:r w:rsidRPr="00E15170">
        <w:rPr>
          <w:vertAlign w:val="subscript"/>
        </w:rPr>
        <w:t>nonIntraSearchP</w:t>
      </w:r>
      <w:proofErr w:type="spellEnd"/>
      <w:r>
        <w:t xml:space="preserve"> or </w:t>
      </w:r>
      <w:proofErr w:type="spellStart"/>
      <w:r>
        <w:t>S</w:t>
      </w:r>
      <w:r w:rsidRPr="00E15170">
        <w:rPr>
          <w:vertAlign w:val="subscript"/>
        </w:rPr>
        <w:t>nonIntraSearchP</w:t>
      </w:r>
      <w:proofErr w:type="spellEnd"/>
      <w:r>
        <w:t xml:space="preserve"> do not apply to inter-frequency CA and DC candidate frequencies/cells and inter-RAT DC candidate frequencies/cells.</w:t>
      </w:r>
    </w:p>
    <w:p w14:paraId="0E69A33D" w14:textId="3A84D184" w:rsidR="00387AFA" w:rsidRDefault="00387AFA" w:rsidP="00EA17AC">
      <w:pPr>
        <w:ind w:right="-22"/>
        <w:rPr>
          <w:rFonts w:eastAsia="Calibri" w:cs="Times New Roman"/>
          <w:szCs w:val="20"/>
          <w:lang w:val="en-GB"/>
        </w:rPr>
      </w:pPr>
      <w:r>
        <w:rPr>
          <w:rFonts w:eastAsia="Calibri" w:cs="Times New Roman"/>
          <w:szCs w:val="20"/>
          <w:lang w:val="en-GB"/>
        </w:rPr>
        <w:t>In [</w:t>
      </w:r>
      <w:r w:rsidR="007E2633">
        <w:rPr>
          <w:rFonts w:eastAsia="Calibri" w:cs="Times New Roman"/>
          <w:szCs w:val="20"/>
          <w:lang w:val="en-GB"/>
        </w:rPr>
        <w:t>4</w:t>
      </w:r>
      <w:r>
        <w:rPr>
          <w:rFonts w:eastAsia="Calibri" w:cs="Times New Roman"/>
          <w:szCs w:val="20"/>
          <w:lang w:val="en-GB"/>
        </w:rPr>
        <w:t>] we have provided an example.</w:t>
      </w:r>
    </w:p>
    <w:p w14:paraId="012DCFA8" w14:textId="244C242F" w:rsidR="00387AFA" w:rsidRPr="00E07937" w:rsidRDefault="00E667A3" w:rsidP="00EA17AC">
      <w:pPr>
        <w:ind w:right="-22"/>
        <w:rPr>
          <w:rFonts w:eastAsia="Calibri" w:cs="Times New Roman"/>
          <w:szCs w:val="20"/>
          <w:lang w:val="en-GB"/>
        </w:rPr>
      </w:pPr>
      <w:r>
        <w:rPr>
          <w:rFonts w:eastAsia="Calibri" w:cs="Times New Roman"/>
          <w:szCs w:val="20"/>
          <w:lang w:val="en-GB"/>
        </w:rPr>
        <w:t xml:space="preserve">This requirement will apply for all </w:t>
      </w:r>
      <w:r w:rsidR="00E07937">
        <w:rPr>
          <w:rFonts w:eastAsia="Calibri" w:cs="Times New Roman"/>
          <w:szCs w:val="20"/>
          <w:lang w:val="en-GB"/>
        </w:rPr>
        <w:t xml:space="preserve">EMR </w:t>
      </w:r>
      <w:r>
        <w:rPr>
          <w:rFonts w:eastAsia="Calibri" w:cs="Times New Roman"/>
          <w:szCs w:val="20"/>
          <w:lang w:val="en-GB"/>
        </w:rPr>
        <w:t>carrier</w:t>
      </w:r>
      <w:r w:rsidR="00E07937">
        <w:rPr>
          <w:rFonts w:eastAsia="Calibri" w:cs="Times New Roman"/>
          <w:szCs w:val="20"/>
          <w:lang w:val="en-GB"/>
        </w:rPr>
        <w:t xml:space="preserve">s. E.g. for overlapping EMR inter-frequency carriers, these will be measured according to the requirements in section 4.2.2.4 as if </w:t>
      </w:r>
      <w:proofErr w:type="spellStart"/>
      <w:r w:rsidR="00E07937">
        <w:t>S</w:t>
      </w:r>
      <w:r w:rsidR="00E07937" w:rsidRPr="00E15170">
        <w:rPr>
          <w:vertAlign w:val="subscript"/>
        </w:rPr>
        <w:t>nonIntraSearchP</w:t>
      </w:r>
      <w:proofErr w:type="spellEnd"/>
      <w:r w:rsidR="00E07937">
        <w:t xml:space="preserve"> or </w:t>
      </w:r>
      <w:proofErr w:type="spellStart"/>
      <w:r w:rsidR="00E07937">
        <w:t>S</w:t>
      </w:r>
      <w:r w:rsidR="00E07937" w:rsidRPr="00E15170">
        <w:rPr>
          <w:vertAlign w:val="subscript"/>
        </w:rPr>
        <w:t>nonIntraSearchP</w:t>
      </w:r>
      <w:proofErr w:type="spellEnd"/>
      <w:r w:rsidR="00E07937">
        <w:t xml:space="preserve"> are not configured by the network.</w:t>
      </w:r>
    </w:p>
    <w:p w14:paraId="4501AA04" w14:textId="3CB1CE34" w:rsidR="00387AFA" w:rsidRDefault="00E07937" w:rsidP="00E07937">
      <w:pPr>
        <w:pStyle w:val="RAN4observation0"/>
      </w:pP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not affecting the idle/inactive mode measurement procedures applies generically to all configured EMR carriers.</w:t>
      </w:r>
    </w:p>
    <w:p w14:paraId="5B0EC00D" w14:textId="0BCDC2B0" w:rsidR="00E667A3" w:rsidRDefault="00E667A3" w:rsidP="00EA17AC">
      <w:pPr>
        <w:ind w:right="-22"/>
        <w:rPr>
          <w:rFonts w:eastAsia="Calibri" w:cs="Times New Roman"/>
          <w:szCs w:val="20"/>
          <w:lang w:val="en-GB"/>
        </w:rPr>
      </w:pPr>
    </w:p>
    <w:p w14:paraId="6FB296C7" w14:textId="59A6347B" w:rsidR="002A5EE4" w:rsidRDefault="002A5EE4" w:rsidP="002A5EE4">
      <w:pPr>
        <w:pStyle w:val="RAN4H2"/>
        <w:rPr>
          <w:rFonts w:eastAsia="Calibri"/>
          <w:lang w:val="en-GB"/>
        </w:rPr>
      </w:pPr>
      <w:r>
        <w:rPr>
          <w:rFonts w:eastAsia="Calibri"/>
          <w:lang w:val="en-GB"/>
        </w:rPr>
        <w:t>Number of EMR carriers to monitor</w:t>
      </w:r>
    </w:p>
    <w:p w14:paraId="227A44E1" w14:textId="29800341" w:rsidR="002A5EE4" w:rsidRDefault="002A5EE4" w:rsidP="00EA17AC">
      <w:pPr>
        <w:ind w:right="-22"/>
        <w:rPr>
          <w:rFonts w:eastAsia="Calibri" w:cs="Times New Roman"/>
          <w:szCs w:val="20"/>
          <w:lang w:val="en-GB"/>
        </w:rPr>
      </w:pPr>
      <w:r>
        <w:rPr>
          <w:rFonts w:eastAsia="Calibri" w:cs="Times New Roman"/>
          <w:szCs w:val="20"/>
          <w:lang w:val="en-GB"/>
        </w:rPr>
        <w:t>In last meeting the agreed WF included the topic related to number of EMR carrier monitor:</w:t>
      </w:r>
    </w:p>
    <w:p w14:paraId="65804DAA" w14:textId="77777777" w:rsidR="002A5EE4" w:rsidRPr="002A5EE4" w:rsidRDefault="002A5EE4" w:rsidP="00174E59">
      <w:pPr>
        <w:numPr>
          <w:ilvl w:val="0"/>
          <w:numId w:val="26"/>
        </w:numPr>
        <w:ind w:right="-22"/>
        <w:rPr>
          <w:rFonts w:eastAsia="Calibri" w:cs="Times New Roman"/>
          <w:szCs w:val="20"/>
          <w:lang w:val="en-GB"/>
        </w:rPr>
      </w:pPr>
      <w:r w:rsidRPr="002A5EE4">
        <w:rPr>
          <w:rFonts w:eastAsia="Calibri" w:cs="Times New Roman"/>
          <w:szCs w:val="20"/>
        </w:rPr>
        <w:t>Total number of NR inter-frequency carriers</w:t>
      </w:r>
    </w:p>
    <w:p w14:paraId="063051EC" w14:textId="77777777" w:rsidR="002A5EE4" w:rsidRPr="002A5EE4" w:rsidRDefault="002A5EE4" w:rsidP="00174E59">
      <w:pPr>
        <w:numPr>
          <w:ilvl w:val="0"/>
          <w:numId w:val="26"/>
        </w:numPr>
        <w:ind w:right="-22"/>
        <w:rPr>
          <w:rFonts w:eastAsia="Calibri" w:cs="Times New Roman"/>
          <w:szCs w:val="20"/>
          <w:lang w:val="en-GB"/>
        </w:rPr>
      </w:pPr>
      <w:r w:rsidRPr="002A5EE4">
        <w:rPr>
          <w:rFonts w:eastAsia="Calibri" w:cs="Times New Roman"/>
          <w:szCs w:val="20"/>
        </w:rPr>
        <w:t>Total number of LTE inter-RAT carriers</w:t>
      </w:r>
    </w:p>
    <w:p w14:paraId="2E82CAE2" w14:textId="77777777" w:rsidR="002A5EE4" w:rsidRPr="002A5EE4" w:rsidRDefault="002A5EE4" w:rsidP="002A5EE4">
      <w:pPr>
        <w:numPr>
          <w:ilvl w:val="0"/>
          <w:numId w:val="26"/>
        </w:numPr>
        <w:ind w:right="-22"/>
        <w:rPr>
          <w:rFonts w:eastAsia="Calibri" w:cs="Times New Roman"/>
          <w:szCs w:val="20"/>
          <w:lang w:val="en-GB"/>
        </w:rPr>
      </w:pPr>
      <w:r w:rsidRPr="002A5EE4">
        <w:rPr>
          <w:rFonts w:eastAsia="Calibri" w:cs="Times New Roman"/>
          <w:szCs w:val="20"/>
          <w:lang w:val="en-GB"/>
        </w:rPr>
        <w:t>Total number of overlapping EMR carriers</w:t>
      </w:r>
    </w:p>
    <w:p w14:paraId="6AAE0B8D" w14:textId="77777777" w:rsidR="002A5EE4" w:rsidRPr="002A5EE4" w:rsidRDefault="002A5EE4" w:rsidP="002A5EE4">
      <w:pPr>
        <w:numPr>
          <w:ilvl w:val="0"/>
          <w:numId w:val="26"/>
        </w:numPr>
        <w:ind w:right="-22"/>
        <w:rPr>
          <w:rFonts w:eastAsia="Calibri" w:cs="Times New Roman"/>
          <w:szCs w:val="20"/>
          <w:lang w:val="en-GB"/>
        </w:rPr>
      </w:pPr>
      <w:r w:rsidRPr="002A5EE4">
        <w:rPr>
          <w:rFonts w:eastAsia="Calibri" w:cs="Times New Roman"/>
          <w:szCs w:val="20"/>
          <w:lang w:val="en-GB"/>
        </w:rPr>
        <w:t>Total number of non-overlapping EMR carriers</w:t>
      </w:r>
    </w:p>
    <w:p w14:paraId="082D9ED6" w14:textId="77777777" w:rsidR="008F1650" w:rsidRDefault="002A5EE4" w:rsidP="00EA17AC">
      <w:pPr>
        <w:ind w:right="-22"/>
        <w:rPr>
          <w:rFonts w:eastAsia="Calibri" w:cs="Times New Roman"/>
          <w:szCs w:val="20"/>
          <w:lang w:val="en-GB"/>
        </w:rPr>
      </w:pPr>
      <w:r>
        <w:rPr>
          <w:rFonts w:eastAsia="Calibri" w:cs="Times New Roman"/>
          <w:szCs w:val="20"/>
          <w:lang w:val="en-GB"/>
        </w:rPr>
        <w:t>The two first relates to the total number (overlapping + non-overlapping) NR inter-frequency EMR carriers</w:t>
      </w:r>
      <w:r w:rsidR="00174E59">
        <w:rPr>
          <w:rFonts w:eastAsia="Calibri" w:cs="Times New Roman"/>
          <w:szCs w:val="20"/>
          <w:lang w:val="en-GB"/>
        </w:rPr>
        <w:t xml:space="preserve"> and LTE EMR Inter-RAT carriers</w:t>
      </w:r>
      <w:r>
        <w:rPr>
          <w:rFonts w:eastAsia="Calibri" w:cs="Times New Roman"/>
          <w:szCs w:val="20"/>
          <w:lang w:val="en-GB"/>
        </w:rPr>
        <w:t xml:space="preserve">. </w:t>
      </w:r>
    </w:p>
    <w:p w14:paraId="2F0990EF" w14:textId="4ECFAEC5" w:rsidR="002A5EE4" w:rsidRDefault="00174E59" w:rsidP="00EA17AC">
      <w:pPr>
        <w:ind w:right="-22"/>
        <w:rPr>
          <w:rFonts w:eastAsia="Calibri" w:cs="Times New Roman"/>
          <w:szCs w:val="20"/>
          <w:lang w:val="en-GB"/>
        </w:rPr>
      </w:pPr>
      <w:r>
        <w:rPr>
          <w:rFonts w:eastAsia="Calibri" w:cs="Times New Roman"/>
          <w:szCs w:val="20"/>
          <w:lang w:val="en-GB"/>
        </w:rPr>
        <w:t xml:space="preserve">The third is considering the total number of overlapping EMR carriers (NR and LTE), while the </w:t>
      </w:r>
      <w:r w:rsidR="008F1650">
        <w:rPr>
          <w:rFonts w:eastAsia="Calibri" w:cs="Times New Roman"/>
          <w:szCs w:val="20"/>
          <w:lang w:val="en-GB"/>
        </w:rPr>
        <w:t>fourth</w:t>
      </w:r>
      <w:r>
        <w:rPr>
          <w:rFonts w:eastAsia="Calibri" w:cs="Times New Roman"/>
          <w:szCs w:val="20"/>
          <w:lang w:val="en-GB"/>
        </w:rPr>
        <w:t xml:space="preserve"> concerns the total number of non-overlapping EMR carriers (NR and LTE)</w:t>
      </w:r>
      <w:r w:rsidR="002A5EE4">
        <w:rPr>
          <w:rFonts w:eastAsia="Calibri" w:cs="Times New Roman"/>
          <w:szCs w:val="20"/>
          <w:lang w:val="en-GB"/>
        </w:rPr>
        <w:t>.</w:t>
      </w:r>
    </w:p>
    <w:p w14:paraId="76382F42" w14:textId="77777777" w:rsidR="00174E59" w:rsidRDefault="00174E59" w:rsidP="00EA17AC">
      <w:pPr>
        <w:ind w:right="-22"/>
        <w:rPr>
          <w:rFonts w:eastAsia="Calibri" w:cs="Times New Roman"/>
          <w:szCs w:val="20"/>
          <w:lang w:val="en-GB"/>
        </w:rPr>
      </w:pPr>
    </w:p>
    <w:p w14:paraId="6087C64A" w14:textId="1DCBE702" w:rsidR="00174E59" w:rsidRDefault="002A5EE4" w:rsidP="00174E59">
      <w:pPr>
        <w:pStyle w:val="RAN4H3"/>
      </w:pPr>
      <w:r w:rsidRPr="002A5EE4">
        <w:t>Total number of NR inter-frequency carriers</w:t>
      </w:r>
    </w:p>
    <w:p w14:paraId="20F52F1D" w14:textId="79616230" w:rsidR="002A5EE4" w:rsidRDefault="002A5EE4" w:rsidP="002A5EE4">
      <w:pPr>
        <w:ind w:right="-22"/>
        <w:rPr>
          <w:rFonts w:eastAsia="Calibri" w:cs="Times New Roman"/>
          <w:szCs w:val="20"/>
          <w:lang w:val="en-GB"/>
        </w:rPr>
      </w:pPr>
      <w:r>
        <w:rPr>
          <w:rFonts w:eastAsia="Calibri" w:cs="Times New Roman"/>
          <w:szCs w:val="20"/>
          <w:lang w:val="en-GB"/>
        </w:rPr>
        <w:t xml:space="preserve">If we start with </w:t>
      </w:r>
      <w:r w:rsidR="00174E59">
        <w:rPr>
          <w:rFonts w:eastAsia="Calibri" w:cs="Times New Roman"/>
          <w:szCs w:val="20"/>
          <w:lang w:val="en-GB"/>
        </w:rPr>
        <w:t xml:space="preserve">NR </w:t>
      </w:r>
      <w:r>
        <w:rPr>
          <w:rFonts w:eastAsia="Calibri" w:cs="Times New Roman"/>
          <w:szCs w:val="20"/>
          <w:lang w:val="en-GB"/>
        </w:rPr>
        <w:t>inter-frequency EMR carriers</w:t>
      </w:r>
      <w:r w:rsidR="00174E59">
        <w:rPr>
          <w:rFonts w:eastAsia="Calibri" w:cs="Times New Roman"/>
          <w:szCs w:val="20"/>
          <w:lang w:val="en-GB"/>
        </w:rPr>
        <w:t xml:space="preserve"> (overlapping and non-overlapping)</w:t>
      </w:r>
      <w:r>
        <w:rPr>
          <w:rFonts w:eastAsia="Calibri" w:cs="Times New Roman"/>
          <w:szCs w:val="20"/>
          <w:lang w:val="en-GB"/>
        </w:rPr>
        <w:t xml:space="preserve">, which could be used for either CA or DC setup or both, we see that more than one EMR carrier would need to be supported. Having only 1 EMR carrier would limit the configuration flexibility on carrier basis (e.g. for network to consider load) and would only enable either configuring </w:t>
      </w:r>
      <w:proofErr w:type="spellStart"/>
      <w:r>
        <w:rPr>
          <w:rFonts w:eastAsia="Calibri" w:cs="Times New Roman"/>
          <w:szCs w:val="20"/>
          <w:lang w:val="en-GB"/>
        </w:rPr>
        <w:t>PSCell</w:t>
      </w:r>
      <w:proofErr w:type="spellEnd"/>
      <w:r>
        <w:rPr>
          <w:rFonts w:eastAsia="Calibri" w:cs="Times New Roman"/>
          <w:szCs w:val="20"/>
          <w:lang w:val="en-GB"/>
        </w:rPr>
        <w:t xml:space="preserve"> (NR-DC) or CA (NR-CA). Hence, we </w:t>
      </w:r>
      <w:r w:rsidR="00174E59">
        <w:rPr>
          <w:rFonts w:eastAsia="Calibri" w:cs="Times New Roman"/>
          <w:szCs w:val="20"/>
          <w:lang w:val="en-GB"/>
        </w:rPr>
        <w:t xml:space="preserve">see </w:t>
      </w:r>
      <w:r>
        <w:rPr>
          <w:rFonts w:eastAsia="Calibri" w:cs="Times New Roman"/>
          <w:szCs w:val="20"/>
          <w:lang w:val="en-GB"/>
        </w:rPr>
        <w:t xml:space="preserve">that more than 1 inter-frequency EMR carrier should be supported. Likely 3 carriers would be </w:t>
      </w:r>
      <w:proofErr w:type="gramStart"/>
      <w:r>
        <w:rPr>
          <w:rFonts w:eastAsia="Calibri" w:cs="Times New Roman"/>
          <w:szCs w:val="20"/>
          <w:lang w:val="en-GB"/>
        </w:rPr>
        <w:t>sufficient</w:t>
      </w:r>
      <w:proofErr w:type="gramEnd"/>
      <w:r>
        <w:rPr>
          <w:rFonts w:eastAsia="Calibri" w:cs="Times New Roman"/>
          <w:szCs w:val="20"/>
          <w:lang w:val="en-GB"/>
        </w:rPr>
        <w:t>.</w:t>
      </w:r>
    </w:p>
    <w:p w14:paraId="791D3AA8" w14:textId="4520E097" w:rsidR="002A5EE4" w:rsidRDefault="002A5EE4" w:rsidP="002A5EE4">
      <w:pPr>
        <w:pStyle w:val="RAN4proposal"/>
        <w:rPr>
          <w:lang w:val="en-GB"/>
        </w:rPr>
      </w:pPr>
      <w:r>
        <w:rPr>
          <w:lang w:val="en-GB"/>
        </w:rPr>
        <w:t xml:space="preserve">The UE shall support at least 3 </w:t>
      </w:r>
      <w:r w:rsidR="00174E59">
        <w:rPr>
          <w:lang w:val="en-GB"/>
        </w:rPr>
        <w:t xml:space="preserve">NR </w:t>
      </w:r>
      <w:r>
        <w:rPr>
          <w:lang w:val="en-GB"/>
        </w:rPr>
        <w:t>inter-frequency EMR carriers.</w:t>
      </w:r>
    </w:p>
    <w:p w14:paraId="663CFD02" w14:textId="77777777" w:rsidR="00174E59" w:rsidRDefault="00174E59" w:rsidP="002A5EE4">
      <w:pPr>
        <w:ind w:right="-22"/>
        <w:rPr>
          <w:rFonts w:eastAsia="Calibri" w:cs="Times New Roman"/>
          <w:szCs w:val="20"/>
          <w:lang w:val="en-GB"/>
        </w:rPr>
      </w:pPr>
    </w:p>
    <w:p w14:paraId="752FDD34" w14:textId="18BC8E0B" w:rsidR="00174E59" w:rsidRDefault="002A5EE4" w:rsidP="00174E59">
      <w:pPr>
        <w:pStyle w:val="RAN4H3"/>
        <w:rPr>
          <w:lang w:val="en-GB"/>
        </w:rPr>
      </w:pPr>
      <w:r w:rsidRPr="002A5EE4">
        <w:rPr>
          <w:rFonts w:eastAsia="Calibri" w:cs="Times New Roman"/>
          <w:szCs w:val="20"/>
        </w:rPr>
        <w:t>Total number of LTE inter-RAT carriers</w:t>
      </w:r>
    </w:p>
    <w:p w14:paraId="7160380A" w14:textId="5759181F" w:rsidR="002A5EE4" w:rsidRDefault="0067632B" w:rsidP="002A5EE4">
      <w:pPr>
        <w:ind w:right="-22"/>
        <w:rPr>
          <w:rFonts w:eastAsia="Calibri" w:cs="Times New Roman"/>
          <w:szCs w:val="20"/>
          <w:lang w:val="en-GB"/>
        </w:rPr>
      </w:pPr>
      <w:r>
        <w:rPr>
          <w:rFonts w:eastAsia="Calibri" w:cs="Times New Roman"/>
          <w:szCs w:val="20"/>
          <w:lang w:val="en-GB"/>
        </w:rPr>
        <w:t>Next, we look at the number of</w:t>
      </w:r>
      <w:r w:rsidR="002A5EE4">
        <w:rPr>
          <w:rFonts w:eastAsia="Calibri" w:cs="Times New Roman"/>
          <w:szCs w:val="20"/>
          <w:lang w:val="en-GB"/>
        </w:rPr>
        <w:t xml:space="preserve"> inter-RAT overlapping and non-overlapping </w:t>
      </w:r>
      <w:r w:rsidR="00174E59">
        <w:rPr>
          <w:rFonts w:eastAsia="Calibri" w:cs="Times New Roman"/>
          <w:szCs w:val="20"/>
          <w:lang w:val="en-GB"/>
        </w:rPr>
        <w:t xml:space="preserve">EMR </w:t>
      </w:r>
      <w:r w:rsidR="002A5EE4">
        <w:rPr>
          <w:rFonts w:eastAsia="Calibri" w:cs="Times New Roman"/>
          <w:szCs w:val="20"/>
          <w:lang w:val="en-GB"/>
        </w:rPr>
        <w:t>carrier</w:t>
      </w:r>
      <w:r w:rsidR="00174E59">
        <w:rPr>
          <w:rFonts w:eastAsia="Calibri" w:cs="Times New Roman"/>
          <w:szCs w:val="20"/>
          <w:lang w:val="en-GB"/>
        </w:rPr>
        <w:t>s</w:t>
      </w:r>
      <w:r w:rsidR="002A5EE4">
        <w:rPr>
          <w:rFonts w:eastAsia="Calibri" w:cs="Times New Roman"/>
          <w:szCs w:val="20"/>
          <w:lang w:val="en-GB"/>
        </w:rPr>
        <w:t xml:space="preserve">. As the intended use of the inter-RAT measurements are for fast setup of NE-DC (assuming the LTE cell will be the </w:t>
      </w:r>
      <w:proofErr w:type="spellStart"/>
      <w:r w:rsidR="002A5EE4">
        <w:rPr>
          <w:rFonts w:eastAsia="Calibri" w:cs="Times New Roman"/>
          <w:szCs w:val="20"/>
          <w:lang w:val="en-GB"/>
        </w:rPr>
        <w:t>PSCell</w:t>
      </w:r>
      <w:proofErr w:type="spellEnd"/>
      <w:r w:rsidR="002A5EE4">
        <w:rPr>
          <w:rFonts w:eastAsia="Calibri" w:cs="Times New Roman"/>
          <w:szCs w:val="20"/>
          <w:lang w:val="en-GB"/>
        </w:rPr>
        <w:t>). I.e. at least 1 inter-RAT carrier should be possible to configure for EMR. In addition, for enabling further flexibility, it would be good to have a second inter-RAT EMR carrier. Hence, for inter-RAT EMR carriers (overlapping and non-overlapping) we propose:</w:t>
      </w:r>
    </w:p>
    <w:p w14:paraId="1352BEF6" w14:textId="04D65615" w:rsidR="002A5EE4" w:rsidRDefault="002A5EE4" w:rsidP="002A5EE4">
      <w:pPr>
        <w:pStyle w:val="RAN4proposal"/>
        <w:rPr>
          <w:lang w:val="en-GB"/>
        </w:rPr>
      </w:pPr>
      <w:r>
        <w:rPr>
          <w:lang w:val="en-GB"/>
        </w:rPr>
        <w:t xml:space="preserve">The UE shall support at least 2 </w:t>
      </w:r>
      <w:r w:rsidR="0017152D">
        <w:rPr>
          <w:lang w:val="en-GB"/>
        </w:rPr>
        <w:t xml:space="preserve">LTE </w:t>
      </w:r>
      <w:r>
        <w:rPr>
          <w:lang w:val="en-GB"/>
        </w:rPr>
        <w:t>inter-RAT EMR carriers.</w:t>
      </w:r>
    </w:p>
    <w:p w14:paraId="7D8B3B95" w14:textId="77777777" w:rsidR="0017152D" w:rsidRDefault="0017152D" w:rsidP="002A5EE4">
      <w:pPr>
        <w:ind w:right="-22"/>
        <w:rPr>
          <w:rFonts w:eastAsia="Calibri" w:cs="Times New Roman"/>
          <w:szCs w:val="20"/>
          <w:lang w:val="en-GB"/>
        </w:rPr>
      </w:pPr>
    </w:p>
    <w:p w14:paraId="6874A96C" w14:textId="5A015F1E" w:rsidR="002A5EE4" w:rsidRDefault="002A5EE4" w:rsidP="002A5EE4">
      <w:pPr>
        <w:ind w:right="-22"/>
        <w:rPr>
          <w:rFonts w:eastAsia="Calibri" w:cs="Times New Roman"/>
          <w:szCs w:val="20"/>
          <w:lang w:val="en-GB"/>
        </w:rPr>
      </w:pPr>
      <w:r>
        <w:rPr>
          <w:rFonts w:eastAsia="Calibri" w:cs="Times New Roman"/>
          <w:szCs w:val="20"/>
          <w:lang w:val="en-GB"/>
        </w:rPr>
        <w:t>Of the</w:t>
      </w:r>
      <w:r w:rsidR="0017152D">
        <w:rPr>
          <w:rFonts w:eastAsia="Calibri" w:cs="Times New Roman"/>
          <w:szCs w:val="20"/>
          <w:lang w:val="en-GB"/>
        </w:rPr>
        <w:t xml:space="preserve"> configured NR inter-frequency and LTE inter-RAT</w:t>
      </w:r>
      <w:r>
        <w:rPr>
          <w:rFonts w:eastAsia="Calibri" w:cs="Times New Roman"/>
          <w:szCs w:val="20"/>
          <w:lang w:val="en-GB"/>
        </w:rPr>
        <w:t xml:space="preserve"> EMR carriers </w:t>
      </w:r>
      <w:r w:rsidR="0017152D">
        <w:rPr>
          <w:rFonts w:eastAsia="Calibri" w:cs="Times New Roman"/>
          <w:szCs w:val="20"/>
          <w:lang w:val="en-GB"/>
        </w:rPr>
        <w:t>RAN4</w:t>
      </w:r>
      <w:r>
        <w:rPr>
          <w:rFonts w:eastAsia="Calibri" w:cs="Times New Roman"/>
          <w:szCs w:val="20"/>
          <w:lang w:val="en-GB"/>
        </w:rPr>
        <w:t xml:space="preserve"> need to decide whether all </w:t>
      </w:r>
      <w:r w:rsidR="0017152D">
        <w:rPr>
          <w:rFonts w:eastAsia="Calibri" w:cs="Times New Roman"/>
          <w:szCs w:val="20"/>
          <w:lang w:val="en-GB"/>
        </w:rPr>
        <w:t xml:space="preserve">configured EMR carriers can be </w:t>
      </w:r>
      <w:r>
        <w:rPr>
          <w:rFonts w:eastAsia="Calibri" w:cs="Times New Roman"/>
          <w:szCs w:val="20"/>
          <w:lang w:val="en-GB"/>
        </w:rPr>
        <w:t xml:space="preserve">overlapping, non-overlapping or if there would be any limitations in the distribution among overlapping and non-overlapping carriers. </w:t>
      </w:r>
    </w:p>
    <w:p w14:paraId="16BEFC2B" w14:textId="58536F72" w:rsidR="0017152D" w:rsidRDefault="002A5EE4" w:rsidP="0017152D">
      <w:pPr>
        <w:pStyle w:val="RAN4H3"/>
        <w:rPr>
          <w:lang w:val="en-GB"/>
        </w:rPr>
      </w:pPr>
      <w:r w:rsidRPr="002A5EE4">
        <w:rPr>
          <w:rFonts w:eastAsia="Calibri" w:cs="Times New Roman"/>
          <w:szCs w:val="20"/>
          <w:lang w:val="en-GB"/>
        </w:rPr>
        <w:t>Total number of overlapping EMR carriers</w:t>
      </w:r>
    </w:p>
    <w:p w14:paraId="5E948E11" w14:textId="01AAF67E" w:rsidR="002A5EE4" w:rsidRDefault="002A5EE4" w:rsidP="002A5EE4">
      <w:pPr>
        <w:ind w:right="-22"/>
        <w:rPr>
          <w:rFonts w:eastAsia="Calibri" w:cs="Times New Roman"/>
          <w:szCs w:val="20"/>
          <w:lang w:val="en-GB"/>
        </w:rPr>
      </w:pPr>
      <w:r>
        <w:rPr>
          <w:rFonts w:eastAsia="Calibri" w:cs="Times New Roman"/>
          <w:szCs w:val="20"/>
          <w:lang w:val="en-GB"/>
        </w:rPr>
        <w:t>As a starting point the UE should at least support that all configured EMR carriers are overlapping carrier. As the total number of carriers will never exceed the current existing UE capability, the UE is already required to be able to measure up to this number of carriers for mobility – and hence can naturally measure those.</w:t>
      </w:r>
    </w:p>
    <w:p w14:paraId="041B095B" w14:textId="76D5FB58" w:rsidR="002A5EE4" w:rsidRDefault="002A5EE4" w:rsidP="002A5EE4">
      <w:pPr>
        <w:pStyle w:val="RAN4proposal"/>
        <w:rPr>
          <w:lang w:val="en-GB"/>
        </w:rPr>
      </w:pPr>
      <w:r>
        <w:rPr>
          <w:lang w:val="en-GB"/>
        </w:rPr>
        <w:t xml:space="preserve">The UE shall support measurement on overlapping </w:t>
      </w:r>
      <w:r w:rsidR="0017152D">
        <w:rPr>
          <w:lang w:val="en-GB"/>
        </w:rPr>
        <w:t xml:space="preserve">EMR </w:t>
      </w:r>
      <w:r>
        <w:rPr>
          <w:lang w:val="en-GB"/>
        </w:rPr>
        <w:t xml:space="preserve">carriers up to the sum of inter-frequency </w:t>
      </w:r>
      <w:r w:rsidR="0017152D">
        <w:rPr>
          <w:lang w:val="en-GB"/>
        </w:rPr>
        <w:t xml:space="preserve">EMR carriers </w:t>
      </w:r>
      <w:r>
        <w:rPr>
          <w:lang w:val="en-GB"/>
        </w:rPr>
        <w:t>and inter-RAT EMR carriers.</w:t>
      </w:r>
    </w:p>
    <w:p w14:paraId="1C42A01C" w14:textId="330451AE" w:rsidR="002A5EE4" w:rsidRDefault="002A5EE4" w:rsidP="002A5EE4">
      <w:pPr>
        <w:pStyle w:val="RAN4proposal"/>
        <w:rPr>
          <w:lang w:val="en-GB"/>
        </w:rPr>
      </w:pPr>
      <w:r>
        <w:rPr>
          <w:lang w:val="en-GB"/>
        </w:rPr>
        <w:t xml:space="preserve">UE shall support at least 5 overlapping </w:t>
      </w:r>
      <w:r w:rsidR="0017152D">
        <w:rPr>
          <w:lang w:val="en-GB"/>
        </w:rPr>
        <w:t xml:space="preserve">EMR </w:t>
      </w:r>
      <w:r>
        <w:rPr>
          <w:lang w:val="en-GB"/>
        </w:rPr>
        <w:t>carriers.</w:t>
      </w:r>
    </w:p>
    <w:p w14:paraId="62375B0A" w14:textId="7B4F9511" w:rsidR="0017152D" w:rsidRDefault="0017152D" w:rsidP="002A5EE4">
      <w:pPr>
        <w:ind w:right="-22"/>
        <w:rPr>
          <w:lang w:val="en-GB"/>
        </w:rPr>
      </w:pPr>
    </w:p>
    <w:p w14:paraId="3716AF7A" w14:textId="5EA49636" w:rsidR="0017152D" w:rsidRDefault="002A5EE4" w:rsidP="0017152D">
      <w:pPr>
        <w:pStyle w:val="RAN4H3"/>
        <w:rPr>
          <w:lang w:val="en-GB"/>
        </w:rPr>
      </w:pPr>
      <w:r w:rsidRPr="002A5EE4">
        <w:rPr>
          <w:rFonts w:eastAsia="Calibri" w:cs="Times New Roman"/>
          <w:szCs w:val="20"/>
          <w:lang w:val="en-GB"/>
        </w:rPr>
        <w:t>Total number of non-overlapping EMR carriers</w:t>
      </w:r>
    </w:p>
    <w:p w14:paraId="213CBA0E" w14:textId="6C430583" w:rsidR="002A5EE4" w:rsidRDefault="002A5EE4" w:rsidP="002A5EE4">
      <w:pPr>
        <w:ind w:right="-22"/>
        <w:rPr>
          <w:rFonts w:eastAsia="Calibri" w:cs="Times New Roman"/>
          <w:szCs w:val="20"/>
          <w:lang w:val="en-GB"/>
        </w:rPr>
      </w:pPr>
      <w:r>
        <w:rPr>
          <w:rFonts w:eastAsia="Calibri" w:cs="Times New Roman"/>
          <w:szCs w:val="20"/>
          <w:lang w:val="en-GB"/>
        </w:rPr>
        <w:t>Understanding from LTE is that non-overlapping carriers are measured as:</w:t>
      </w:r>
    </w:p>
    <w:p w14:paraId="31BA8021" w14:textId="77777777" w:rsidR="002A5EE4" w:rsidRDefault="002A5EE4" w:rsidP="002A5EE4">
      <w:pPr>
        <w:ind w:left="720" w:right="-22"/>
        <w:rPr>
          <w:rFonts w:eastAsia="Calibri" w:cs="Times New Roman"/>
          <w:szCs w:val="20"/>
          <w:lang w:val="en-GB"/>
        </w:rPr>
      </w:pPr>
      <w:r w:rsidRPr="00E304C7">
        <w:rPr>
          <w:rFonts w:eastAsia="Calibri" w:cs="Times New Roman"/>
          <w:szCs w:val="20"/>
          <w:lang w:val="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r>
        <w:rPr>
          <w:rFonts w:eastAsia="Calibri" w:cs="Times New Roman"/>
          <w:szCs w:val="20"/>
          <w:lang w:val="en-GB"/>
        </w:rPr>
        <w:t>.</w:t>
      </w:r>
    </w:p>
    <w:p w14:paraId="5AD2520C" w14:textId="77777777" w:rsidR="002A5EE4" w:rsidRDefault="002A5EE4" w:rsidP="002A5EE4">
      <w:pPr>
        <w:ind w:right="-22"/>
        <w:rPr>
          <w:rFonts w:eastAsia="Calibri" w:cs="Times New Roman"/>
          <w:szCs w:val="20"/>
          <w:lang w:val="en-GB"/>
        </w:rPr>
      </w:pPr>
      <w:r>
        <w:rPr>
          <w:rFonts w:eastAsia="Calibri" w:cs="Times New Roman"/>
          <w:szCs w:val="20"/>
          <w:lang w:val="en-GB"/>
        </w:rPr>
        <w:t>Such measurement limitation of course reduces the usefulness of non-overlapping carriers as they may not have been measured sufficiently to provide an accurate measurement result. On the other hand, it provides better power saving opportunities for the UE. Based on this we propose that the number of non-overlapping EMR carriers can be the same as for overlapping EMR carriers.</w:t>
      </w:r>
    </w:p>
    <w:p w14:paraId="51A26AF4" w14:textId="77777777" w:rsidR="002A5EE4" w:rsidRDefault="002A5EE4" w:rsidP="002A5EE4">
      <w:pPr>
        <w:pStyle w:val="RAN4proposal"/>
        <w:rPr>
          <w:lang w:val="en-GB"/>
        </w:rPr>
      </w:pPr>
      <w:r>
        <w:rPr>
          <w:lang w:val="en-GB"/>
        </w:rPr>
        <w:t>The UE shall support measurement on non-overlapping EMR carriers up to the sum of inter-frequency and inter-RAT EMR carriers.</w:t>
      </w:r>
    </w:p>
    <w:p w14:paraId="5EEDEF40" w14:textId="7EE703BE" w:rsidR="002A5EE4" w:rsidRDefault="002A5EE4" w:rsidP="002A5EE4">
      <w:pPr>
        <w:pStyle w:val="RAN4proposal"/>
        <w:rPr>
          <w:lang w:val="en-GB"/>
        </w:rPr>
      </w:pPr>
      <w:r>
        <w:rPr>
          <w:lang w:val="en-GB"/>
        </w:rPr>
        <w:t xml:space="preserve">UE shall support at least 5 non-overlapping </w:t>
      </w:r>
      <w:r w:rsidR="0017152D">
        <w:rPr>
          <w:lang w:val="en-GB"/>
        </w:rPr>
        <w:t xml:space="preserve">EMR </w:t>
      </w:r>
      <w:r>
        <w:rPr>
          <w:lang w:val="en-GB"/>
        </w:rPr>
        <w:t>carriers.</w:t>
      </w:r>
    </w:p>
    <w:p w14:paraId="738F5F72" w14:textId="5E4D897B" w:rsidR="002D5CAF" w:rsidRDefault="002D5CAF" w:rsidP="00EA17AC">
      <w:pPr>
        <w:ind w:right="-22"/>
        <w:rPr>
          <w:lang w:val="en-GB"/>
        </w:rPr>
      </w:pPr>
    </w:p>
    <w:p w14:paraId="5FA01144" w14:textId="777C6EF3" w:rsidR="002D5CAF" w:rsidRDefault="002D5CAF" w:rsidP="002D5CAF">
      <w:pPr>
        <w:pStyle w:val="RAN4H3"/>
        <w:rPr>
          <w:lang w:val="en-GB"/>
        </w:rPr>
      </w:pPr>
      <w:r>
        <w:rPr>
          <w:lang w:val="en-GB"/>
        </w:rPr>
        <w:t>Summary</w:t>
      </w:r>
    </w:p>
    <w:p w14:paraId="7F6C992E" w14:textId="2BA04B72" w:rsidR="002A5EE4" w:rsidRDefault="005D316A" w:rsidP="00EA17AC">
      <w:pPr>
        <w:ind w:right="-22"/>
        <w:rPr>
          <w:lang w:val="en-GB"/>
        </w:rPr>
      </w:pPr>
      <w:r>
        <w:rPr>
          <w:lang w:val="en-GB"/>
        </w:rPr>
        <w:lastRenderedPageBreak/>
        <w:t>As summary we see that up to 5 EMR carriers should be possible to configure. Of these 5 EMR carriers 3 can be NR inter-frequency carriers and 2 can be LTE inter-RAT carriers. Regarding the split between overlapping and non-overlapping EMR carriers we see that any configured EMR carrier can be either overlapping or non-overlapping. This would be up to network configuration.</w:t>
      </w:r>
    </w:p>
    <w:tbl>
      <w:tblPr>
        <w:tblStyle w:val="TableGrid"/>
        <w:tblW w:w="0" w:type="auto"/>
        <w:tblLook w:val="04A0" w:firstRow="1" w:lastRow="0" w:firstColumn="1" w:lastColumn="0" w:noHBand="0" w:noVBand="1"/>
      </w:tblPr>
      <w:tblGrid>
        <w:gridCol w:w="2404"/>
        <w:gridCol w:w="2404"/>
        <w:gridCol w:w="2404"/>
        <w:gridCol w:w="2405"/>
      </w:tblGrid>
      <w:tr w:rsidR="00154E6B" w14:paraId="3323B03D" w14:textId="77777777" w:rsidTr="00154E6B">
        <w:tc>
          <w:tcPr>
            <w:tcW w:w="2404" w:type="dxa"/>
          </w:tcPr>
          <w:p w14:paraId="0A7136FC" w14:textId="77777777" w:rsidR="00154E6B" w:rsidRDefault="00154E6B" w:rsidP="00EA17AC">
            <w:pPr>
              <w:ind w:right="-22"/>
              <w:rPr>
                <w:lang w:val="en-GB"/>
              </w:rPr>
            </w:pPr>
          </w:p>
        </w:tc>
        <w:tc>
          <w:tcPr>
            <w:tcW w:w="2404" w:type="dxa"/>
          </w:tcPr>
          <w:p w14:paraId="34570D75" w14:textId="140976D9" w:rsidR="00154E6B" w:rsidRDefault="00154E6B" w:rsidP="00154E6B">
            <w:pPr>
              <w:ind w:right="-22"/>
              <w:jc w:val="center"/>
              <w:rPr>
                <w:lang w:val="en-GB"/>
              </w:rPr>
            </w:pPr>
            <w:r>
              <w:rPr>
                <w:lang w:val="en-GB"/>
              </w:rPr>
              <w:t>Total number</w:t>
            </w:r>
          </w:p>
        </w:tc>
        <w:tc>
          <w:tcPr>
            <w:tcW w:w="2404" w:type="dxa"/>
          </w:tcPr>
          <w:p w14:paraId="0AAC05EB" w14:textId="2073F435" w:rsidR="00154E6B" w:rsidRDefault="00154E6B" w:rsidP="00154E6B">
            <w:pPr>
              <w:ind w:right="-22"/>
              <w:jc w:val="center"/>
              <w:rPr>
                <w:lang w:val="en-GB"/>
              </w:rPr>
            </w:pPr>
            <w:r>
              <w:rPr>
                <w:lang w:val="en-GB"/>
              </w:rPr>
              <w:t>overlapping carriers</w:t>
            </w:r>
          </w:p>
        </w:tc>
        <w:tc>
          <w:tcPr>
            <w:tcW w:w="2405" w:type="dxa"/>
          </w:tcPr>
          <w:p w14:paraId="046BB5A2" w14:textId="02E1833A" w:rsidR="00154E6B" w:rsidRDefault="00154E6B" w:rsidP="00154E6B">
            <w:pPr>
              <w:ind w:right="-22"/>
              <w:jc w:val="center"/>
              <w:rPr>
                <w:lang w:val="en-GB"/>
              </w:rPr>
            </w:pPr>
            <w:r>
              <w:rPr>
                <w:lang w:val="en-GB"/>
              </w:rPr>
              <w:t>non-overlapping carriers</w:t>
            </w:r>
          </w:p>
        </w:tc>
      </w:tr>
      <w:tr w:rsidR="00154E6B" w14:paraId="2D41CD82" w14:textId="77777777" w:rsidTr="00154E6B">
        <w:tc>
          <w:tcPr>
            <w:tcW w:w="2404" w:type="dxa"/>
          </w:tcPr>
          <w:p w14:paraId="7B2CEA53" w14:textId="01ED499D" w:rsidR="00154E6B" w:rsidRDefault="00154E6B" w:rsidP="00EA17AC">
            <w:pPr>
              <w:ind w:right="-22"/>
              <w:rPr>
                <w:lang w:val="en-GB"/>
              </w:rPr>
            </w:pPr>
            <w:r>
              <w:t xml:space="preserve">Number of </w:t>
            </w:r>
            <w:r w:rsidRPr="002A5EE4">
              <w:t xml:space="preserve">NR inter-frequency </w:t>
            </w:r>
            <w:r>
              <w:t xml:space="preserve">EMR </w:t>
            </w:r>
            <w:r w:rsidRPr="002A5EE4">
              <w:t>carriers</w:t>
            </w:r>
          </w:p>
        </w:tc>
        <w:tc>
          <w:tcPr>
            <w:tcW w:w="2404" w:type="dxa"/>
          </w:tcPr>
          <w:p w14:paraId="05266E03" w14:textId="61388EB3" w:rsidR="00154E6B" w:rsidRDefault="00154E6B" w:rsidP="00154E6B">
            <w:pPr>
              <w:ind w:right="-22"/>
              <w:jc w:val="center"/>
              <w:rPr>
                <w:lang w:val="en-GB"/>
              </w:rPr>
            </w:pPr>
            <w:r>
              <w:rPr>
                <w:rFonts w:cs="Times New Roman"/>
                <w:lang w:val="en-GB"/>
              </w:rPr>
              <w:t>≤</w:t>
            </w:r>
            <w:r>
              <w:rPr>
                <w:lang w:val="en-GB"/>
              </w:rPr>
              <w:t>3</w:t>
            </w:r>
          </w:p>
        </w:tc>
        <w:tc>
          <w:tcPr>
            <w:tcW w:w="2404" w:type="dxa"/>
          </w:tcPr>
          <w:p w14:paraId="2E57264F" w14:textId="51C760D6" w:rsidR="00154E6B" w:rsidRDefault="00154E6B" w:rsidP="00154E6B">
            <w:pPr>
              <w:ind w:right="-22"/>
              <w:jc w:val="center"/>
              <w:rPr>
                <w:lang w:val="en-GB"/>
              </w:rPr>
            </w:pPr>
            <w:r>
              <w:rPr>
                <w:rFonts w:cs="Times New Roman"/>
                <w:lang w:val="en-GB"/>
              </w:rPr>
              <w:t>≤</w:t>
            </w:r>
            <w:r>
              <w:rPr>
                <w:lang w:val="en-GB"/>
              </w:rPr>
              <w:t>3</w:t>
            </w:r>
          </w:p>
        </w:tc>
        <w:tc>
          <w:tcPr>
            <w:tcW w:w="2405" w:type="dxa"/>
          </w:tcPr>
          <w:p w14:paraId="60656789" w14:textId="68DADC96" w:rsidR="00154E6B" w:rsidRDefault="00154E6B" w:rsidP="00154E6B">
            <w:pPr>
              <w:ind w:right="-22"/>
              <w:jc w:val="center"/>
              <w:rPr>
                <w:lang w:val="en-GB"/>
              </w:rPr>
            </w:pPr>
            <w:r>
              <w:rPr>
                <w:rFonts w:cs="Times New Roman"/>
                <w:lang w:val="en-GB"/>
              </w:rPr>
              <w:t>≤</w:t>
            </w:r>
            <w:r>
              <w:rPr>
                <w:lang w:val="en-GB"/>
              </w:rPr>
              <w:t>3</w:t>
            </w:r>
          </w:p>
        </w:tc>
      </w:tr>
      <w:tr w:rsidR="00154E6B" w14:paraId="285C144E" w14:textId="77777777" w:rsidTr="00154E6B">
        <w:tc>
          <w:tcPr>
            <w:tcW w:w="2404" w:type="dxa"/>
          </w:tcPr>
          <w:p w14:paraId="5075CCCB" w14:textId="0742F258" w:rsidR="00154E6B" w:rsidRDefault="00154E6B" w:rsidP="00EA17AC">
            <w:pPr>
              <w:ind w:right="-22"/>
              <w:rPr>
                <w:lang w:val="en-GB"/>
              </w:rPr>
            </w:pPr>
            <w:r>
              <w:rPr>
                <w:rFonts w:eastAsia="Calibri" w:cs="Times New Roman"/>
                <w:szCs w:val="20"/>
              </w:rPr>
              <w:t>N</w:t>
            </w:r>
            <w:r w:rsidRPr="002A5EE4">
              <w:rPr>
                <w:rFonts w:eastAsia="Calibri" w:cs="Times New Roman"/>
                <w:szCs w:val="20"/>
              </w:rPr>
              <w:t xml:space="preserve">umber of LTE inter-RAT </w:t>
            </w:r>
            <w:r>
              <w:rPr>
                <w:rFonts w:eastAsia="Calibri" w:cs="Times New Roman"/>
                <w:szCs w:val="20"/>
              </w:rPr>
              <w:t xml:space="preserve">EMR </w:t>
            </w:r>
            <w:r w:rsidRPr="002A5EE4">
              <w:rPr>
                <w:rFonts w:eastAsia="Calibri" w:cs="Times New Roman"/>
                <w:szCs w:val="20"/>
              </w:rPr>
              <w:t>carriers</w:t>
            </w:r>
          </w:p>
        </w:tc>
        <w:tc>
          <w:tcPr>
            <w:tcW w:w="2404" w:type="dxa"/>
          </w:tcPr>
          <w:p w14:paraId="523E560C" w14:textId="05F9BB8B" w:rsidR="00154E6B" w:rsidRDefault="00154E6B" w:rsidP="00154E6B">
            <w:pPr>
              <w:ind w:right="-22"/>
              <w:jc w:val="center"/>
              <w:rPr>
                <w:lang w:val="en-GB"/>
              </w:rPr>
            </w:pPr>
            <w:r>
              <w:rPr>
                <w:rFonts w:cs="Times New Roman"/>
                <w:lang w:val="en-GB"/>
              </w:rPr>
              <w:t>≤</w:t>
            </w:r>
            <w:r>
              <w:rPr>
                <w:lang w:val="en-GB"/>
              </w:rPr>
              <w:t>2</w:t>
            </w:r>
          </w:p>
        </w:tc>
        <w:tc>
          <w:tcPr>
            <w:tcW w:w="2404" w:type="dxa"/>
          </w:tcPr>
          <w:p w14:paraId="3C77DD15" w14:textId="589C6F1A" w:rsidR="00154E6B" w:rsidRDefault="00154E6B" w:rsidP="00154E6B">
            <w:pPr>
              <w:ind w:right="-22"/>
              <w:jc w:val="center"/>
              <w:rPr>
                <w:lang w:val="en-GB"/>
              </w:rPr>
            </w:pPr>
            <w:r>
              <w:rPr>
                <w:rFonts w:cs="Times New Roman"/>
                <w:lang w:val="en-GB"/>
              </w:rPr>
              <w:t>≤</w:t>
            </w:r>
            <w:r>
              <w:rPr>
                <w:lang w:val="en-GB"/>
              </w:rPr>
              <w:t>2</w:t>
            </w:r>
          </w:p>
        </w:tc>
        <w:tc>
          <w:tcPr>
            <w:tcW w:w="2405" w:type="dxa"/>
          </w:tcPr>
          <w:p w14:paraId="5D69367C" w14:textId="045F2DB6" w:rsidR="00154E6B" w:rsidRDefault="00154E6B" w:rsidP="00154E6B">
            <w:pPr>
              <w:ind w:right="-22"/>
              <w:jc w:val="center"/>
              <w:rPr>
                <w:lang w:val="en-GB"/>
              </w:rPr>
            </w:pPr>
            <w:r>
              <w:rPr>
                <w:rFonts w:cs="Times New Roman"/>
                <w:lang w:val="en-GB"/>
              </w:rPr>
              <w:t>≤</w:t>
            </w:r>
            <w:r>
              <w:rPr>
                <w:lang w:val="en-GB"/>
              </w:rPr>
              <w:t>2</w:t>
            </w:r>
          </w:p>
        </w:tc>
      </w:tr>
      <w:tr w:rsidR="00154E6B" w14:paraId="38E076E5" w14:textId="77777777" w:rsidTr="00154E6B">
        <w:tc>
          <w:tcPr>
            <w:tcW w:w="2404" w:type="dxa"/>
          </w:tcPr>
          <w:p w14:paraId="6F83C555" w14:textId="39FBC524" w:rsidR="00154E6B" w:rsidRDefault="00154E6B" w:rsidP="00EA17AC">
            <w:pPr>
              <w:ind w:right="-22"/>
              <w:rPr>
                <w:lang w:val="en-GB"/>
              </w:rPr>
            </w:pPr>
            <w:r>
              <w:rPr>
                <w:lang w:val="en-GB"/>
              </w:rPr>
              <w:t>Total # of EMR carriers</w:t>
            </w:r>
          </w:p>
        </w:tc>
        <w:tc>
          <w:tcPr>
            <w:tcW w:w="2404" w:type="dxa"/>
          </w:tcPr>
          <w:p w14:paraId="2D363548" w14:textId="6797493D" w:rsidR="00154E6B" w:rsidRDefault="00154E6B" w:rsidP="00154E6B">
            <w:pPr>
              <w:ind w:right="-22"/>
              <w:jc w:val="center"/>
              <w:rPr>
                <w:lang w:val="en-GB"/>
              </w:rPr>
            </w:pPr>
            <w:r>
              <w:rPr>
                <w:rFonts w:cs="Times New Roman"/>
                <w:lang w:val="en-GB"/>
              </w:rPr>
              <w:t>≤</w:t>
            </w:r>
            <w:r>
              <w:rPr>
                <w:lang w:val="en-GB"/>
              </w:rPr>
              <w:t>5</w:t>
            </w:r>
          </w:p>
        </w:tc>
        <w:tc>
          <w:tcPr>
            <w:tcW w:w="2404" w:type="dxa"/>
          </w:tcPr>
          <w:p w14:paraId="13A6D81C" w14:textId="2F1C312D" w:rsidR="00154E6B" w:rsidRDefault="00154E6B" w:rsidP="00154E6B">
            <w:pPr>
              <w:ind w:right="-22"/>
              <w:jc w:val="center"/>
              <w:rPr>
                <w:lang w:val="en-GB"/>
              </w:rPr>
            </w:pPr>
            <w:r>
              <w:rPr>
                <w:rFonts w:cs="Times New Roman"/>
                <w:lang w:val="en-GB"/>
              </w:rPr>
              <w:t>≤</w:t>
            </w:r>
            <w:r>
              <w:rPr>
                <w:lang w:val="en-GB"/>
              </w:rPr>
              <w:t>5</w:t>
            </w:r>
          </w:p>
        </w:tc>
        <w:tc>
          <w:tcPr>
            <w:tcW w:w="2405" w:type="dxa"/>
          </w:tcPr>
          <w:p w14:paraId="02BD728F" w14:textId="52695CDB" w:rsidR="00154E6B" w:rsidRDefault="00154E6B" w:rsidP="00154E6B">
            <w:pPr>
              <w:ind w:right="-22"/>
              <w:jc w:val="center"/>
              <w:rPr>
                <w:lang w:val="en-GB"/>
              </w:rPr>
            </w:pPr>
            <w:r>
              <w:rPr>
                <w:rFonts w:cs="Times New Roman"/>
                <w:lang w:val="en-GB"/>
              </w:rPr>
              <w:t>≤</w:t>
            </w:r>
            <w:r>
              <w:rPr>
                <w:lang w:val="en-GB"/>
              </w:rPr>
              <w:t>5</w:t>
            </w:r>
          </w:p>
        </w:tc>
      </w:tr>
    </w:tbl>
    <w:p w14:paraId="3F7B2A35" w14:textId="77777777" w:rsidR="00154E6B" w:rsidRDefault="00154E6B" w:rsidP="00EA17AC">
      <w:pPr>
        <w:ind w:right="-22"/>
        <w:rPr>
          <w:lang w:val="en-GB"/>
        </w:rPr>
      </w:pPr>
    </w:p>
    <w:p w14:paraId="5FF68EE9" w14:textId="77777777" w:rsidR="0017152D" w:rsidRDefault="0017152D" w:rsidP="00EA17AC">
      <w:pPr>
        <w:ind w:right="-22"/>
        <w:rPr>
          <w:rFonts w:eastAsia="Calibri" w:cs="Times New Roman"/>
          <w:szCs w:val="20"/>
          <w:lang w:val="en-GB"/>
        </w:rPr>
      </w:pPr>
    </w:p>
    <w:p w14:paraId="213563A9" w14:textId="2334EBE4" w:rsidR="00E07937" w:rsidRDefault="00E07937" w:rsidP="00E07937">
      <w:pPr>
        <w:pStyle w:val="RAN4H2"/>
        <w:rPr>
          <w:rFonts w:eastAsia="Calibri"/>
          <w:lang w:val="en-GB"/>
        </w:rPr>
      </w:pPr>
      <w:r>
        <w:rPr>
          <w:rFonts w:eastAsia="Calibri"/>
          <w:lang w:val="en-GB"/>
        </w:rPr>
        <w:t>Beam level measurements for EMR</w:t>
      </w:r>
    </w:p>
    <w:p w14:paraId="7E68E51D" w14:textId="34037E9E" w:rsidR="00E07937" w:rsidRDefault="002C1B67" w:rsidP="00EA17AC">
      <w:pPr>
        <w:ind w:right="-22"/>
        <w:rPr>
          <w:rFonts w:eastAsia="Calibri" w:cs="Times New Roman"/>
          <w:szCs w:val="20"/>
          <w:lang w:val="en-GB"/>
        </w:rPr>
      </w:pPr>
      <w:r>
        <w:rPr>
          <w:rFonts w:eastAsia="Calibri" w:cs="Times New Roman"/>
          <w:szCs w:val="20"/>
          <w:lang w:val="en-GB"/>
        </w:rPr>
        <w:t xml:space="preserve">RAN2 has introduced beam level reporting for EMR in addition to cell measurements. When </w:t>
      </w:r>
      <w:proofErr w:type="spellStart"/>
      <w:r w:rsidRPr="002C1B67">
        <w:rPr>
          <w:rFonts w:eastAsia="Calibri" w:cs="Times New Roman"/>
          <w:szCs w:val="20"/>
          <w:lang w:val="en-GB"/>
        </w:rPr>
        <w:t>beamMeasConfigIdle</w:t>
      </w:r>
      <w:proofErr w:type="spellEnd"/>
      <w:r w:rsidRPr="002C1B67">
        <w:rPr>
          <w:rFonts w:eastAsia="Calibri" w:cs="Times New Roman"/>
          <w:szCs w:val="20"/>
          <w:lang w:val="en-GB"/>
        </w:rPr>
        <w:t xml:space="preserve"> </w:t>
      </w:r>
      <w:r>
        <w:rPr>
          <w:rFonts w:eastAsia="Calibri" w:cs="Times New Roman"/>
          <w:szCs w:val="20"/>
          <w:lang w:val="en-GB"/>
        </w:rPr>
        <w:t>ha</w:t>
      </w:r>
      <w:r w:rsidRPr="002C1B67">
        <w:rPr>
          <w:rFonts w:eastAsia="Calibri" w:cs="Times New Roman"/>
          <w:szCs w:val="20"/>
          <w:lang w:val="en-GB"/>
        </w:rPr>
        <w:t>s</w:t>
      </w:r>
      <w:r>
        <w:rPr>
          <w:rFonts w:eastAsia="Calibri" w:cs="Times New Roman"/>
          <w:szCs w:val="20"/>
          <w:lang w:val="en-GB"/>
        </w:rPr>
        <w:t xml:space="preserve"> been</w:t>
      </w:r>
      <w:r w:rsidRPr="002C1B67">
        <w:rPr>
          <w:rFonts w:eastAsia="Calibri" w:cs="Times New Roman"/>
          <w:szCs w:val="20"/>
          <w:lang w:val="en-GB"/>
        </w:rPr>
        <w:t xml:space="preserve"> included in the </w:t>
      </w:r>
      <w:proofErr w:type="spellStart"/>
      <w:r w:rsidRPr="002C1B67">
        <w:rPr>
          <w:rFonts w:eastAsia="Calibri" w:cs="Times New Roman"/>
          <w:szCs w:val="20"/>
          <w:lang w:val="en-GB"/>
        </w:rPr>
        <w:t>measIdleCarrierListNR</w:t>
      </w:r>
      <w:proofErr w:type="spellEnd"/>
      <w:r w:rsidRPr="002C1B67">
        <w:rPr>
          <w:rFonts w:eastAsia="Calibri" w:cs="Times New Roman"/>
          <w:szCs w:val="20"/>
          <w:lang w:val="en-GB"/>
        </w:rPr>
        <w:t xml:space="preserve">, </w:t>
      </w:r>
      <w:r>
        <w:rPr>
          <w:rFonts w:eastAsia="Calibri" w:cs="Times New Roman"/>
          <w:szCs w:val="20"/>
          <w:lang w:val="en-GB"/>
        </w:rPr>
        <w:t xml:space="preserve">the UE shall </w:t>
      </w:r>
      <w:r w:rsidRPr="002C1B67">
        <w:rPr>
          <w:rFonts w:eastAsia="Calibri" w:cs="Times New Roman"/>
          <w:szCs w:val="20"/>
          <w:lang w:val="en-GB"/>
        </w:rPr>
        <w:t xml:space="preserve">derive beam measurements based on SS/PBCH block for each </w:t>
      </w:r>
      <w:r>
        <w:rPr>
          <w:rFonts w:eastAsia="Calibri" w:cs="Times New Roman"/>
          <w:szCs w:val="20"/>
          <w:lang w:val="en-GB"/>
        </w:rPr>
        <w:t xml:space="preserve">indicated </w:t>
      </w:r>
      <w:r w:rsidRPr="002C1B67">
        <w:rPr>
          <w:rFonts w:eastAsia="Calibri" w:cs="Times New Roman"/>
          <w:szCs w:val="20"/>
          <w:lang w:val="en-GB"/>
        </w:rPr>
        <w:t>cell measur</w:t>
      </w:r>
      <w:r>
        <w:rPr>
          <w:rFonts w:eastAsia="Calibri" w:cs="Times New Roman"/>
          <w:szCs w:val="20"/>
          <w:lang w:val="en-GB"/>
        </w:rPr>
        <w:t>ed.</w:t>
      </w:r>
    </w:p>
    <w:p w14:paraId="0D2729B0" w14:textId="2A51E1C3" w:rsidR="00E07937" w:rsidRDefault="00DE61A3" w:rsidP="00EA17AC">
      <w:pPr>
        <w:ind w:right="-22"/>
        <w:rPr>
          <w:rFonts w:eastAsia="Calibri" w:cs="Times New Roman"/>
          <w:szCs w:val="20"/>
          <w:lang w:val="en-GB"/>
        </w:rPr>
      </w:pPr>
      <w:r>
        <w:rPr>
          <w:rFonts w:eastAsia="Calibri" w:cs="Times New Roman"/>
          <w:szCs w:val="20"/>
          <w:lang w:val="en-GB"/>
        </w:rPr>
        <w:t xml:space="preserve">RAN2 has designed signalling to support up to 8 cells per carrier and 4 beams on average per cell. </w:t>
      </w:r>
      <w:r w:rsidR="002C1B67">
        <w:rPr>
          <w:rFonts w:eastAsia="Calibri" w:cs="Times New Roman"/>
          <w:szCs w:val="20"/>
          <w:lang w:val="en-GB"/>
        </w:rPr>
        <w:t xml:space="preserve">The UE can be configured to </w:t>
      </w:r>
      <w:r w:rsidR="002C1B67" w:rsidRPr="002C1B67">
        <w:rPr>
          <w:rFonts w:eastAsia="Calibri" w:cs="Times New Roman"/>
          <w:szCs w:val="20"/>
          <w:lang w:val="en-GB"/>
        </w:rPr>
        <w:t xml:space="preserve">include up to </w:t>
      </w:r>
      <w:proofErr w:type="spellStart"/>
      <w:r w:rsidR="002C1B67" w:rsidRPr="002C1B67">
        <w:rPr>
          <w:rFonts w:eastAsia="Calibri" w:cs="Times New Roman"/>
          <w:szCs w:val="20"/>
          <w:lang w:val="en-GB"/>
        </w:rPr>
        <w:t>maxNrofRS-IndexesToReport</w:t>
      </w:r>
      <w:proofErr w:type="spellEnd"/>
      <w:r w:rsidR="002C1B67">
        <w:rPr>
          <w:rFonts w:eastAsia="Calibri" w:cs="Times New Roman"/>
          <w:szCs w:val="20"/>
          <w:lang w:val="en-GB"/>
        </w:rPr>
        <w:t xml:space="preserve"> (32)</w:t>
      </w:r>
      <w:r w:rsidR="002C1B67" w:rsidRPr="002C1B67">
        <w:rPr>
          <w:rFonts w:eastAsia="Calibri" w:cs="Times New Roman"/>
          <w:szCs w:val="20"/>
          <w:lang w:val="en-GB"/>
        </w:rPr>
        <w:t xml:space="preserve"> SS/PBCH block indexes</w:t>
      </w:r>
      <w:r>
        <w:rPr>
          <w:rFonts w:eastAsia="Calibri" w:cs="Times New Roman"/>
          <w:szCs w:val="20"/>
          <w:lang w:val="en-GB"/>
        </w:rPr>
        <w:t xml:space="preserve"> in the report</w:t>
      </w:r>
      <w:r w:rsidR="002C1B67">
        <w:rPr>
          <w:rFonts w:eastAsia="Calibri" w:cs="Times New Roman"/>
          <w:szCs w:val="20"/>
          <w:lang w:val="en-GB"/>
        </w:rPr>
        <w:t>.</w:t>
      </w:r>
    </w:p>
    <w:p w14:paraId="19B76596" w14:textId="1FD7FD46" w:rsidR="00E07937" w:rsidRDefault="006367A8" w:rsidP="00EA17AC">
      <w:pPr>
        <w:ind w:right="-22"/>
        <w:rPr>
          <w:rFonts w:eastAsia="Calibri" w:cs="Times New Roman"/>
          <w:szCs w:val="20"/>
          <w:lang w:val="en-GB"/>
        </w:rPr>
      </w:pPr>
      <w:r>
        <w:rPr>
          <w:rFonts w:eastAsia="Calibri" w:cs="Times New Roman"/>
          <w:szCs w:val="20"/>
          <w:lang w:val="en-GB"/>
        </w:rPr>
        <w:t xml:space="preserve">Currently, RAN4 has not defined any </w:t>
      </w:r>
      <w:r w:rsidR="00B41802">
        <w:rPr>
          <w:rFonts w:eastAsia="Calibri" w:cs="Times New Roman"/>
          <w:szCs w:val="20"/>
          <w:lang w:val="en-GB"/>
        </w:rPr>
        <w:t xml:space="preserve">specific </w:t>
      </w:r>
      <w:r>
        <w:rPr>
          <w:rFonts w:eastAsia="Calibri" w:cs="Times New Roman"/>
          <w:szCs w:val="20"/>
          <w:lang w:val="en-GB"/>
        </w:rPr>
        <w:t xml:space="preserve">requirements related to number of cells </w:t>
      </w:r>
      <w:r w:rsidR="00B41802">
        <w:rPr>
          <w:rFonts w:eastAsia="Calibri" w:cs="Times New Roman"/>
          <w:szCs w:val="20"/>
          <w:lang w:val="en-GB"/>
        </w:rPr>
        <w:t>or</w:t>
      </w:r>
      <w:r>
        <w:rPr>
          <w:rFonts w:eastAsia="Calibri" w:cs="Times New Roman"/>
          <w:szCs w:val="20"/>
          <w:lang w:val="en-GB"/>
        </w:rPr>
        <w:t xml:space="preserve"> beams the UE should be able to monitor in idle or inactive mode</w:t>
      </w:r>
      <w:r w:rsidR="00B41802">
        <w:rPr>
          <w:rFonts w:eastAsia="Calibri" w:cs="Times New Roman"/>
          <w:szCs w:val="20"/>
          <w:lang w:val="en-GB"/>
        </w:rPr>
        <w:t>. Such requirements have only been defined for connected mode.</w:t>
      </w:r>
      <w:r w:rsidR="00DE61A3">
        <w:rPr>
          <w:rFonts w:eastAsia="Calibri" w:cs="Times New Roman"/>
          <w:szCs w:val="20"/>
          <w:lang w:val="en-GB"/>
        </w:rPr>
        <w:t xml:space="preserve"> However, RAN4 will need to discuss if detailed requirements related to number of cells and beams UE is at least required to measure for EMR.</w:t>
      </w:r>
    </w:p>
    <w:p w14:paraId="2F9D8386" w14:textId="63F53333" w:rsidR="00DE61A3" w:rsidRDefault="00DE61A3" w:rsidP="00EA17AC">
      <w:pPr>
        <w:ind w:right="-22"/>
        <w:rPr>
          <w:rFonts w:eastAsia="Calibri" w:cs="Times New Roman"/>
          <w:szCs w:val="20"/>
          <w:lang w:val="en-GB"/>
        </w:rPr>
      </w:pPr>
      <w:r>
        <w:rPr>
          <w:rFonts w:eastAsia="Calibri" w:cs="Times New Roman"/>
          <w:szCs w:val="20"/>
          <w:lang w:val="en-GB"/>
        </w:rPr>
        <w:t xml:space="preserve">As baseline, it should be noted that in Rel-15 LTE EMR does not have any specific requirement related to number of cells the UE should be able to measure for EMR. For overlapping EMR carriers the </w:t>
      </w:r>
      <w:r w:rsidR="00F16595">
        <w:rPr>
          <w:rFonts w:eastAsia="Calibri" w:cs="Times New Roman"/>
          <w:szCs w:val="20"/>
          <w:lang w:val="en-GB"/>
        </w:rPr>
        <w:t xml:space="preserve">Rel-15 </w:t>
      </w:r>
      <w:proofErr w:type="spellStart"/>
      <w:r w:rsidR="00F16595">
        <w:rPr>
          <w:rFonts w:eastAsia="Calibri" w:cs="Times New Roman"/>
          <w:szCs w:val="20"/>
          <w:lang w:val="en-GB"/>
        </w:rPr>
        <w:t>euCA</w:t>
      </w:r>
      <w:proofErr w:type="spellEnd"/>
      <w:r w:rsidR="00F16595">
        <w:rPr>
          <w:rFonts w:eastAsia="Calibri" w:cs="Times New Roman"/>
          <w:szCs w:val="20"/>
          <w:lang w:val="en-GB"/>
        </w:rPr>
        <w:t xml:space="preserve"> </w:t>
      </w:r>
      <w:r>
        <w:rPr>
          <w:rFonts w:eastAsia="Calibri" w:cs="Times New Roman"/>
          <w:szCs w:val="20"/>
          <w:lang w:val="en-GB"/>
        </w:rPr>
        <w:t>requirements refer to non-EMR measurement requirements which do not have requirements related to number of cells.</w:t>
      </w:r>
    </w:p>
    <w:p w14:paraId="0EFDC7D5" w14:textId="510C4844" w:rsidR="00DE61A3" w:rsidRDefault="00DE61A3" w:rsidP="00EA17AC">
      <w:pPr>
        <w:ind w:right="-22"/>
        <w:rPr>
          <w:rFonts w:eastAsia="Calibri" w:cs="Times New Roman"/>
          <w:szCs w:val="20"/>
          <w:lang w:val="en-GB"/>
        </w:rPr>
      </w:pPr>
      <w:r>
        <w:rPr>
          <w:rFonts w:eastAsia="Calibri" w:cs="Times New Roman"/>
          <w:szCs w:val="20"/>
          <w:lang w:val="en-GB"/>
        </w:rPr>
        <w:t>It is required though, that the UE will perform the required idle mode measurements and hence detect and measure potential new cells during the EMR measurement time, T331.</w:t>
      </w:r>
      <w:r w:rsidR="002A5EE4">
        <w:rPr>
          <w:rFonts w:eastAsia="Calibri" w:cs="Times New Roman"/>
          <w:szCs w:val="20"/>
          <w:lang w:val="en-GB"/>
        </w:rPr>
        <w:t xml:space="preserve"> </w:t>
      </w:r>
      <w:r w:rsidR="00CF6464">
        <w:rPr>
          <w:rFonts w:eastAsia="Calibri" w:cs="Times New Roman"/>
          <w:szCs w:val="20"/>
          <w:lang w:val="en-GB"/>
        </w:rPr>
        <w:t xml:space="preserve">From network and system point of view the most important is that the UE </w:t>
      </w:r>
      <w:proofErr w:type="gramStart"/>
      <w:r w:rsidR="00CF6464">
        <w:rPr>
          <w:rFonts w:eastAsia="Calibri" w:cs="Times New Roman"/>
          <w:szCs w:val="20"/>
          <w:lang w:val="en-GB"/>
        </w:rPr>
        <w:t>is able to</w:t>
      </w:r>
      <w:proofErr w:type="gramEnd"/>
      <w:r w:rsidR="00CF6464">
        <w:rPr>
          <w:rFonts w:eastAsia="Calibri" w:cs="Times New Roman"/>
          <w:szCs w:val="20"/>
          <w:lang w:val="en-GB"/>
        </w:rPr>
        <w:t xml:space="preserve"> report the best cell</w:t>
      </w:r>
      <w:r w:rsidR="00A36062">
        <w:rPr>
          <w:rFonts w:eastAsia="Calibri" w:cs="Times New Roman"/>
          <w:szCs w:val="20"/>
          <w:lang w:val="en-GB"/>
        </w:rPr>
        <w:t>s</w:t>
      </w:r>
      <w:r w:rsidR="00CF6464">
        <w:rPr>
          <w:rFonts w:eastAsia="Calibri" w:cs="Times New Roman"/>
          <w:szCs w:val="20"/>
          <w:lang w:val="en-GB"/>
        </w:rPr>
        <w:t xml:space="preserve"> measured in idle mode. And from the best cell</w:t>
      </w:r>
      <w:r w:rsidR="00A36062">
        <w:rPr>
          <w:rFonts w:eastAsia="Calibri" w:cs="Times New Roman"/>
          <w:szCs w:val="20"/>
          <w:lang w:val="en-GB"/>
        </w:rPr>
        <w:t>s</w:t>
      </w:r>
      <w:r w:rsidR="00CF6464">
        <w:rPr>
          <w:rFonts w:eastAsia="Calibri" w:cs="Times New Roman"/>
          <w:szCs w:val="20"/>
          <w:lang w:val="en-GB"/>
        </w:rPr>
        <w:t xml:space="preserve"> the UE should be able to report at least the best SSB</w:t>
      </w:r>
      <w:r w:rsidR="00A36062">
        <w:rPr>
          <w:rFonts w:eastAsia="Calibri" w:cs="Times New Roman"/>
          <w:szCs w:val="20"/>
          <w:lang w:val="en-GB"/>
        </w:rPr>
        <w:t>s</w:t>
      </w:r>
      <w:r w:rsidR="00CF6464">
        <w:rPr>
          <w:rFonts w:eastAsia="Calibri" w:cs="Times New Roman"/>
          <w:szCs w:val="20"/>
          <w:lang w:val="en-GB"/>
        </w:rPr>
        <w:t>.</w:t>
      </w:r>
    </w:p>
    <w:p w14:paraId="037675F8" w14:textId="40136D5D" w:rsidR="00CF6464" w:rsidRDefault="00CF6464" w:rsidP="00EA17AC">
      <w:pPr>
        <w:ind w:right="-22"/>
        <w:rPr>
          <w:rFonts w:eastAsia="Calibri" w:cs="Times New Roman"/>
          <w:szCs w:val="20"/>
          <w:lang w:val="en-GB"/>
        </w:rPr>
      </w:pPr>
      <w:r>
        <w:rPr>
          <w:rFonts w:eastAsia="Calibri" w:cs="Times New Roman"/>
          <w:szCs w:val="20"/>
          <w:lang w:val="en-GB"/>
        </w:rPr>
        <w:t>Based on this we suggest that the UE should be able to measure at least 2 cells per EMR carrier and up to 4 SSB indexes per reported cell.</w:t>
      </w:r>
    </w:p>
    <w:p w14:paraId="3E58E455" w14:textId="35DBB207" w:rsidR="00DE61A3" w:rsidRDefault="00CF6464" w:rsidP="00CF6464">
      <w:pPr>
        <w:pStyle w:val="RAN4proposal"/>
        <w:rPr>
          <w:rFonts w:eastAsia="Calibri" w:cs="Times New Roman"/>
          <w:szCs w:val="20"/>
          <w:lang w:val="en-GB"/>
        </w:rPr>
      </w:pPr>
      <w:r>
        <w:rPr>
          <w:rFonts w:eastAsia="Calibri" w:cs="Times New Roman"/>
          <w:szCs w:val="20"/>
          <w:lang w:val="en-GB"/>
        </w:rPr>
        <w:t>UE should be able to measure and report at least 2 cells per EMR carrier.</w:t>
      </w:r>
    </w:p>
    <w:p w14:paraId="4849934E" w14:textId="228482FA" w:rsidR="00CF6464" w:rsidRPr="00CF6464" w:rsidRDefault="00CF6464" w:rsidP="00CF6464">
      <w:pPr>
        <w:pStyle w:val="RAN4proposal"/>
        <w:rPr>
          <w:lang w:val="en-GB"/>
        </w:rPr>
      </w:pPr>
      <w:r>
        <w:rPr>
          <w:rFonts w:eastAsia="Calibri" w:cs="Times New Roman"/>
          <w:szCs w:val="20"/>
          <w:lang w:val="en-GB"/>
        </w:rPr>
        <w:t>UE should be able to measure and report and up to 4 SSB indexes per reported cell.</w:t>
      </w:r>
    </w:p>
    <w:p w14:paraId="69B6EB8B" w14:textId="77777777" w:rsidR="00CF6464" w:rsidRDefault="00CF6464" w:rsidP="00EA17AC">
      <w:pPr>
        <w:ind w:right="-22"/>
        <w:rPr>
          <w:rFonts w:eastAsia="Calibri" w:cs="Times New Roman"/>
          <w:szCs w:val="20"/>
          <w:lang w:val="en-GB"/>
        </w:rPr>
      </w:pPr>
    </w:p>
    <w:p w14:paraId="381A455F" w14:textId="39AE67B3" w:rsidR="00DE61A3" w:rsidRDefault="00CF6464" w:rsidP="00CF6464">
      <w:pPr>
        <w:pStyle w:val="RAN4H2"/>
        <w:rPr>
          <w:rFonts w:eastAsia="Calibri"/>
          <w:lang w:val="en-GB"/>
        </w:rPr>
      </w:pPr>
      <w:r>
        <w:rPr>
          <w:rFonts w:eastAsia="Calibri"/>
          <w:lang w:val="en-GB"/>
        </w:rPr>
        <w:t>Detected cell details</w:t>
      </w:r>
    </w:p>
    <w:p w14:paraId="1EB17E3A" w14:textId="0D9CF607" w:rsidR="001778CA" w:rsidRDefault="001778CA" w:rsidP="00EA17AC">
      <w:pPr>
        <w:ind w:right="-22"/>
        <w:rPr>
          <w:rFonts w:eastAsia="Calibri" w:cs="Times New Roman"/>
          <w:szCs w:val="20"/>
          <w:lang w:val="en-GB"/>
        </w:rPr>
      </w:pPr>
      <w:r>
        <w:rPr>
          <w:rFonts w:eastAsia="Calibri" w:cs="Times New Roman"/>
          <w:szCs w:val="20"/>
          <w:lang w:val="en-GB"/>
        </w:rPr>
        <w:t>In last meeting RAN4 agreed following related to detected cell status when transitioning to idle/inactive mode from connected mode (from [</w:t>
      </w:r>
      <w:r w:rsidR="00C41C1F">
        <w:rPr>
          <w:rFonts w:eastAsia="Calibri" w:cs="Times New Roman"/>
          <w:szCs w:val="20"/>
          <w:lang w:val="en-GB"/>
        </w:rPr>
        <w:t>3</w:t>
      </w:r>
      <w:r>
        <w:rPr>
          <w:rFonts w:eastAsia="Calibri" w:cs="Times New Roman"/>
          <w:szCs w:val="20"/>
          <w:lang w:val="en-GB"/>
        </w:rPr>
        <w:t>]):</w:t>
      </w:r>
    </w:p>
    <w:p w14:paraId="56B80E15" w14:textId="77777777" w:rsidR="001778CA" w:rsidRDefault="001778CA" w:rsidP="001778CA">
      <w:pPr>
        <w:pStyle w:val="ListParagraph"/>
        <w:numPr>
          <w:ilvl w:val="0"/>
          <w:numId w:val="29"/>
        </w:numPr>
        <w:spacing w:after="180" w:line="240" w:lineRule="auto"/>
        <w:ind w:right="-22"/>
      </w:pPr>
      <w:r>
        <w:t>A cell which is detected cell in Connected mode prior to connection release, shall remain detected after UE has entered Idle mode and during Idle mode, provided that the following conditions are met:</w:t>
      </w:r>
    </w:p>
    <w:p w14:paraId="6E0113E5" w14:textId="77777777" w:rsidR="001778CA" w:rsidRDefault="001778CA" w:rsidP="001778CA">
      <w:pPr>
        <w:pStyle w:val="ListParagraph"/>
        <w:numPr>
          <w:ilvl w:val="1"/>
          <w:numId w:val="29"/>
        </w:numPr>
        <w:spacing w:after="180" w:line="240" w:lineRule="auto"/>
        <w:ind w:right="-22"/>
      </w:pPr>
      <w:r>
        <w:t>The UE has been provided with a list of cells and/or carrier frequencies for early measurement reporting by dedicated RRC signaling and</w:t>
      </w:r>
    </w:p>
    <w:p w14:paraId="3A6527FC" w14:textId="77777777" w:rsidR="001778CA" w:rsidRDefault="001778CA" w:rsidP="001778CA">
      <w:pPr>
        <w:pStyle w:val="ListParagraph"/>
        <w:numPr>
          <w:ilvl w:val="1"/>
          <w:numId w:val="29"/>
        </w:numPr>
        <w:spacing w:after="180" w:line="240" w:lineRule="auto"/>
        <w:ind w:right="-22"/>
      </w:pPr>
      <w:r>
        <w:t>The detected cell is among the list of cells or on a carrier frequency provided for early measurement reporting, and</w:t>
      </w:r>
    </w:p>
    <w:p w14:paraId="55BBC8AF" w14:textId="77777777" w:rsidR="001778CA" w:rsidRDefault="001778CA" w:rsidP="001778CA">
      <w:pPr>
        <w:pStyle w:val="ListParagraph"/>
        <w:numPr>
          <w:ilvl w:val="1"/>
          <w:numId w:val="29"/>
        </w:numPr>
        <w:spacing w:after="180" w:line="240" w:lineRule="auto"/>
        <w:ind w:right="-22"/>
      </w:pPr>
      <w:r>
        <w:t>The UE is provided with a valid timer T331 by dedicated RRC signaling, and</w:t>
      </w:r>
    </w:p>
    <w:p w14:paraId="0D436A03" w14:textId="77777777" w:rsidR="00881839" w:rsidRPr="00881839" w:rsidRDefault="001778CA" w:rsidP="001A012F">
      <w:pPr>
        <w:pStyle w:val="ListParagraph"/>
        <w:numPr>
          <w:ilvl w:val="1"/>
          <w:numId w:val="29"/>
        </w:numPr>
        <w:spacing w:after="180" w:line="240" w:lineRule="auto"/>
        <w:ind w:right="-22"/>
        <w:rPr>
          <w:rFonts w:eastAsia="Calibri" w:cs="Times New Roman"/>
          <w:szCs w:val="20"/>
          <w:lang w:val="en-GB"/>
        </w:rPr>
      </w:pPr>
      <w:r>
        <w:t>The detected cell remains detectable until UE reconnects to the network and transmits the early measurement report, and</w:t>
      </w:r>
    </w:p>
    <w:p w14:paraId="18936291" w14:textId="05B509BE" w:rsidR="001778CA" w:rsidRPr="00881839" w:rsidRDefault="001778CA" w:rsidP="001A012F">
      <w:pPr>
        <w:pStyle w:val="ListParagraph"/>
        <w:numPr>
          <w:ilvl w:val="1"/>
          <w:numId w:val="29"/>
        </w:numPr>
        <w:spacing w:after="180" w:line="240" w:lineRule="auto"/>
        <w:ind w:right="-22"/>
        <w:rPr>
          <w:rFonts w:eastAsia="Calibri" w:cs="Times New Roman"/>
          <w:szCs w:val="20"/>
          <w:lang w:val="en-GB"/>
        </w:rPr>
      </w:pPr>
      <w:r w:rsidRPr="00251031">
        <w:lastRenderedPageBreak/>
        <w:t xml:space="preserve">The carrier frequency of the detected cell and the carrier frequency of the serving cell are among the supported band combination of the UE. </w:t>
      </w:r>
    </w:p>
    <w:p w14:paraId="45042451" w14:textId="49ACD815" w:rsidR="001778CA" w:rsidRDefault="001778CA" w:rsidP="00EA17AC">
      <w:pPr>
        <w:ind w:right="-22"/>
        <w:rPr>
          <w:rFonts w:eastAsia="Calibri" w:cs="Times New Roman"/>
          <w:szCs w:val="20"/>
          <w:lang w:val="en-GB"/>
        </w:rPr>
      </w:pPr>
      <w:r>
        <w:rPr>
          <w:rFonts w:eastAsia="Calibri" w:cs="Times New Roman"/>
          <w:szCs w:val="20"/>
          <w:lang w:val="en-GB"/>
        </w:rPr>
        <w:t>And following was left open for further discussion:</w:t>
      </w:r>
    </w:p>
    <w:p w14:paraId="4C7F569D" w14:textId="77777777" w:rsidR="001778CA" w:rsidRPr="001778CA" w:rsidRDefault="001778CA" w:rsidP="001778CA">
      <w:pPr>
        <w:numPr>
          <w:ilvl w:val="0"/>
          <w:numId w:val="28"/>
        </w:numPr>
        <w:ind w:right="-22"/>
        <w:rPr>
          <w:rFonts w:eastAsia="Calibri" w:cs="Times New Roman"/>
          <w:szCs w:val="20"/>
          <w:lang w:val="en-GB"/>
        </w:rPr>
      </w:pPr>
      <w:r w:rsidRPr="001778CA">
        <w:rPr>
          <w:rFonts w:eastAsia="Calibri" w:cs="Times New Roman"/>
          <w:szCs w:val="20"/>
          <w:lang w:val="en-GB"/>
        </w:rPr>
        <w:t>The detected cell remains detectable in terms of signal quality</w:t>
      </w:r>
    </w:p>
    <w:p w14:paraId="4C2A925C" w14:textId="77777777" w:rsidR="001778CA" w:rsidRPr="001778CA" w:rsidRDefault="001778CA" w:rsidP="001778CA">
      <w:pPr>
        <w:numPr>
          <w:ilvl w:val="0"/>
          <w:numId w:val="28"/>
        </w:numPr>
        <w:ind w:right="-22"/>
        <w:rPr>
          <w:rFonts w:eastAsia="Calibri" w:cs="Times New Roman"/>
          <w:szCs w:val="20"/>
          <w:lang w:val="en-GB"/>
        </w:rPr>
      </w:pPr>
      <w:r w:rsidRPr="001778CA">
        <w:rPr>
          <w:rFonts w:eastAsia="Calibri" w:cs="Times New Roman"/>
          <w:szCs w:val="20"/>
          <w:lang w:val="en-GB"/>
        </w:rPr>
        <w:t>The detected SSBs of a cell remains detectable in terms of signal quality</w:t>
      </w:r>
    </w:p>
    <w:p w14:paraId="183DBEA6" w14:textId="77777777" w:rsidR="001778CA" w:rsidRPr="001778CA" w:rsidRDefault="001778CA" w:rsidP="001778CA">
      <w:pPr>
        <w:numPr>
          <w:ilvl w:val="0"/>
          <w:numId w:val="28"/>
        </w:numPr>
        <w:ind w:right="-22"/>
        <w:rPr>
          <w:rFonts w:eastAsia="Calibri" w:cs="Times New Roman"/>
          <w:szCs w:val="20"/>
          <w:lang w:val="en-GB"/>
        </w:rPr>
      </w:pPr>
      <w:r w:rsidRPr="001778CA">
        <w:rPr>
          <w:rFonts w:eastAsia="Calibri" w:cs="Times New Roman"/>
          <w:szCs w:val="20"/>
          <w:lang w:val="en-GB"/>
        </w:rPr>
        <w:t>T331 status – specifically and “timer is not expired”</w:t>
      </w:r>
    </w:p>
    <w:p w14:paraId="06EA711A" w14:textId="1BF7DD27" w:rsidR="001778CA" w:rsidRDefault="00881839" w:rsidP="00EA17AC">
      <w:pPr>
        <w:ind w:right="-22"/>
        <w:rPr>
          <w:rFonts w:eastAsia="Calibri" w:cs="Times New Roman"/>
          <w:szCs w:val="20"/>
          <w:lang w:val="en-GB"/>
        </w:rPr>
      </w:pPr>
      <w:r>
        <w:rPr>
          <w:rFonts w:eastAsia="Calibri" w:cs="Times New Roman"/>
          <w:szCs w:val="20"/>
          <w:lang w:val="en-GB"/>
        </w:rPr>
        <w:t xml:space="preserve">It seems reasonable to include the conditions when a cell and SSB is assumed detectable in terms of signal quality. </w:t>
      </w:r>
      <w:r w:rsidR="005611CF">
        <w:rPr>
          <w:rFonts w:eastAsia="Calibri" w:cs="Times New Roman"/>
          <w:szCs w:val="20"/>
          <w:lang w:val="en-GB"/>
        </w:rPr>
        <w:t xml:space="preserve">Re-using the existing idle mode conditions regarding when a cell is considered detectable </w:t>
      </w:r>
      <w:r>
        <w:rPr>
          <w:rFonts w:eastAsia="Calibri" w:cs="Times New Roman"/>
          <w:szCs w:val="20"/>
          <w:lang w:val="en-GB"/>
        </w:rPr>
        <w:t xml:space="preserve">would be </w:t>
      </w:r>
      <w:r w:rsidR="00FE0C58">
        <w:rPr>
          <w:rFonts w:eastAsia="Calibri" w:cs="Times New Roman"/>
          <w:szCs w:val="20"/>
          <w:lang w:val="en-GB"/>
        </w:rPr>
        <w:t>one option. Hence, refer to section B.1.2 for intra-frequency cells and B.1.3 for inter-frequency cells. These requirements cover both FR1 and FR2 and should account the SSB signal quality.</w:t>
      </w:r>
    </w:p>
    <w:p w14:paraId="0EEBEC06" w14:textId="6D7B69DE" w:rsidR="00486C7F" w:rsidRDefault="00486C7F" w:rsidP="00486C7F">
      <w:pPr>
        <w:pStyle w:val="RAN4proposal"/>
        <w:rPr>
          <w:rFonts w:eastAsia="Calibri" w:cs="Times New Roman"/>
          <w:szCs w:val="20"/>
          <w:lang w:val="en-GB"/>
        </w:rPr>
      </w:pPr>
      <w:r>
        <w:rPr>
          <w:lang w:val="en-GB"/>
        </w:rPr>
        <w:t xml:space="preserve">Capture </w:t>
      </w:r>
      <w:r w:rsidR="006F339B">
        <w:rPr>
          <w:lang w:val="en-GB"/>
        </w:rPr>
        <w:t xml:space="preserve">when a </w:t>
      </w:r>
      <w:r w:rsidR="001778CA" w:rsidRPr="001778CA">
        <w:rPr>
          <w:rFonts w:eastAsia="Calibri" w:cs="Times New Roman"/>
          <w:szCs w:val="20"/>
          <w:lang w:val="en-GB"/>
        </w:rPr>
        <w:t>detected cell remains detectable in terms of signal quality</w:t>
      </w:r>
      <w:r>
        <w:rPr>
          <w:rFonts w:eastAsia="Calibri" w:cs="Times New Roman"/>
          <w:szCs w:val="20"/>
          <w:lang w:val="en-GB"/>
        </w:rPr>
        <w:t>.</w:t>
      </w:r>
    </w:p>
    <w:p w14:paraId="61DB1A24" w14:textId="61B9F78A" w:rsidR="006F339B" w:rsidRPr="006F339B" w:rsidRDefault="006F339B" w:rsidP="006F339B">
      <w:pPr>
        <w:pStyle w:val="RAN4proposal"/>
        <w:rPr>
          <w:lang w:val="en-GB"/>
        </w:rPr>
      </w:pPr>
      <w:r>
        <w:rPr>
          <w:lang w:val="en-GB"/>
        </w:rPr>
        <w:t xml:space="preserve">Capture when a </w:t>
      </w:r>
      <w:r w:rsidR="001778CA" w:rsidRPr="001778CA">
        <w:rPr>
          <w:rFonts w:eastAsia="Calibri" w:cs="Times New Roman"/>
          <w:szCs w:val="20"/>
          <w:lang w:val="en-GB"/>
        </w:rPr>
        <w:t>detected SSBs of a cell remains detectable in terms of signal quality</w:t>
      </w:r>
      <w:r>
        <w:rPr>
          <w:rFonts w:eastAsia="Calibri" w:cs="Times New Roman"/>
          <w:szCs w:val="20"/>
          <w:lang w:val="en-GB"/>
        </w:rPr>
        <w:t>.</w:t>
      </w:r>
    </w:p>
    <w:p w14:paraId="6E416141" w14:textId="648962B9" w:rsidR="00FE0C58" w:rsidRDefault="00FE0C58" w:rsidP="00EA17AC">
      <w:pPr>
        <w:ind w:right="-22"/>
        <w:rPr>
          <w:rFonts w:eastAsia="Calibri" w:cs="Times New Roman"/>
          <w:szCs w:val="20"/>
          <w:lang w:val="en-GB"/>
        </w:rPr>
      </w:pPr>
      <w:r>
        <w:rPr>
          <w:rFonts w:eastAsia="Calibri" w:cs="Times New Roman"/>
          <w:szCs w:val="20"/>
          <w:lang w:val="en-GB"/>
        </w:rPr>
        <w:t>As for the T331 status we see this covered well enough by the existing line:</w:t>
      </w:r>
    </w:p>
    <w:p w14:paraId="059D3A16" w14:textId="2C330031" w:rsidR="00FE0C58" w:rsidRPr="00FE0C58" w:rsidRDefault="00FE0C58" w:rsidP="00FE0C58">
      <w:pPr>
        <w:pStyle w:val="ListParagraph"/>
        <w:numPr>
          <w:ilvl w:val="0"/>
          <w:numId w:val="30"/>
        </w:numPr>
        <w:ind w:right="-22"/>
        <w:rPr>
          <w:rFonts w:eastAsia="Calibri" w:cs="Times New Roman"/>
          <w:szCs w:val="20"/>
          <w:lang w:val="en-GB"/>
        </w:rPr>
      </w:pPr>
      <w:r>
        <w:t>The UE is provided with a valid timer T331 by dedicated RRC signaling</w:t>
      </w:r>
    </w:p>
    <w:p w14:paraId="06FA10F3" w14:textId="386F5A1A" w:rsidR="00FE0C58" w:rsidRDefault="00FE0C58" w:rsidP="00EA17AC">
      <w:pPr>
        <w:ind w:right="-22"/>
        <w:rPr>
          <w:rFonts w:eastAsia="Calibri" w:cs="Times New Roman"/>
          <w:szCs w:val="20"/>
          <w:lang w:val="en-GB"/>
        </w:rPr>
      </w:pPr>
      <w:r>
        <w:rPr>
          <w:rFonts w:eastAsia="Calibri" w:cs="Times New Roman"/>
          <w:szCs w:val="20"/>
          <w:lang w:val="en-GB"/>
        </w:rPr>
        <w:t xml:space="preserve">and following </w:t>
      </w:r>
      <w:r w:rsidR="00C41C1F">
        <w:rPr>
          <w:rFonts w:eastAsia="Calibri" w:cs="Times New Roman"/>
          <w:szCs w:val="20"/>
          <w:lang w:val="en-GB"/>
        </w:rPr>
        <w:t xml:space="preserve">the principle </w:t>
      </w:r>
      <w:r>
        <w:rPr>
          <w:rFonts w:eastAsia="Calibri" w:cs="Times New Roman"/>
          <w:szCs w:val="20"/>
          <w:lang w:val="en-GB"/>
        </w:rPr>
        <w:t>that the EMR requirement applies wh</w:t>
      </w:r>
      <w:r w:rsidR="00C41C1F">
        <w:rPr>
          <w:rFonts w:eastAsia="Calibri" w:cs="Times New Roman"/>
          <w:szCs w:val="20"/>
          <w:lang w:val="en-GB"/>
        </w:rPr>
        <w:t>ile</w:t>
      </w:r>
      <w:r>
        <w:rPr>
          <w:rFonts w:eastAsia="Calibri" w:cs="Times New Roman"/>
          <w:szCs w:val="20"/>
          <w:lang w:val="en-GB"/>
        </w:rPr>
        <w:t xml:space="preserve"> T331 has not expired.</w:t>
      </w:r>
      <w:r w:rsidR="00486C7F">
        <w:rPr>
          <w:rFonts w:eastAsia="Calibri" w:cs="Times New Roman"/>
          <w:szCs w:val="20"/>
          <w:lang w:val="en-GB"/>
        </w:rPr>
        <w:t xml:space="preserve"> </w:t>
      </w:r>
    </w:p>
    <w:p w14:paraId="40FBAE4B" w14:textId="201DB6D1" w:rsidR="006F339B" w:rsidRDefault="006F339B" w:rsidP="006F339B">
      <w:pPr>
        <w:pStyle w:val="RAN4proposal"/>
        <w:rPr>
          <w:lang w:val="en-GB"/>
        </w:rPr>
      </w:pPr>
      <w:r>
        <w:rPr>
          <w:lang w:val="en-GB"/>
        </w:rPr>
        <w:t>No need to capture T331 not expired in the cell detected status.</w:t>
      </w:r>
    </w:p>
    <w:p w14:paraId="1C41F3B0" w14:textId="266247BB" w:rsidR="00FE0C58" w:rsidRDefault="00FE0C58" w:rsidP="00EA17AC">
      <w:pPr>
        <w:ind w:right="-22"/>
        <w:rPr>
          <w:rFonts w:eastAsia="Calibri" w:cs="Times New Roman"/>
          <w:szCs w:val="20"/>
          <w:lang w:val="en-GB"/>
        </w:rPr>
      </w:pPr>
      <w:r>
        <w:rPr>
          <w:rFonts w:eastAsia="Calibri" w:cs="Times New Roman"/>
          <w:szCs w:val="20"/>
          <w:lang w:val="en-GB"/>
        </w:rPr>
        <w:t xml:space="preserve">Based on this discussion we suggest covering the cell and SSB signal level by adding following conditions to the </w:t>
      </w:r>
      <w:r w:rsidR="00D47803">
        <w:rPr>
          <w:rFonts w:eastAsia="Calibri" w:cs="Times New Roman"/>
          <w:szCs w:val="20"/>
          <w:lang w:val="en-GB"/>
        </w:rPr>
        <w:t xml:space="preserve">intra-frequency </w:t>
      </w:r>
      <w:r>
        <w:rPr>
          <w:rFonts w:eastAsia="Calibri" w:cs="Times New Roman"/>
          <w:szCs w:val="20"/>
          <w:lang w:val="en-GB"/>
        </w:rPr>
        <w:t>detected cell status:</w:t>
      </w:r>
    </w:p>
    <w:p w14:paraId="7E47003F" w14:textId="70AD8693" w:rsidR="00114FF1" w:rsidRDefault="00FE0C58" w:rsidP="00D47803">
      <w:pPr>
        <w:ind w:left="720" w:right="-22"/>
      </w:pPr>
      <w:r>
        <w:rPr>
          <w:rFonts w:eastAsia="Calibri" w:cs="Times New Roman"/>
          <w:szCs w:val="20"/>
          <w:lang w:val="en-GB"/>
        </w:rPr>
        <w:t xml:space="preserve">An intra-frequency cell is considered detectable </w:t>
      </w:r>
      <w:r w:rsidR="00114FF1">
        <w:rPr>
          <w:rFonts w:eastAsia="Calibri" w:cs="Times New Roman"/>
          <w:szCs w:val="20"/>
          <w:lang w:val="en-GB"/>
        </w:rPr>
        <w:t xml:space="preserve">and UE is expected to be able to perform </w:t>
      </w:r>
      <w:r w:rsidR="00D47803">
        <w:rPr>
          <w:rFonts w:eastAsia="Calibri" w:cs="Times New Roman"/>
          <w:szCs w:val="20"/>
          <w:lang w:val="en-GB"/>
        </w:rPr>
        <w:t xml:space="preserve">SSB based </w:t>
      </w:r>
      <w:r w:rsidR="00114FF1">
        <w:rPr>
          <w:rFonts w:eastAsia="Calibri" w:cs="Times New Roman"/>
          <w:szCs w:val="20"/>
          <w:lang w:val="en-GB"/>
        </w:rPr>
        <w:t>measurement</w:t>
      </w:r>
      <w:r w:rsidR="00D47803">
        <w:rPr>
          <w:rFonts w:eastAsia="Calibri" w:cs="Times New Roman"/>
          <w:szCs w:val="20"/>
          <w:lang w:val="en-GB"/>
        </w:rPr>
        <w:t>s</w:t>
      </w:r>
      <w:r w:rsidR="00114FF1">
        <w:rPr>
          <w:rFonts w:eastAsia="Calibri" w:cs="Times New Roman"/>
          <w:szCs w:val="20"/>
          <w:lang w:val="en-GB"/>
        </w:rPr>
        <w:t xml:space="preserve"> according to the </w:t>
      </w:r>
      <w:r w:rsidR="00114FF1" w:rsidRPr="00D22B73">
        <w:t xml:space="preserve">conditions for NR intra-frequency measurements </w:t>
      </w:r>
      <w:r w:rsidR="00D47803">
        <w:t>in section B.1.2 for</w:t>
      </w:r>
      <w:r w:rsidR="00114FF1" w:rsidRPr="00D22B73">
        <w:t xml:space="preserve"> SSB_RP and SSB </w:t>
      </w:r>
      <w:proofErr w:type="spellStart"/>
      <w:r w:rsidR="00114FF1" w:rsidRPr="00D22B73">
        <w:t>Ês</w:t>
      </w:r>
      <w:proofErr w:type="spellEnd"/>
      <w:r w:rsidR="00114FF1" w:rsidRPr="00D22B73">
        <w:t>/</w:t>
      </w:r>
      <w:proofErr w:type="spellStart"/>
      <w:r w:rsidR="00114FF1" w:rsidRPr="00D22B73">
        <w:t>Iot</w:t>
      </w:r>
      <w:proofErr w:type="spellEnd"/>
      <w:r w:rsidR="00114FF1" w:rsidRPr="00D22B73">
        <w:t xml:space="preserve">, </w:t>
      </w:r>
      <w:r w:rsidR="00D47803">
        <w:t xml:space="preserve">as </w:t>
      </w:r>
      <w:r w:rsidR="00114FF1" w:rsidRPr="00D22B73">
        <w:t xml:space="preserve">applicable for </w:t>
      </w:r>
      <w:r w:rsidR="00D47803">
        <w:t>the</w:t>
      </w:r>
      <w:r w:rsidR="00114FF1" w:rsidRPr="00D22B73">
        <w:t xml:space="preserve"> corresponding operating band</w:t>
      </w:r>
      <w:r w:rsidR="00D47803">
        <w:t>.</w:t>
      </w:r>
    </w:p>
    <w:p w14:paraId="4C109815" w14:textId="5FD3531D" w:rsidR="00D47803" w:rsidRDefault="00D47803" w:rsidP="00EA17AC">
      <w:pPr>
        <w:ind w:right="-22"/>
        <w:rPr>
          <w:rFonts w:eastAsia="Calibri" w:cs="Times New Roman"/>
          <w:szCs w:val="20"/>
          <w:lang w:val="en-GB"/>
        </w:rPr>
      </w:pPr>
      <w:r>
        <w:rPr>
          <w:rFonts w:eastAsia="Calibri" w:cs="Times New Roman"/>
          <w:szCs w:val="20"/>
          <w:lang w:val="en-GB"/>
        </w:rPr>
        <w:t>A similar TP for inter-frequency:</w:t>
      </w:r>
    </w:p>
    <w:p w14:paraId="49285687" w14:textId="596DF741" w:rsidR="00D47803" w:rsidRDefault="00D47803" w:rsidP="00D47803">
      <w:pPr>
        <w:ind w:left="720" w:right="-22"/>
        <w:rPr>
          <w:rFonts w:eastAsia="Calibri" w:cs="Times New Roman"/>
          <w:szCs w:val="20"/>
          <w:lang w:val="en-GB"/>
        </w:rPr>
      </w:pPr>
      <w:r>
        <w:rPr>
          <w:rFonts w:eastAsia="Calibri" w:cs="Times New Roman"/>
          <w:szCs w:val="20"/>
          <w:lang w:val="en-GB"/>
        </w:rPr>
        <w:t xml:space="preserve">An inter-frequency cell is considered detectable and UE is expected to be able to perform SSB based measurements according to the </w:t>
      </w:r>
      <w:r w:rsidRPr="00D22B73">
        <w:t>conditions for NR int</w:t>
      </w:r>
      <w:r>
        <w:t>e</w:t>
      </w:r>
      <w:r w:rsidRPr="00D22B73">
        <w:t xml:space="preserve">r-frequency measurements </w:t>
      </w:r>
      <w:r>
        <w:t>in section B.1.3.</w:t>
      </w:r>
    </w:p>
    <w:p w14:paraId="7F65DBAB" w14:textId="7656C648" w:rsidR="00D47803" w:rsidRDefault="0058154D" w:rsidP="00EA17AC">
      <w:pPr>
        <w:ind w:right="-22"/>
        <w:rPr>
          <w:rFonts w:eastAsia="Calibri" w:cs="Times New Roman"/>
          <w:szCs w:val="20"/>
          <w:lang w:val="en-GB"/>
        </w:rPr>
      </w:pPr>
      <w:r>
        <w:rPr>
          <w:rFonts w:eastAsia="Calibri" w:cs="Times New Roman"/>
          <w:szCs w:val="20"/>
          <w:lang w:val="en-GB"/>
        </w:rPr>
        <w:t>In [4] we have provided a TP.</w:t>
      </w:r>
    </w:p>
    <w:p w14:paraId="240AB997" w14:textId="77777777" w:rsidR="0058154D" w:rsidRDefault="0058154D" w:rsidP="00EA17AC">
      <w:pPr>
        <w:ind w:right="-22"/>
        <w:rPr>
          <w:rFonts w:eastAsia="Calibri" w:cs="Times New Roman"/>
          <w:szCs w:val="20"/>
          <w:lang w:val="en-GB"/>
        </w:rPr>
      </w:pPr>
    </w:p>
    <w:p w14:paraId="7752AC81" w14:textId="319997E0" w:rsidR="006F339B" w:rsidRDefault="00861541" w:rsidP="00861541">
      <w:pPr>
        <w:pStyle w:val="RAN4H2"/>
        <w:rPr>
          <w:rFonts w:eastAsia="Calibri"/>
          <w:lang w:val="en-GB"/>
        </w:rPr>
      </w:pPr>
      <w:r>
        <w:rPr>
          <w:rFonts w:eastAsia="Calibri"/>
          <w:lang w:val="en-GB"/>
        </w:rPr>
        <w:t>Measurement requirements for non-overlapping EMR carrier</w:t>
      </w:r>
    </w:p>
    <w:p w14:paraId="50EF053E" w14:textId="223441D2" w:rsidR="00861541" w:rsidRPr="00861541" w:rsidRDefault="00861541" w:rsidP="00861541">
      <w:pPr>
        <w:ind w:right="-22"/>
        <w:rPr>
          <w:rFonts w:eastAsia="Calibri" w:cs="Times New Roman"/>
          <w:szCs w:val="20"/>
          <w:lang w:val="en-GB"/>
        </w:rPr>
      </w:pPr>
      <w:r>
        <w:rPr>
          <w:rFonts w:eastAsia="Calibri" w:cs="Times New Roman"/>
          <w:szCs w:val="20"/>
          <w:lang w:val="en-GB"/>
        </w:rPr>
        <w:t xml:space="preserve">The Rel-15 </w:t>
      </w:r>
      <w:r w:rsidRPr="00861541">
        <w:rPr>
          <w:rFonts w:eastAsia="Calibri" w:cs="Times New Roman"/>
          <w:szCs w:val="20"/>
          <w:lang w:val="en-GB"/>
        </w:rPr>
        <w:t xml:space="preserve">LTE </w:t>
      </w:r>
      <w:r>
        <w:rPr>
          <w:rFonts w:eastAsia="Calibri" w:cs="Times New Roman"/>
          <w:szCs w:val="20"/>
          <w:lang w:val="en-GB"/>
        </w:rPr>
        <w:t xml:space="preserve">EMR has defined that for </w:t>
      </w:r>
      <w:r w:rsidRPr="00861541">
        <w:rPr>
          <w:rFonts w:eastAsia="Calibri" w:cs="Times New Roman"/>
          <w:szCs w:val="20"/>
          <w:lang w:val="en-GB"/>
        </w:rPr>
        <w:t xml:space="preserve">non-overlapping carriers </w:t>
      </w:r>
      <w:r>
        <w:rPr>
          <w:rFonts w:eastAsia="Calibri" w:cs="Times New Roman"/>
          <w:szCs w:val="20"/>
          <w:lang w:val="en-GB"/>
        </w:rPr>
        <w:t>the UE</w:t>
      </w:r>
      <w:r w:rsidRPr="00861541">
        <w:rPr>
          <w:rFonts w:eastAsia="Calibri" w:cs="Times New Roman"/>
          <w:szCs w:val="20"/>
          <w:lang w:val="en-GB"/>
        </w:rPr>
        <w:t xml:space="preserve"> measure</w:t>
      </w:r>
      <w:r>
        <w:rPr>
          <w:rFonts w:eastAsia="Calibri" w:cs="Times New Roman"/>
          <w:szCs w:val="20"/>
          <w:lang w:val="en-GB"/>
        </w:rPr>
        <w:t>ment requirements</w:t>
      </w:r>
      <w:r w:rsidRPr="00861541">
        <w:rPr>
          <w:rFonts w:eastAsia="Calibri" w:cs="Times New Roman"/>
          <w:szCs w:val="20"/>
          <w:lang w:val="en-GB"/>
        </w:rPr>
        <w:t xml:space="preserve"> a</w:t>
      </w:r>
      <w:r>
        <w:rPr>
          <w:rFonts w:eastAsia="Calibri" w:cs="Times New Roman"/>
          <w:szCs w:val="20"/>
          <w:lang w:val="en-GB"/>
        </w:rPr>
        <w:t>re</w:t>
      </w:r>
      <w:r w:rsidRPr="00861541">
        <w:rPr>
          <w:rFonts w:eastAsia="Calibri" w:cs="Times New Roman"/>
          <w:szCs w:val="20"/>
          <w:lang w:val="en-GB"/>
        </w:rPr>
        <w:t>:</w:t>
      </w:r>
    </w:p>
    <w:p w14:paraId="5B629A9F" w14:textId="7CA8F68F" w:rsidR="00861541" w:rsidRDefault="00861541" w:rsidP="00861541">
      <w:pPr>
        <w:ind w:left="720" w:right="-22"/>
        <w:rPr>
          <w:rFonts w:eastAsia="Calibri" w:cs="Times New Roman"/>
          <w:szCs w:val="20"/>
          <w:lang w:val="en-GB"/>
        </w:rPr>
      </w:pPr>
      <w:r w:rsidRPr="00861541">
        <w:rPr>
          <w:rFonts w:eastAsia="Calibri" w:cs="Times New Roman"/>
          <w:szCs w:val="20"/>
          <w:lang w:val="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5B9224FF" w14:textId="27672B0E" w:rsidR="00861541" w:rsidRDefault="00861541" w:rsidP="00EA17AC">
      <w:pPr>
        <w:ind w:right="-22"/>
        <w:rPr>
          <w:rFonts w:eastAsia="Calibri" w:cs="Times New Roman"/>
          <w:szCs w:val="20"/>
          <w:lang w:val="en-GB"/>
        </w:rPr>
      </w:pPr>
      <w:r>
        <w:rPr>
          <w:rFonts w:eastAsia="Calibri" w:cs="Times New Roman"/>
          <w:szCs w:val="20"/>
          <w:lang w:val="en-GB"/>
        </w:rPr>
        <w:t xml:space="preserve">For NR EMR it would be very useful to have better UE requirements defined for non-overlapping EMR carriers. Especially for FR2 EMR carriers, where it is assumed that UE sweeping is needed. It was also raised in earlier RAN4 discussions that even for FR1 better requirements would be </w:t>
      </w:r>
      <w:r w:rsidR="00252F4D">
        <w:rPr>
          <w:rFonts w:eastAsia="Calibri" w:cs="Times New Roman"/>
          <w:szCs w:val="20"/>
          <w:lang w:val="en-GB"/>
        </w:rPr>
        <w:t>beneficial</w:t>
      </w:r>
      <w:r>
        <w:rPr>
          <w:rFonts w:eastAsia="Calibri" w:cs="Times New Roman"/>
          <w:szCs w:val="20"/>
          <w:lang w:val="en-GB"/>
        </w:rPr>
        <w:t xml:space="preserve"> e.g. for those scenarios where the UE moves during idle mode while performing measurements for EMR.</w:t>
      </w:r>
    </w:p>
    <w:p w14:paraId="6DE34BC3" w14:textId="5A385DA6" w:rsidR="00861541" w:rsidRDefault="00252F4D" w:rsidP="00EA17AC">
      <w:pPr>
        <w:ind w:right="-22"/>
        <w:rPr>
          <w:rFonts w:eastAsia="Calibri" w:cs="Times New Roman"/>
          <w:szCs w:val="20"/>
          <w:lang w:val="en-GB"/>
        </w:rPr>
      </w:pPr>
      <w:r>
        <w:rPr>
          <w:rFonts w:eastAsia="Calibri" w:cs="Times New Roman"/>
          <w:szCs w:val="20"/>
          <w:lang w:val="en-GB"/>
        </w:rPr>
        <w:t>The impact on the UE power consumption would need to be discussed and considered as well. U</w:t>
      </w:r>
      <w:r w:rsidR="004153AD">
        <w:rPr>
          <w:rFonts w:eastAsia="Calibri" w:cs="Times New Roman"/>
          <w:szCs w:val="20"/>
          <w:lang w:val="en-GB"/>
        </w:rPr>
        <w:t>E</w:t>
      </w:r>
      <w:r>
        <w:rPr>
          <w:rFonts w:eastAsia="Calibri" w:cs="Times New Roman"/>
          <w:szCs w:val="20"/>
          <w:lang w:val="en-GB"/>
        </w:rPr>
        <w:t xml:space="preserve"> power consumption impact should be </w:t>
      </w:r>
      <w:r w:rsidR="004153AD">
        <w:rPr>
          <w:rFonts w:eastAsia="Calibri" w:cs="Times New Roman"/>
          <w:szCs w:val="20"/>
          <w:lang w:val="en-GB"/>
        </w:rPr>
        <w:t>addressed to some extend by the T331 timer length which limits the time duration during which the measurements for EMR shall be performed by the UE. Additionally, having a limitation on the number of non-overlapping carriers also help in reducing the UE power consumption.</w:t>
      </w:r>
    </w:p>
    <w:p w14:paraId="5FE3F0F6" w14:textId="09A9F19B" w:rsidR="004153AD" w:rsidRDefault="004153AD" w:rsidP="004153AD">
      <w:pPr>
        <w:ind w:right="-22"/>
        <w:rPr>
          <w:rFonts w:eastAsia="Calibri" w:cs="Times New Roman"/>
          <w:szCs w:val="20"/>
          <w:lang w:val="en-GB"/>
        </w:rPr>
      </w:pPr>
      <w:r>
        <w:rPr>
          <w:rFonts w:eastAsia="Calibri" w:cs="Times New Roman"/>
          <w:szCs w:val="20"/>
          <w:lang w:val="en-GB"/>
        </w:rPr>
        <w:lastRenderedPageBreak/>
        <w:t>Hence, we suggest to further discuss how to improve the UE EMR measurement for non-overlapping carriers while still considering the UE power consumption impact. As minimum baseline for measurement requirements for non-overlapping FR1 EMR carriers we could use existing LTE requirements.</w:t>
      </w:r>
    </w:p>
    <w:p w14:paraId="46A00315" w14:textId="0BF448FE" w:rsidR="004153AD" w:rsidRDefault="004153AD" w:rsidP="004153AD">
      <w:pPr>
        <w:pStyle w:val="RAN4proposal"/>
        <w:rPr>
          <w:lang w:val="en-GB"/>
        </w:rPr>
      </w:pPr>
      <w:r>
        <w:rPr>
          <w:lang w:val="en-GB"/>
        </w:rPr>
        <w:t xml:space="preserve">Use existing </w:t>
      </w:r>
      <w:r w:rsidR="0058154D">
        <w:rPr>
          <w:lang w:val="en-GB"/>
        </w:rPr>
        <w:t xml:space="preserve">Rel-15 </w:t>
      </w:r>
      <w:r>
        <w:rPr>
          <w:lang w:val="en-GB"/>
        </w:rPr>
        <w:t xml:space="preserve">LTE EMR measurement requirements for non-overlapping FR1 carriers as minimum baseline for NR EMR measurement requirement for non-overlapping FR1 </w:t>
      </w:r>
      <w:r w:rsidR="0058154D">
        <w:rPr>
          <w:lang w:val="en-GB"/>
        </w:rPr>
        <w:t xml:space="preserve">NR inter-frequency EMR </w:t>
      </w:r>
      <w:r>
        <w:rPr>
          <w:lang w:val="en-GB"/>
        </w:rPr>
        <w:t>carriers.</w:t>
      </w:r>
    </w:p>
    <w:p w14:paraId="581C294C" w14:textId="2302C1CF" w:rsidR="004153AD" w:rsidRDefault="004153AD" w:rsidP="00EA17AC">
      <w:pPr>
        <w:ind w:right="-22"/>
        <w:rPr>
          <w:rFonts w:eastAsia="Calibri" w:cs="Times New Roman"/>
          <w:szCs w:val="20"/>
          <w:lang w:val="en-GB"/>
        </w:rPr>
      </w:pPr>
      <w:r>
        <w:rPr>
          <w:rFonts w:eastAsia="Calibri" w:cs="Times New Roman"/>
          <w:szCs w:val="20"/>
          <w:lang w:val="en-GB"/>
        </w:rPr>
        <w:t xml:space="preserve">We do not see that the </w:t>
      </w:r>
      <w:r w:rsidR="0058154D">
        <w:rPr>
          <w:rFonts w:eastAsia="Calibri" w:cs="Times New Roman"/>
          <w:szCs w:val="20"/>
          <w:lang w:val="en-GB"/>
        </w:rPr>
        <w:t xml:space="preserve">current </w:t>
      </w:r>
      <w:r>
        <w:rPr>
          <w:rFonts w:eastAsia="Calibri" w:cs="Times New Roman"/>
          <w:szCs w:val="20"/>
          <w:lang w:val="en-GB"/>
        </w:rPr>
        <w:t xml:space="preserve">LTE non-overlapping EMR carrier measurement requirement would be suitable for FR2. Hence, the requirements for a non-overlapping FR2 EMR </w:t>
      </w:r>
      <w:r w:rsidR="0058154D">
        <w:rPr>
          <w:rFonts w:eastAsia="Calibri" w:cs="Times New Roman"/>
          <w:szCs w:val="20"/>
          <w:lang w:val="en-GB"/>
        </w:rPr>
        <w:t xml:space="preserve">inter-frequency </w:t>
      </w:r>
      <w:r>
        <w:rPr>
          <w:rFonts w:eastAsia="Calibri" w:cs="Times New Roman"/>
          <w:szCs w:val="20"/>
          <w:lang w:val="en-GB"/>
        </w:rPr>
        <w:t>carrier</w:t>
      </w:r>
      <w:r w:rsidR="0058154D">
        <w:rPr>
          <w:rFonts w:eastAsia="Calibri" w:cs="Times New Roman"/>
          <w:szCs w:val="20"/>
          <w:lang w:val="en-GB"/>
        </w:rPr>
        <w:t>s</w:t>
      </w:r>
      <w:r>
        <w:rPr>
          <w:rFonts w:eastAsia="Calibri" w:cs="Times New Roman"/>
          <w:szCs w:val="20"/>
          <w:lang w:val="en-GB"/>
        </w:rPr>
        <w:t xml:space="preserve"> would need to be different than for FR1.</w:t>
      </w:r>
    </w:p>
    <w:p w14:paraId="09CEEBD6" w14:textId="6DC51D5A" w:rsidR="004153AD" w:rsidRDefault="00224723" w:rsidP="00224723">
      <w:pPr>
        <w:pStyle w:val="RAN4observation0"/>
      </w:pPr>
      <w:bookmarkStart w:id="6" w:name="_Hlk40452892"/>
      <w:r>
        <w:t>Due to UE sweeping in FR2, one shot measurement requirements do not seem feasible in FR2.</w:t>
      </w:r>
    </w:p>
    <w:bookmarkEnd w:id="6"/>
    <w:p w14:paraId="3F6D99EC" w14:textId="3CFEC72A" w:rsidR="004153AD" w:rsidRDefault="004153AD" w:rsidP="00EA17AC">
      <w:pPr>
        <w:ind w:right="-22"/>
        <w:rPr>
          <w:rFonts w:eastAsia="Calibri" w:cs="Times New Roman"/>
          <w:szCs w:val="20"/>
          <w:lang w:val="en-GB"/>
        </w:rPr>
      </w:pPr>
      <w:r>
        <w:rPr>
          <w:rFonts w:eastAsia="Calibri" w:cs="Times New Roman"/>
          <w:szCs w:val="20"/>
          <w:lang w:val="en-GB"/>
        </w:rPr>
        <w:t>One simple approach is of course to have same measurement requirement for overlapping carriers and non-overlapping carriers</w:t>
      </w:r>
      <w:r w:rsidR="0058154D">
        <w:rPr>
          <w:rFonts w:eastAsia="Calibri" w:cs="Times New Roman"/>
          <w:szCs w:val="20"/>
          <w:lang w:val="en-GB"/>
        </w:rPr>
        <w:t xml:space="preserve"> at least in FR2</w:t>
      </w:r>
      <w:r>
        <w:rPr>
          <w:rFonts w:eastAsia="Calibri" w:cs="Times New Roman"/>
          <w:szCs w:val="20"/>
          <w:lang w:val="en-GB"/>
        </w:rPr>
        <w:t>.</w:t>
      </w:r>
    </w:p>
    <w:p w14:paraId="7142A6E9" w14:textId="0CFFCC49" w:rsidR="00224723" w:rsidRDefault="00224723" w:rsidP="00224723">
      <w:pPr>
        <w:pStyle w:val="RAN4proposal"/>
        <w:rPr>
          <w:lang w:val="en-GB"/>
        </w:rPr>
      </w:pPr>
      <w:bookmarkStart w:id="7" w:name="_Hlk40452906"/>
      <w:r>
        <w:rPr>
          <w:lang w:val="en-GB"/>
        </w:rPr>
        <w:t xml:space="preserve">Measurement requirements for an FR2 non-overlapping EMR </w:t>
      </w:r>
      <w:r w:rsidR="0058154D">
        <w:rPr>
          <w:lang w:val="en-GB"/>
        </w:rPr>
        <w:t xml:space="preserve">inter-frequency </w:t>
      </w:r>
      <w:r>
        <w:rPr>
          <w:lang w:val="en-GB"/>
        </w:rPr>
        <w:t xml:space="preserve">carrier are the as for an </w:t>
      </w:r>
      <w:r w:rsidR="0058154D">
        <w:rPr>
          <w:lang w:val="en-GB"/>
        </w:rPr>
        <w:t xml:space="preserve">FR2 </w:t>
      </w:r>
      <w:r>
        <w:rPr>
          <w:lang w:val="en-GB"/>
        </w:rPr>
        <w:t xml:space="preserve">overlapping EMR </w:t>
      </w:r>
      <w:r w:rsidR="0058154D">
        <w:rPr>
          <w:lang w:val="en-GB"/>
        </w:rPr>
        <w:t xml:space="preserve">inter-frequency </w:t>
      </w:r>
      <w:r>
        <w:rPr>
          <w:lang w:val="en-GB"/>
        </w:rPr>
        <w:t>carrier.</w:t>
      </w:r>
    </w:p>
    <w:bookmarkEnd w:id="7"/>
    <w:p w14:paraId="7B2DC43C" w14:textId="3D0575C2" w:rsidR="00861541" w:rsidRDefault="00861541" w:rsidP="00EA17AC">
      <w:pPr>
        <w:ind w:right="-22"/>
        <w:rPr>
          <w:rFonts w:eastAsia="Calibri" w:cs="Times New Roman"/>
          <w:szCs w:val="20"/>
          <w:lang w:val="en-GB"/>
        </w:rPr>
      </w:pPr>
    </w:p>
    <w:p w14:paraId="1583623B" w14:textId="7251485D" w:rsidR="007A00AE" w:rsidRDefault="007A00AE" w:rsidP="007A00AE">
      <w:pPr>
        <w:pStyle w:val="RAN4H2"/>
        <w:rPr>
          <w:rFonts w:eastAsia="Calibri"/>
          <w:lang w:val="en-GB"/>
        </w:rPr>
      </w:pPr>
      <w:r>
        <w:rPr>
          <w:rFonts w:eastAsia="Calibri"/>
          <w:lang w:val="en-GB"/>
        </w:rPr>
        <w:t>T331 and EMR requirements</w:t>
      </w:r>
    </w:p>
    <w:p w14:paraId="272BC2DE" w14:textId="1E3E43F6" w:rsidR="007A00AE" w:rsidRDefault="007A00AE" w:rsidP="00EA17AC">
      <w:pPr>
        <w:ind w:right="-22"/>
        <w:rPr>
          <w:rFonts w:eastAsia="Calibri" w:cs="Times New Roman"/>
          <w:szCs w:val="20"/>
          <w:lang w:val="en-GB"/>
        </w:rPr>
      </w:pPr>
      <w:r>
        <w:rPr>
          <w:rFonts w:eastAsia="Calibri" w:cs="Times New Roman"/>
          <w:szCs w:val="20"/>
          <w:lang w:val="en-GB"/>
        </w:rPr>
        <w:t xml:space="preserve">Referring to the RAN2 agreements it seems clear that the </w:t>
      </w:r>
      <w:r w:rsidRPr="007A00AE">
        <w:rPr>
          <w:rFonts w:eastAsia="Calibri" w:cs="Times New Roman"/>
          <w:szCs w:val="20"/>
          <w:lang w:val="en-GB"/>
        </w:rPr>
        <w:t>procedure specif</w:t>
      </w:r>
      <w:r>
        <w:rPr>
          <w:rFonts w:eastAsia="Calibri" w:cs="Times New Roman"/>
          <w:szCs w:val="20"/>
          <w:lang w:val="en-GB"/>
        </w:rPr>
        <w:t>ying</w:t>
      </w:r>
      <w:r w:rsidRPr="007A00AE">
        <w:rPr>
          <w:rFonts w:eastAsia="Calibri" w:cs="Times New Roman"/>
          <w:szCs w:val="20"/>
          <w:lang w:val="en-GB"/>
        </w:rPr>
        <w:t xml:space="preserve"> the measurements to be performed and stored by a UE in RRC_IDLE and RRC_INACTIVE when it has an idle/inactive measurement configuration</w:t>
      </w:r>
      <w:r>
        <w:rPr>
          <w:rFonts w:eastAsia="Calibri" w:cs="Times New Roman"/>
          <w:szCs w:val="20"/>
          <w:lang w:val="en-GB"/>
        </w:rPr>
        <w:t>, only applies while timer T331 is running.</w:t>
      </w:r>
    </w:p>
    <w:p w14:paraId="55C1EBBD" w14:textId="54560A6C" w:rsidR="007A00AE" w:rsidRDefault="007A00AE" w:rsidP="00EA17AC">
      <w:pPr>
        <w:ind w:right="-22"/>
        <w:rPr>
          <w:rFonts w:eastAsia="Calibri" w:cs="Times New Roman"/>
          <w:szCs w:val="20"/>
          <w:lang w:val="en-GB"/>
        </w:rPr>
      </w:pPr>
      <w:r>
        <w:rPr>
          <w:rFonts w:eastAsia="Calibri" w:cs="Times New Roman"/>
          <w:szCs w:val="20"/>
          <w:lang w:val="en-GB"/>
        </w:rPr>
        <w:t>The RAN2 requirements covers when the T331 is running. Hence, only w</w:t>
      </w:r>
      <w:r w:rsidRPr="007A00AE">
        <w:rPr>
          <w:rFonts w:eastAsia="Calibri" w:cs="Times New Roman"/>
          <w:szCs w:val="20"/>
          <w:lang w:val="en-GB"/>
        </w:rPr>
        <w:t xml:space="preserve">hile </w:t>
      </w:r>
      <w:r>
        <w:rPr>
          <w:rFonts w:eastAsia="Calibri" w:cs="Times New Roman"/>
          <w:szCs w:val="20"/>
          <w:lang w:val="en-GB"/>
        </w:rPr>
        <w:t xml:space="preserve">UE is </w:t>
      </w:r>
      <w:r w:rsidRPr="007A00AE">
        <w:rPr>
          <w:rFonts w:eastAsia="Calibri" w:cs="Times New Roman"/>
          <w:szCs w:val="20"/>
          <w:lang w:val="en-GB"/>
        </w:rPr>
        <w:t xml:space="preserve">in RRC_IDLE or RRC_INACTIVE and, T331 is running and the SIB1 contains </w:t>
      </w:r>
      <w:proofErr w:type="spellStart"/>
      <w:r w:rsidRPr="007A00AE">
        <w:rPr>
          <w:rFonts w:eastAsia="Calibri" w:cs="Times New Roman"/>
          <w:szCs w:val="20"/>
          <w:lang w:val="en-GB"/>
        </w:rPr>
        <w:t>idleModeMeasurements</w:t>
      </w:r>
      <w:proofErr w:type="spellEnd"/>
      <w:r w:rsidRPr="007A00AE">
        <w:rPr>
          <w:rFonts w:eastAsia="Calibri" w:cs="Times New Roman"/>
          <w:szCs w:val="20"/>
          <w:lang w:val="en-GB"/>
        </w:rPr>
        <w:t xml:space="preserve">, </w:t>
      </w:r>
      <w:r>
        <w:rPr>
          <w:rFonts w:eastAsia="Calibri" w:cs="Times New Roman"/>
          <w:szCs w:val="20"/>
          <w:lang w:val="en-GB"/>
        </w:rPr>
        <w:t xml:space="preserve">is </w:t>
      </w:r>
      <w:r w:rsidRPr="007A00AE">
        <w:rPr>
          <w:rFonts w:eastAsia="Calibri" w:cs="Times New Roman"/>
          <w:szCs w:val="20"/>
          <w:lang w:val="en-GB"/>
        </w:rPr>
        <w:t xml:space="preserve">the UE </w:t>
      </w:r>
      <w:r>
        <w:rPr>
          <w:rFonts w:eastAsia="Calibri" w:cs="Times New Roman"/>
          <w:szCs w:val="20"/>
          <w:lang w:val="en-GB"/>
        </w:rPr>
        <w:t>required to perform measurements for EMR.</w:t>
      </w:r>
    </w:p>
    <w:p w14:paraId="03DAC29B" w14:textId="39204579" w:rsidR="007A00AE" w:rsidRDefault="007A00AE" w:rsidP="00EA17AC">
      <w:pPr>
        <w:ind w:right="-22"/>
        <w:rPr>
          <w:rFonts w:eastAsia="Calibri" w:cs="Times New Roman"/>
          <w:szCs w:val="20"/>
          <w:lang w:val="en-GB"/>
        </w:rPr>
      </w:pPr>
      <w:r>
        <w:rPr>
          <w:rFonts w:eastAsia="Calibri" w:cs="Times New Roman"/>
          <w:szCs w:val="20"/>
          <w:lang w:val="en-GB"/>
        </w:rPr>
        <w:t>UE behaviour once the timer T331 is stopped or expires is also well defined in RAN2</w:t>
      </w:r>
      <w:r w:rsidR="00B33DCE">
        <w:rPr>
          <w:rFonts w:eastAsia="Calibri" w:cs="Times New Roman"/>
          <w:szCs w:val="20"/>
          <w:lang w:val="en-GB"/>
        </w:rPr>
        <w:t xml:space="preserve"> and the UE releases the configuration</w:t>
      </w:r>
      <w:r>
        <w:rPr>
          <w:rFonts w:eastAsia="Calibri" w:cs="Times New Roman"/>
          <w:szCs w:val="20"/>
          <w:lang w:val="en-GB"/>
        </w:rPr>
        <w:t>.</w:t>
      </w:r>
      <w:r w:rsidR="00B33DCE">
        <w:rPr>
          <w:rFonts w:eastAsia="Calibri" w:cs="Times New Roman"/>
          <w:szCs w:val="20"/>
          <w:lang w:val="en-GB"/>
        </w:rPr>
        <w:t xml:space="preserve"> It is then up to UE implementation whether to continue the idle/inactive measurements according to the configuration once the T331 is stopped or has expired.</w:t>
      </w:r>
    </w:p>
    <w:p w14:paraId="2615F30F" w14:textId="364F3A57" w:rsidR="00B33DCE" w:rsidRDefault="00B33DCE" w:rsidP="00EA17AC">
      <w:pPr>
        <w:ind w:right="-22"/>
        <w:rPr>
          <w:rFonts w:eastAsia="Calibri" w:cs="Times New Roman"/>
          <w:szCs w:val="20"/>
          <w:lang w:val="en-GB"/>
        </w:rPr>
      </w:pPr>
      <w:r>
        <w:rPr>
          <w:rFonts w:eastAsia="Calibri" w:cs="Times New Roman"/>
          <w:szCs w:val="20"/>
          <w:lang w:val="en-GB"/>
        </w:rPr>
        <w:t>UE may of course continue to support such measurements, but it would not be required. Based on this we propose not to define UE requirements for when T331 has expired or after it has stopped.</w:t>
      </w:r>
    </w:p>
    <w:p w14:paraId="187DF24D" w14:textId="0BFECFB9" w:rsidR="00B33DCE" w:rsidRDefault="00B33DCE" w:rsidP="00B33DCE">
      <w:pPr>
        <w:pStyle w:val="RAN4proposal"/>
        <w:rPr>
          <w:lang w:val="en-GB"/>
        </w:rPr>
      </w:pPr>
      <w:r>
        <w:rPr>
          <w:lang w:val="en-GB"/>
        </w:rPr>
        <w:t>RAN4 does define UE measurement requirements for EMR after T331 is stopped or has expired.</w:t>
      </w:r>
    </w:p>
    <w:p w14:paraId="75D2B672" w14:textId="46453AD7" w:rsidR="00B33DCE" w:rsidRDefault="00B33DCE" w:rsidP="00EA17AC">
      <w:pPr>
        <w:ind w:right="-22"/>
        <w:rPr>
          <w:rFonts w:eastAsia="Calibri" w:cs="Times New Roman"/>
          <w:szCs w:val="20"/>
          <w:lang w:val="en-GB"/>
        </w:rPr>
      </w:pPr>
      <w:r>
        <w:rPr>
          <w:rFonts w:eastAsia="Calibri" w:cs="Times New Roman"/>
          <w:szCs w:val="20"/>
          <w:lang w:val="en-GB"/>
        </w:rPr>
        <w:t xml:space="preserve">As in </w:t>
      </w:r>
      <w:r w:rsidR="00420F46">
        <w:rPr>
          <w:rFonts w:eastAsia="Calibri" w:cs="Times New Roman"/>
          <w:szCs w:val="20"/>
          <w:lang w:val="en-GB"/>
        </w:rPr>
        <w:t xml:space="preserve">Rel-15 </w:t>
      </w:r>
      <w:r>
        <w:rPr>
          <w:rFonts w:eastAsia="Calibri" w:cs="Times New Roman"/>
          <w:szCs w:val="20"/>
          <w:lang w:val="en-GB"/>
        </w:rPr>
        <w:t>LTE the behaviour can be left up to UE implementation.</w:t>
      </w:r>
    </w:p>
    <w:p w14:paraId="0F26B3B0" w14:textId="2D201B0E" w:rsidR="00B33DCE" w:rsidRDefault="00B33DCE" w:rsidP="00EA17AC">
      <w:pPr>
        <w:ind w:right="-22"/>
        <w:rPr>
          <w:rFonts w:eastAsia="Calibri" w:cs="Times New Roman"/>
          <w:szCs w:val="20"/>
          <w:lang w:val="en-GB"/>
        </w:rPr>
      </w:pPr>
    </w:p>
    <w:p w14:paraId="43BAB5F0" w14:textId="4117B17D" w:rsidR="001F6D8B" w:rsidRDefault="001F6D8B" w:rsidP="001F6D8B">
      <w:pPr>
        <w:pStyle w:val="RAN4H2"/>
        <w:rPr>
          <w:rFonts w:eastAsia="Calibri"/>
          <w:lang w:val="en-GB"/>
        </w:rPr>
      </w:pPr>
      <w:r w:rsidRPr="001F6D8B">
        <w:rPr>
          <w:rFonts w:eastAsia="Calibri"/>
        </w:rPr>
        <w:t>EMR measurement at cell change</w:t>
      </w:r>
    </w:p>
    <w:p w14:paraId="2D018366" w14:textId="4C3D554B" w:rsidR="001F6D8B" w:rsidRDefault="00F1307A" w:rsidP="00EA17AC">
      <w:pPr>
        <w:ind w:right="-22"/>
        <w:rPr>
          <w:rFonts w:eastAsia="Calibri" w:cs="Times New Roman"/>
          <w:szCs w:val="20"/>
          <w:lang w:val="en-GB"/>
        </w:rPr>
      </w:pPr>
      <w:r>
        <w:rPr>
          <w:rFonts w:eastAsia="Calibri" w:cs="Times New Roman"/>
          <w:szCs w:val="20"/>
          <w:lang w:val="en-GB"/>
        </w:rPr>
        <w:t>In the last RAN4 meetings it has also been discussed how the UE requirements might be impacted due to cell changes. For this case RAN2 has defined the rules as well:</w:t>
      </w:r>
    </w:p>
    <w:p w14:paraId="67FE04AC" w14:textId="75F21749" w:rsidR="00F1307A" w:rsidRDefault="00F1307A" w:rsidP="00F1307A">
      <w:pPr>
        <w:pStyle w:val="ListParagraph"/>
        <w:numPr>
          <w:ilvl w:val="0"/>
          <w:numId w:val="30"/>
        </w:numPr>
        <w:ind w:right="-22"/>
        <w:rPr>
          <w:rFonts w:eastAsia="Calibri" w:cs="Times New Roman"/>
          <w:szCs w:val="20"/>
          <w:lang w:val="en-GB"/>
        </w:rPr>
      </w:pPr>
      <w:r>
        <w:rPr>
          <w:rFonts w:eastAsia="Calibri" w:cs="Times New Roman"/>
          <w:szCs w:val="20"/>
          <w:lang w:val="en-GB"/>
        </w:rPr>
        <w:t xml:space="preserve">For intra-RAT cell change </w:t>
      </w:r>
      <w:r w:rsidRPr="00F1307A">
        <w:rPr>
          <w:rFonts w:eastAsia="Calibri" w:cs="Times New Roman"/>
          <w:szCs w:val="20"/>
          <w:lang w:val="en-GB"/>
        </w:rPr>
        <w:t>cell selection or reselection while T331 is run</w:t>
      </w:r>
      <w:r>
        <w:rPr>
          <w:rFonts w:eastAsia="Calibri" w:cs="Times New Roman"/>
          <w:szCs w:val="20"/>
          <w:lang w:val="en-GB"/>
        </w:rPr>
        <w:t>n</w:t>
      </w:r>
      <w:r w:rsidRPr="00F1307A">
        <w:rPr>
          <w:rFonts w:eastAsia="Calibri" w:cs="Times New Roman"/>
          <w:szCs w:val="20"/>
          <w:lang w:val="en-GB"/>
        </w:rPr>
        <w:t>ing</w:t>
      </w:r>
      <w:r>
        <w:rPr>
          <w:rFonts w:eastAsia="Calibri" w:cs="Times New Roman"/>
          <w:szCs w:val="20"/>
          <w:lang w:val="en-GB"/>
        </w:rPr>
        <w:t>, the UE shall continue measurements as when receiving a new EMR configuration. This includes checking validity area, check if serving cell support EMR etc.</w:t>
      </w:r>
    </w:p>
    <w:p w14:paraId="32645729" w14:textId="1E5A9484" w:rsidR="00F1307A" w:rsidRDefault="00F1307A" w:rsidP="00F1307A">
      <w:pPr>
        <w:pStyle w:val="ListParagraph"/>
        <w:numPr>
          <w:ilvl w:val="0"/>
          <w:numId w:val="30"/>
        </w:numPr>
        <w:ind w:right="-22"/>
        <w:rPr>
          <w:rFonts w:eastAsia="Calibri" w:cs="Times New Roman"/>
          <w:szCs w:val="20"/>
          <w:lang w:val="en-GB"/>
        </w:rPr>
      </w:pPr>
      <w:r>
        <w:rPr>
          <w:rFonts w:eastAsia="Calibri" w:cs="Times New Roman"/>
          <w:szCs w:val="20"/>
          <w:lang w:val="en-GB"/>
        </w:rPr>
        <w:t>For inter-RAT cell reselection while T331 is running, the UE stops timer T331 and stops measurements for EMR.</w:t>
      </w:r>
    </w:p>
    <w:p w14:paraId="14004EDE" w14:textId="2CEA7DDB" w:rsidR="00F1307A" w:rsidRDefault="00F1307A" w:rsidP="00F1307A">
      <w:pPr>
        <w:ind w:right="-22"/>
        <w:rPr>
          <w:rFonts w:eastAsia="Calibri" w:cs="Times New Roman"/>
          <w:szCs w:val="20"/>
          <w:lang w:val="en-GB"/>
        </w:rPr>
      </w:pPr>
      <w:r>
        <w:rPr>
          <w:rFonts w:eastAsia="Calibri" w:cs="Times New Roman"/>
          <w:szCs w:val="20"/>
          <w:lang w:val="en-GB"/>
        </w:rPr>
        <w:t xml:space="preserve">These requirements are defined by RAN2. There should be no </w:t>
      </w:r>
      <w:r w:rsidR="00420F46">
        <w:rPr>
          <w:rFonts w:eastAsia="Calibri" w:cs="Times New Roman"/>
          <w:szCs w:val="20"/>
          <w:lang w:val="en-GB"/>
        </w:rPr>
        <w:t xml:space="preserve">need for additional </w:t>
      </w:r>
      <w:r>
        <w:rPr>
          <w:rFonts w:eastAsia="Calibri" w:cs="Times New Roman"/>
          <w:szCs w:val="20"/>
          <w:lang w:val="en-GB"/>
        </w:rPr>
        <w:t>RAN4 requirements.</w:t>
      </w:r>
    </w:p>
    <w:p w14:paraId="217BDEFE" w14:textId="233AE813" w:rsidR="00B96FD4" w:rsidRDefault="00F1307A" w:rsidP="00F1307A">
      <w:pPr>
        <w:ind w:right="-22"/>
        <w:rPr>
          <w:rFonts w:eastAsia="Calibri" w:cs="Times New Roman"/>
          <w:szCs w:val="20"/>
          <w:lang w:val="en-GB"/>
        </w:rPr>
      </w:pPr>
      <w:r>
        <w:rPr>
          <w:rFonts w:eastAsia="Calibri" w:cs="Times New Roman"/>
          <w:szCs w:val="20"/>
          <w:lang w:val="en-GB"/>
        </w:rPr>
        <w:t>Second open aspect raised was how the UE handles already performed measurements at cell changes where the EMR measurements continues (i.e. intra-RAT).</w:t>
      </w:r>
      <w:r w:rsidR="00B96FD4">
        <w:rPr>
          <w:rFonts w:eastAsia="Calibri" w:cs="Times New Roman"/>
          <w:szCs w:val="20"/>
          <w:lang w:val="en-GB"/>
        </w:rPr>
        <w:t xml:space="preserve"> Our view here is that in a good UE implementation measurement handling at cell changes are already handled and in a good implementation, measurements would not reset and restart at cell changes. </w:t>
      </w:r>
    </w:p>
    <w:p w14:paraId="11C0FEF5" w14:textId="72A97EEA" w:rsidR="00F1307A" w:rsidRDefault="00FB0C83" w:rsidP="00F1307A">
      <w:pPr>
        <w:ind w:right="-22"/>
        <w:rPr>
          <w:rFonts w:eastAsia="Calibri" w:cs="Times New Roman"/>
          <w:szCs w:val="20"/>
          <w:lang w:val="en-GB"/>
        </w:rPr>
      </w:pPr>
      <w:r>
        <w:rPr>
          <w:rFonts w:eastAsia="Calibri" w:cs="Times New Roman"/>
          <w:szCs w:val="20"/>
          <w:lang w:val="en-GB"/>
        </w:rPr>
        <w:lastRenderedPageBreak/>
        <w:t>It</w:t>
      </w:r>
      <w:r w:rsidR="00B96FD4">
        <w:rPr>
          <w:rFonts w:eastAsia="Calibri" w:cs="Times New Roman"/>
          <w:szCs w:val="20"/>
          <w:lang w:val="en-GB"/>
        </w:rPr>
        <w:t xml:space="preserve"> would be good to have captured such behaviour as a UE requirement. However, we also realize that such requirement does not exist for connected mode. We do not see RAN4 requirements are needed and this could be left for UE implementation.</w:t>
      </w:r>
    </w:p>
    <w:p w14:paraId="102020C2" w14:textId="5D9898B4" w:rsidR="00B96FD4" w:rsidRPr="00F1307A" w:rsidRDefault="00B96FD4" w:rsidP="00B96FD4">
      <w:pPr>
        <w:pStyle w:val="RAN4proposal"/>
        <w:rPr>
          <w:lang w:val="en-GB"/>
        </w:rPr>
      </w:pPr>
      <w:r>
        <w:rPr>
          <w:lang w:val="en-GB"/>
        </w:rPr>
        <w:t xml:space="preserve">No specific RAN4 EMR measurement requirements are defined during cell changes. </w:t>
      </w:r>
    </w:p>
    <w:p w14:paraId="6229BBC3" w14:textId="77777777" w:rsidR="002C2D19" w:rsidRDefault="002C2D19" w:rsidP="003B659E">
      <w:pPr>
        <w:ind w:right="-22"/>
        <w:rPr>
          <w:rFonts w:cs="Times New Roman"/>
        </w:rPr>
      </w:pPr>
    </w:p>
    <w:p w14:paraId="761516E1" w14:textId="73A8E899" w:rsidR="00CD7492" w:rsidRDefault="00CD7492" w:rsidP="00A37002">
      <w:pPr>
        <w:pStyle w:val="RAN4H1"/>
      </w:pPr>
      <w:r w:rsidRPr="00A37002">
        <w:t>Conclusion</w:t>
      </w:r>
    </w:p>
    <w:p w14:paraId="31F03A82" w14:textId="40FC7DA6" w:rsidR="009958A8" w:rsidRDefault="00FB0C83" w:rsidP="009958A8">
      <w:pPr>
        <w:rPr>
          <w:lang w:val="en-GB"/>
        </w:rPr>
      </w:pPr>
      <w:r>
        <w:rPr>
          <w:lang w:val="en-GB"/>
        </w:rPr>
        <w:t xml:space="preserve">Based on the agreements in last meeting </w:t>
      </w:r>
      <w:proofErr w:type="gramStart"/>
      <w:r>
        <w:rPr>
          <w:lang w:val="en-GB"/>
        </w:rPr>
        <w:t>a number of</w:t>
      </w:r>
      <w:proofErr w:type="gramEnd"/>
      <w:r>
        <w:rPr>
          <w:lang w:val="en-GB"/>
        </w:rPr>
        <w:t xml:space="preserve"> aspects were left open for further discussion. In this paper we address following topics based on the agreed WF [1]:</w:t>
      </w:r>
    </w:p>
    <w:p w14:paraId="42EFD3DB" w14:textId="77777777" w:rsidR="00FB0C83" w:rsidRDefault="00FB0C83" w:rsidP="00FB0C83">
      <w:pPr>
        <w:pStyle w:val="ListParagraph"/>
        <w:numPr>
          <w:ilvl w:val="0"/>
          <w:numId w:val="31"/>
        </w:numPr>
        <w:ind w:right="-22"/>
        <w:rPr>
          <w:rFonts w:eastAsia="Calibri" w:cs="Times New Roman"/>
          <w:szCs w:val="20"/>
          <w:lang w:val="en-GB"/>
        </w:rPr>
      </w:pPr>
      <w:r w:rsidRPr="00387C76">
        <w:rPr>
          <w:rFonts w:eastAsia="Calibri" w:cs="Times New Roman"/>
          <w:szCs w:val="20"/>
          <w:lang w:val="en-GB"/>
        </w:rPr>
        <w:t xml:space="preserve">Applicability of </w:t>
      </w:r>
      <w:r w:rsidRPr="00387C76">
        <w:rPr>
          <w:i/>
        </w:rPr>
        <w:t>s-</w:t>
      </w:r>
      <w:proofErr w:type="spellStart"/>
      <w:r w:rsidRPr="00387C76">
        <w:rPr>
          <w:i/>
        </w:rPr>
        <w:t>NonIntraSearch</w:t>
      </w:r>
      <w:proofErr w:type="spellEnd"/>
      <w:r w:rsidRPr="00387C76">
        <w:rPr>
          <w:rFonts w:eastAsia="Calibri" w:cs="Times New Roman"/>
          <w:szCs w:val="20"/>
          <w:lang w:val="en-GB"/>
        </w:rPr>
        <w:t xml:space="preserve"> thresholds</w:t>
      </w:r>
      <w:r>
        <w:rPr>
          <w:rFonts w:eastAsia="Calibri" w:cs="Times New Roman"/>
          <w:szCs w:val="20"/>
          <w:lang w:val="en-GB"/>
        </w:rPr>
        <w:t xml:space="preserve"> and EMR carriers.</w:t>
      </w:r>
    </w:p>
    <w:p w14:paraId="059F49B6" w14:textId="77777777" w:rsidR="00FB0C83" w:rsidRDefault="00FB0C83" w:rsidP="00FB0C83">
      <w:pPr>
        <w:pStyle w:val="ListParagraph"/>
        <w:numPr>
          <w:ilvl w:val="0"/>
          <w:numId w:val="31"/>
        </w:numPr>
        <w:ind w:right="-22"/>
        <w:rPr>
          <w:rFonts w:eastAsia="Calibri" w:cs="Times New Roman"/>
          <w:szCs w:val="20"/>
          <w:lang w:val="en-GB"/>
        </w:rPr>
      </w:pPr>
      <w:r>
        <w:rPr>
          <w:rFonts w:eastAsia="Calibri" w:cs="Times New Roman"/>
          <w:szCs w:val="20"/>
          <w:lang w:val="en-GB"/>
        </w:rPr>
        <w:t>Number of EMR carriers to measure.</w:t>
      </w:r>
    </w:p>
    <w:p w14:paraId="4ADB73BA" w14:textId="77777777" w:rsidR="00FB0C83" w:rsidRDefault="00FB0C83" w:rsidP="00FB0C83">
      <w:pPr>
        <w:pStyle w:val="ListParagraph"/>
        <w:numPr>
          <w:ilvl w:val="0"/>
          <w:numId w:val="31"/>
        </w:numPr>
        <w:ind w:right="-22"/>
        <w:rPr>
          <w:rFonts w:eastAsia="Calibri" w:cs="Times New Roman"/>
          <w:szCs w:val="20"/>
          <w:lang w:val="en-GB"/>
        </w:rPr>
      </w:pPr>
      <w:r>
        <w:rPr>
          <w:rFonts w:eastAsia="Calibri" w:cs="Times New Roman"/>
          <w:szCs w:val="20"/>
          <w:lang w:val="en-GB"/>
        </w:rPr>
        <w:t xml:space="preserve">Beam level measurements and reporting. </w:t>
      </w:r>
    </w:p>
    <w:p w14:paraId="5FF391A4" w14:textId="77777777" w:rsidR="00FB0C83" w:rsidRDefault="00FB0C83" w:rsidP="00FB0C83">
      <w:pPr>
        <w:pStyle w:val="ListParagraph"/>
        <w:numPr>
          <w:ilvl w:val="0"/>
          <w:numId w:val="31"/>
        </w:numPr>
        <w:ind w:right="-22"/>
        <w:rPr>
          <w:rFonts w:eastAsia="Calibri" w:cs="Times New Roman"/>
          <w:szCs w:val="20"/>
          <w:lang w:val="en-GB"/>
        </w:rPr>
      </w:pPr>
      <w:r>
        <w:rPr>
          <w:rFonts w:eastAsia="Calibri" w:cs="Times New Roman"/>
          <w:szCs w:val="20"/>
          <w:lang w:val="en-GB"/>
        </w:rPr>
        <w:t>Detected cell status.</w:t>
      </w:r>
    </w:p>
    <w:p w14:paraId="1E273013" w14:textId="77777777" w:rsidR="00FB0C83" w:rsidRDefault="00FB0C83" w:rsidP="00FB0C83">
      <w:pPr>
        <w:pStyle w:val="ListParagraph"/>
        <w:numPr>
          <w:ilvl w:val="0"/>
          <w:numId w:val="31"/>
        </w:numPr>
        <w:ind w:right="-22"/>
        <w:rPr>
          <w:rFonts w:eastAsia="Calibri" w:cs="Times New Roman"/>
          <w:szCs w:val="20"/>
          <w:lang w:val="en-GB"/>
        </w:rPr>
      </w:pPr>
      <w:r>
        <w:rPr>
          <w:rFonts w:eastAsia="Calibri" w:cs="Times New Roman"/>
          <w:szCs w:val="20"/>
          <w:lang w:val="en-GB"/>
        </w:rPr>
        <w:t>Requirements for non-overlapping EMR carriers.</w:t>
      </w:r>
    </w:p>
    <w:p w14:paraId="606C072B" w14:textId="77777777" w:rsidR="00FB0C83" w:rsidRDefault="00FB0C83" w:rsidP="00FB0C83">
      <w:pPr>
        <w:pStyle w:val="ListParagraph"/>
        <w:numPr>
          <w:ilvl w:val="0"/>
          <w:numId w:val="31"/>
        </w:numPr>
        <w:ind w:right="-22"/>
        <w:rPr>
          <w:rFonts w:eastAsia="Calibri" w:cs="Times New Roman"/>
          <w:szCs w:val="20"/>
          <w:lang w:val="en-GB"/>
        </w:rPr>
      </w:pPr>
      <w:r>
        <w:rPr>
          <w:rFonts w:eastAsia="Calibri" w:cs="Times New Roman"/>
          <w:szCs w:val="20"/>
          <w:lang w:val="en-GB"/>
        </w:rPr>
        <w:t>UE EMR requirements when T331 has expired.</w:t>
      </w:r>
    </w:p>
    <w:p w14:paraId="2B5BD44A" w14:textId="77777777" w:rsidR="00FB0C83" w:rsidRPr="00B55213" w:rsidRDefault="00FB0C83" w:rsidP="00FB0C83">
      <w:pPr>
        <w:pStyle w:val="ListParagraph"/>
        <w:numPr>
          <w:ilvl w:val="0"/>
          <w:numId w:val="31"/>
        </w:numPr>
        <w:ind w:right="-22"/>
        <w:rPr>
          <w:rFonts w:eastAsia="Calibri" w:cs="Times New Roman"/>
          <w:szCs w:val="20"/>
          <w:lang w:val="en-GB"/>
        </w:rPr>
      </w:pPr>
      <w:r>
        <w:rPr>
          <w:rFonts w:eastAsia="Calibri" w:cs="Times New Roman"/>
          <w:szCs w:val="20"/>
          <w:lang w:val="en-GB"/>
        </w:rPr>
        <w:t>UE EMR requirements at cell change.</w:t>
      </w:r>
    </w:p>
    <w:p w14:paraId="642DF1FA" w14:textId="22B983D6" w:rsidR="00FB0C83" w:rsidRDefault="00FB0C83" w:rsidP="009958A8">
      <w:pPr>
        <w:rPr>
          <w:rFonts w:eastAsia="Calibri" w:cs="Times New Roman"/>
          <w:szCs w:val="20"/>
        </w:rPr>
      </w:pPr>
      <w:r>
        <w:rPr>
          <w:lang w:val="en-GB"/>
        </w:rPr>
        <w:t xml:space="preserve">The very basic principle is that </w:t>
      </w:r>
      <w:r>
        <w:rPr>
          <w:rFonts w:eastAsia="Calibri" w:cs="Times New Roman"/>
          <w:szCs w:val="20"/>
        </w:rPr>
        <w:t xml:space="preserve">RAN4 applies the principles laid out by LTE </w:t>
      </w:r>
      <w:proofErr w:type="spellStart"/>
      <w:r>
        <w:rPr>
          <w:rFonts w:eastAsia="Calibri" w:cs="Times New Roman"/>
          <w:szCs w:val="20"/>
        </w:rPr>
        <w:t>euCA</w:t>
      </w:r>
      <w:proofErr w:type="spellEnd"/>
      <w:r>
        <w:rPr>
          <w:rFonts w:eastAsia="Calibri" w:cs="Times New Roman"/>
          <w:szCs w:val="20"/>
        </w:rPr>
        <w:t>, the WID and RAN2, and develop UE NR EMR measurement requirements accordingly. Based on RAN2 agreements we observe:</w:t>
      </w:r>
    </w:p>
    <w:p w14:paraId="17659177" w14:textId="77777777" w:rsidR="00FB0C83" w:rsidRDefault="00FB0C83" w:rsidP="00FB0C83">
      <w:pPr>
        <w:pStyle w:val="RAN4Observation"/>
        <w:numPr>
          <w:ilvl w:val="0"/>
          <w:numId w:val="33"/>
        </w:numPr>
      </w:pP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do not affect the idle/inactive mode measurement procedures.</w:t>
      </w:r>
    </w:p>
    <w:p w14:paraId="7C7AB42D" w14:textId="77777777" w:rsidR="00FB0C83" w:rsidRDefault="00FB0C83" w:rsidP="00FB0C83">
      <w:pPr>
        <w:pStyle w:val="RAN4Observation"/>
        <w:numPr>
          <w:ilvl w:val="0"/>
          <w:numId w:val="33"/>
        </w:numPr>
      </w:pP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not affecting the idle/inactive mode measurement procedures applies generically to all configured EMR carriers.</w:t>
      </w:r>
    </w:p>
    <w:p w14:paraId="316D234B" w14:textId="51A8E8BF" w:rsidR="00FB0C83" w:rsidRDefault="00FB0C83" w:rsidP="009958A8">
      <w:pPr>
        <w:rPr>
          <w:rFonts w:eastAsia="Calibri" w:cs="Times New Roman"/>
          <w:szCs w:val="20"/>
        </w:rPr>
      </w:pPr>
      <w:r>
        <w:rPr>
          <w:rFonts w:eastAsia="Calibri" w:cs="Times New Roman"/>
          <w:szCs w:val="20"/>
        </w:rPr>
        <w:t xml:space="preserve">To ensure clarity of the requirements the principle of </w:t>
      </w:r>
      <w:r w:rsidRPr="00A927EE">
        <w:rPr>
          <w:rFonts w:eastAsia="Calibri" w:cs="Times New Roman"/>
          <w:szCs w:val="20"/>
        </w:rPr>
        <w:t>s-</w:t>
      </w:r>
      <w:proofErr w:type="spellStart"/>
      <w:r w:rsidRPr="00A927EE">
        <w:rPr>
          <w:rFonts w:eastAsia="Calibri" w:cs="Times New Roman"/>
          <w:szCs w:val="20"/>
        </w:rPr>
        <w:t>NonIntraSearchP</w:t>
      </w:r>
      <w:proofErr w:type="spellEnd"/>
      <w:r w:rsidRPr="00A927EE">
        <w:rPr>
          <w:rFonts w:eastAsia="Calibri" w:cs="Times New Roman"/>
          <w:szCs w:val="20"/>
        </w:rPr>
        <w:t xml:space="preserve"> and s-</w:t>
      </w:r>
      <w:proofErr w:type="spellStart"/>
      <w:r w:rsidRPr="00A927EE">
        <w:rPr>
          <w:rFonts w:eastAsia="Calibri" w:cs="Times New Roman"/>
          <w:szCs w:val="20"/>
        </w:rPr>
        <w:t>NonIntraSearchQ</w:t>
      </w:r>
      <w:proofErr w:type="spellEnd"/>
      <w:r>
        <w:rPr>
          <w:rFonts w:eastAsia="Calibri" w:cs="Times New Roman"/>
          <w:szCs w:val="20"/>
        </w:rPr>
        <w:t xml:space="preserve"> not affecting the idle/inactive mode measurement procedures should additionally be captured in the RAN4 specification.</w:t>
      </w:r>
    </w:p>
    <w:p w14:paraId="2A3ED2AF" w14:textId="0A9C01B2" w:rsidR="00FB0C83" w:rsidRDefault="00FB0C83" w:rsidP="009958A8">
      <w:pPr>
        <w:rPr>
          <w:rFonts w:eastAsia="Calibri" w:cs="Times New Roman"/>
          <w:szCs w:val="20"/>
        </w:rPr>
      </w:pPr>
      <w:r>
        <w:rPr>
          <w:rFonts w:eastAsia="Calibri" w:cs="Times New Roman"/>
          <w:szCs w:val="20"/>
        </w:rPr>
        <w:t>Based on the discussion we propose:</w:t>
      </w:r>
    </w:p>
    <w:p w14:paraId="5F8B19A8" w14:textId="09ED303C" w:rsidR="00FB0C83" w:rsidRPr="00FB0C83" w:rsidRDefault="00FB0C83" w:rsidP="00FB0C83">
      <w:pPr>
        <w:pStyle w:val="RAN4proposal"/>
        <w:numPr>
          <w:ilvl w:val="0"/>
          <w:numId w:val="32"/>
        </w:numPr>
        <w:rPr>
          <w:lang w:val="en-GB"/>
        </w:rPr>
      </w:pPr>
      <w:r w:rsidRPr="00FB0C83">
        <w:rPr>
          <w:lang w:val="en-GB"/>
        </w:rPr>
        <w:t xml:space="preserve">UE NR EMR requirements capture that </w:t>
      </w: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do not affect the idle/inactive mode measurement procedures.</w:t>
      </w:r>
    </w:p>
    <w:p w14:paraId="764B586B" w14:textId="77777777" w:rsidR="00FB0C83" w:rsidRPr="00FB0C83" w:rsidRDefault="00FB0C83" w:rsidP="00FB0C83">
      <w:pPr>
        <w:pStyle w:val="RAN4proposal"/>
        <w:numPr>
          <w:ilvl w:val="0"/>
          <w:numId w:val="32"/>
        </w:numPr>
        <w:rPr>
          <w:lang w:val="en-GB"/>
        </w:rPr>
      </w:pPr>
      <w:r w:rsidRPr="00FB0C83">
        <w:rPr>
          <w:lang w:val="en-GB"/>
        </w:rPr>
        <w:t>The UE shall support at least 3 NR inter-frequency EMR carriers.</w:t>
      </w:r>
    </w:p>
    <w:p w14:paraId="16CDD2BF" w14:textId="77777777" w:rsidR="00FB0C83" w:rsidRPr="00FB0C83" w:rsidRDefault="00FB0C83" w:rsidP="00FB0C83">
      <w:pPr>
        <w:pStyle w:val="RAN4proposal"/>
        <w:numPr>
          <w:ilvl w:val="0"/>
          <w:numId w:val="32"/>
        </w:numPr>
        <w:rPr>
          <w:lang w:val="en-GB"/>
        </w:rPr>
      </w:pPr>
      <w:r w:rsidRPr="00FB0C83">
        <w:rPr>
          <w:lang w:val="en-GB"/>
        </w:rPr>
        <w:t>The UE shall support at least 2 LTE inter-RAT EMR carriers.</w:t>
      </w:r>
    </w:p>
    <w:p w14:paraId="382B5B0B" w14:textId="77777777" w:rsidR="00FB0C83" w:rsidRPr="00FB0C83" w:rsidRDefault="00FB0C83" w:rsidP="00FB0C83">
      <w:pPr>
        <w:pStyle w:val="RAN4proposal"/>
        <w:numPr>
          <w:ilvl w:val="0"/>
          <w:numId w:val="32"/>
        </w:numPr>
        <w:rPr>
          <w:lang w:val="en-GB"/>
        </w:rPr>
      </w:pPr>
      <w:r w:rsidRPr="00FB0C83">
        <w:rPr>
          <w:lang w:val="en-GB"/>
        </w:rPr>
        <w:t>The UE shall support measurement on overlapping EMR carriers up to the sum of inter-frequency EMR carriers and inter-RAT EMR carriers.</w:t>
      </w:r>
    </w:p>
    <w:p w14:paraId="6D0B9326" w14:textId="77777777" w:rsidR="00FB0C83" w:rsidRPr="00FB0C83" w:rsidRDefault="00FB0C83" w:rsidP="00FB0C83">
      <w:pPr>
        <w:pStyle w:val="RAN4proposal"/>
        <w:numPr>
          <w:ilvl w:val="0"/>
          <w:numId w:val="32"/>
        </w:numPr>
        <w:rPr>
          <w:lang w:val="en-GB"/>
        </w:rPr>
      </w:pPr>
      <w:r w:rsidRPr="00FB0C83">
        <w:rPr>
          <w:lang w:val="en-GB"/>
        </w:rPr>
        <w:t>UE shall support at least 5 overlapping EMR carriers.</w:t>
      </w:r>
    </w:p>
    <w:p w14:paraId="15DA7B29" w14:textId="77777777" w:rsidR="00FB0C83" w:rsidRPr="00FB0C83" w:rsidRDefault="00FB0C83" w:rsidP="00FB0C83">
      <w:pPr>
        <w:pStyle w:val="RAN4proposal"/>
        <w:numPr>
          <w:ilvl w:val="0"/>
          <w:numId w:val="32"/>
        </w:numPr>
        <w:rPr>
          <w:lang w:val="en-GB"/>
        </w:rPr>
      </w:pPr>
      <w:r w:rsidRPr="00FB0C83">
        <w:rPr>
          <w:lang w:val="en-GB"/>
        </w:rPr>
        <w:t>The UE shall support measurement on non-overlapping EMR carriers up to the sum of inter-frequency and inter-RAT EMR carriers.</w:t>
      </w:r>
    </w:p>
    <w:p w14:paraId="350EE272" w14:textId="77777777" w:rsidR="00FB0C83" w:rsidRPr="00FB0C83" w:rsidRDefault="00FB0C83" w:rsidP="00FB0C83">
      <w:pPr>
        <w:pStyle w:val="RAN4proposal"/>
        <w:numPr>
          <w:ilvl w:val="0"/>
          <w:numId w:val="32"/>
        </w:numPr>
        <w:rPr>
          <w:lang w:val="en-GB"/>
        </w:rPr>
      </w:pPr>
      <w:r w:rsidRPr="00FB0C83">
        <w:rPr>
          <w:lang w:val="en-GB"/>
        </w:rPr>
        <w:t>UE shall support at least 5 non-overlapping EMR carriers.</w:t>
      </w:r>
    </w:p>
    <w:tbl>
      <w:tblPr>
        <w:tblStyle w:val="TableGrid"/>
        <w:tblW w:w="0" w:type="auto"/>
        <w:tblLook w:val="04A0" w:firstRow="1" w:lastRow="0" w:firstColumn="1" w:lastColumn="0" w:noHBand="0" w:noVBand="1"/>
      </w:tblPr>
      <w:tblGrid>
        <w:gridCol w:w="2404"/>
        <w:gridCol w:w="2404"/>
        <w:gridCol w:w="2404"/>
        <w:gridCol w:w="2405"/>
      </w:tblGrid>
      <w:tr w:rsidR="00FB0C83" w14:paraId="529C6385" w14:textId="77777777" w:rsidTr="00BD346C">
        <w:tc>
          <w:tcPr>
            <w:tcW w:w="2404" w:type="dxa"/>
          </w:tcPr>
          <w:p w14:paraId="493398BD" w14:textId="77777777" w:rsidR="00FB0C83" w:rsidRDefault="00FB0C83" w:rsidP="00BD346C">
            <w:pPr>
              <w:ind w:right="-22"/>
              <w:rPr>
                <w:lang w:val="en-GB"/>
              </w:rPr>
            </w:pPr>
          </w:p>
        </w:tc>
        <w:tc>
          <w:tcPr>
            <w:tcW w:w="2404" w:type="dxa"/>
          </w:tcPr>
          <w:p w14:paraId="5B776506" w14:textId="77777777" w:rsidR="00FB0C83" w:rsidRDefault="00FB0C83" w:rsidP="00BD346C">
            <w:pPr>
              <w:ind w:right="-22"/>
              <w:jc w:val="center"/>
              <w:rPr>
                <w:lang w:val="en-GB"/>
              </w:rPr>
            </w:pPr>
            <w:r>
              <w:rPr>
                <w:lang w:val="en-GB"/>
              </w:rPr>
              <w:t>Total number</w:t>
            </w:r>
          </w:p>
        </w:tc>
        <w:tc>
          <w:tcPr>
            <w:tcW w:w="2404" w:type="dxa"/>
          </w:tcPr>
          <w:p w14:paraId="0E6B7345" w14:textId="77777777" w:rsidR="00FB0C83" w:rsidRDefault="00FB0C83" w:rsidP="00BD346C">
            <w:pPr>
              <w:ind w:right="-22"/>
              <w:jc w:val="center"/>
              <w:rPr>
                <w:lang w:val="en-GB"/>
              </w:rPr>
            </w:pPr>
            <w:r>
              <w:rPr>
                <w:lang w:val="en-GB"/>
              </w:rPr>
              <w:t>overlapping carriers</w:t>
            </w:r>
          </w:p>
        </w:tc>
        <w:tc>
          <w:tcPr>
            <w:tcW w:w="2405" w:type="dxa"/>
          </w:tcPr>
          <w:p w14:paraId="4B31DA9C" w14:textId="77777777" w:rsidR="00FB0C83" w:rsidRDefault="00FB0C83" w:rsidP="00BD346C">
            <w:pPr>
              <w:ind w:right="-22"/>
              <w:jc w:val="center"/>
              <w:rPr>
                <w:lang w:val="en-GB"/>
              </w:rPr>
            </w:pPr>
            <w:r>
              <w:rPr>
                <w:lang w:val="en-GB"/>
              </w:rPr>
              <w:t>non-overlapping carriers</w:t>
            </w:r>
          </w:p>
        </w:tc>
      </w:tr>
      <w:tr w:rsidR="00FB0C83" w14:paraId="4BF75883" w14:textId="77777777" w:rsidTr="00BD346C">
        <w:tc>
          <w:tcPr>
            <w:tcW w:w="2404" w:type="dxa"/>
          </w:tcPr>
          <w:p w14:paraId="54A2BEC8" w14:textId="77777777" w:rsidR="00FB0C83" w:rsidRDefault="00FB0C83" w:rsidP="00BD346C">
            <w:pPr>
              <w:ind w:right="-22"/>
              <w:rPr>
                <w:lang w:val="en-GB"/>
              </w:rPr>
            </w:pPr>
            <w:r>
              <w:t xml:space="preserve">Number of </w:t>
            </w:r>
            <w:r w:rsidRPr="002A5EE4">
              <w:t xml:space="preserve">NR inter-frequency </w:t>
            </w:r>
            <w:r>
              <w:t xml:space="preserve">EMR </w:t>
            </w:r>
            <w:r w:rsidRPr="002A5EE4">
              <w:t>carriers</w:t>
            </w:r>
          </w:p>
        </w:tc>
        <w:tc>
          <w:tcPr>
            <w:tcW w:w="2404" w:type="dxa"/>
          </w:tcPr>
          <w:p w14:paraId="027DD3DB" w14:textId="77777777" w:rsidR="00FB0C83" w:rsidRDefault="00FB0C83" w:rsidP="00BD346C">
            <w:pPr>
              <w:ind w:right="-22"/>
              <w:jc w:val="center"/>
              <w:rPr>
                <w:lang w:val="en-GB"/>
              </w:rPr>
            </w:pPr>
            <w:r>
              <w:rPr>
                <w:rFonts w:cs="Times New Roman"/>
                <w:lang w:val="en-GB"/>
              </w:rPr>
              <w:t>≤</w:t>
            </w:r>
            <w:r>
              <w:rPr>
                <w:lang w:val="en-GB"/>
              </w:rPr>
              <w:t>3</w:t>
            </w:r>
          </w:p>
        </w:tc>
        <w:tc>
          <w:tcPr>
            <w:tcW w:w="2404" w:type="dxa"/>
          </w:tcPr>
          <w:p w14:paraId="303519D4" w14:textId="77777777" w:rsidR="00FB0C83" w:rsidRDefault="00FB0C83" w:rsidP="00BD346C">
            <w:pPr>
              <w:ind w:right="-22"/>
              <w:jc w:val="center"/>
              <w:rPr>
                <w:lang w:val="en-GB"/>
              </w:rPr>
            </w:pPr>
            <w:r>
              <w:rPr>
                <w:rFonts w:cs="Times New Roman"/>
                <w:lang w:val="en-GB"/>
              </w:rPr>
              <w:t>≤</w:t>
            </w:r>
            <w:r>
              <w:rPr>
                <w:lang w:val="en-GB"/>
              </w:rPr>
              <w:t>3</w:t>
            </w:r>
          </w:p>
        </w:tc>
        <w:tc>
          <w:tcPr>
            <w:tcW w:w="2405" w:type="dxa"/>
          </w:tcPr>
          <w:p w14:paraId="002CA660" w14:textId="77777777" w:rsidR="00FB0C83" w:rsidRDefault="00FB0C83" w:rsidP="00BD346C">
            <w:pPr>
              <w:ind w:right="-22"/>
              <w:jc w:val="center"/>
              <w:rPr>
                <w:lang w:val="en-GB"/>
              </w:rPr>
            </w:pPr>
            <w:r>
              <w:rPr>
                <w:rFonts w:cs="Times New Roman"/>
                <w:lang w:val="en-GB"/>
              </w:rPr>
              <w:t>≤</w:t>
            </w:r>
            <w:r>
              <w:rPr>
                <w:lang w:val="en-GB"/>
              </w:rPr>
              <w:t>3</w:t>
            </w:r>
          </w:p>
        </w:tc>
      </w:tr>
      <w:tr w:rsidR="00FB0C83" w14:paraId="26A73A15" w14:textId="77777777" w:rsidTr="00BD346C">
        <w:tc>
          <w:tcPr>
            <w:tcW w:w="2404" w:type="dxa"/>
          </w:tcPr>
          <w:p w14:paraId="6B0B76CD" w14:textId="77777777" w:rsidR="00FB0C83" w:rsidRDefault="00FB0C83" w:rsidP="00BD346C">
            <w:pPr>
              <w:ind w:right="-22"/>
              <w:rPr>
                <w:lang w:val="en-GB"/>
              </w:rPr>
            </w:pPr>
            <w:r>
              <w:rPr>
                <w:rFonts w:eastAsia="Calibri" w:cs="Times New Roman"/>
                <w:szCs w:val="20"/>
              </w:rPr>
              <w:t>N</w:t>
            </w:r>
            <w:r w:rsidRPr="002A5EE4">
              <w:rPr>
                <w:rFonts w:eastAsia="Calibri" w:cs="Times New Roman"/>
                <w:szCs w:val="20"/>
              </w:rPr>
              <w:t xml:space="preserve">umber of LTE inter-RAT </w:t>
            </w:r>
            <w:r>
              <w:rPr>
                <w:rFonts w:eastAsia="Calibri" w:cs="Times New Roman"/>
                <w:szCs w:val="20"/>
              </w:rPr>
              <w:t xml:space="preserve">EMR </w:t>
            </w:r>
            <w:r w:rsidRPr="002A5EE4">
              <w:rPr>
                <w:rFonts w:eastAsia="Calibri" w:cs="Times New Roman"/>
                <w:szCs w:val="20"/>
              </w:rPr>
              <w:t>carriers</w:t>
            </w:r>
          </w:p>
        </w:tc>
        <w:tc>
          <w:tcPr>
            <w:tcW w:w="2404" w:type="dxa"/>
          </w:tcPr>
          <w:p w14:paraId="31D97D33" w14:textId="77777777" w:rsidR="00FB0C83" w:rsidRDefault="00FB0C83" w:rsidP="00BD346C">
            <w:pPr>
              <w:ind w:right="-22"/>
              <w:jc w:val="center"/>
              <w:rPr>
                <w:lang w:val="en-GB"/>
              </w:rPr>
            </w:pPr>
            <w:r>
              <w:rPr>
                <w:rFonts w:cs="Times New Roman"/>
                <w:lang w:val="en-GB"/>
              </w:rPr>
              <w:t>≤</w:t>
            </w:r>
            <w:r>
              <w:rPr>
                <w:lang w:val="en-GB"/>
              </w:rPr>
              <w:t>2</w:t>
            </w:r>
          </w:p>
        </w:tc>
        <w:tc>
          <w:tcPr>
            <w:tcW w:w="2404" w:type="dxa"/>
          </w:tcPr>
          <w:p w14:paraId="7FA4E890" w14:textId="77777777" w:rsidR="00FB0C83" w:rsidRDefault="00FB0C83" w:rsidP="00BD346C">
            <w:pPr>
              <w:ind w:right="-22"/>
              <w:jc w:val="center"/>
              <w:rPr>
                <w:lang w:val="en-GB"/>
              </w:rPr>
            </w:pPr>
            <w:r>
              <w:rPr>
                <w:rFonts w:cs="Times New Roman"/>
                <w:lang w:val="en-GB"/>
              </w:rPr>
              <w:t>≤</w:t>
            </w:r>
            <w:r>
              <w:rPr>
                <w:lang w:val="en-GB"/>
              </w:rPr>
              <w:t>2</w:t>
            </w:r>
          </w:p>
        </w:tc>
        <w:tc>
          <w:tcPr>
            <w:tcW w:w="2405" w:type="dxa"/>
          </w:tcPr>
          <w:p w14:paraId="747AD0C0" w14:textId="77777777" w:rsidR="00FB0C83" w:rsidRDefault="00FB0C83" w:rsidP="00BD346C">
            <w:pPr>
              <w:ind w:right="-22"/>
              <w:jc w:val="center"/>
              <w:rPr>
                <w:lang w:val="en-GB"/>
              </w:rPr>
            </w:pPr>
            <w:r>
              <w:rPr>
                <w:rFonts w:cs="Times New Roman"/>
                <w:lang w:val="en-GB"/>
              </w:rPr>
              <w:t>≤</w:t>
            </w:r>
            <w:r>
              <w:rPr>
                <w:lang w:val="en-GB"/>
              </w:rPr>
              <w:t>2</w:t>
            </w:r>
          </w:p>
        </w:tc>
      </w:tr>
      <w:tr w:rsidR="00FB0C83" w14:paraId="17D229DA" w14:textId="77777777" w:rsidTr="00BD346C">
        <w:tc>
          <w:tcPr>
            <w:tcW w:w="2404" w:type="dxa"/>
          </w:tcPr>
          <w:p w14:paraId="786BF37E" w14:textId="77777777" w:rsidR="00FB0C83" w:rsidRDefault="00FB0C83" w:rsidP="00BD346C">
            <w:pPr>
              <w:ind w:right="-22"/>
              <w:rPr>
                <w:lang w:val="en-GB"/>
              </w:rPr>
            </w:pPr>
            <w:r>
              <w:rPr>
                <w:lang w:val="en-GB"/>
              </w:rPr>
              <w:t>Total # of EMR carriers</w:t>
            </w:r>
          </w:p>
        </w:tc>
        <w:tc>
          <w:tcPr>
            <w:tcW w:w="2404" w:type="dxa"/>
          </w:tcPr>
          <w:p w14:paraId="60692DFF" w14:textId="77777777" w:rsidR="00FB0C83" w:rsidRDefault="00FB0C83" w:rsidP="00BD346C">
            <w:pPr>
              <w:ind w:right="-22"/>
              <w:jc w:val="center"/>
              <w:rPr>
                <w:lang w:val="en-GB"/>
              </w:rPr>
            </w:pPr>
            <w:r>
              <w:rPr>
                <w:rFonts w:cs="Times New Roman"/>
                <w:lang w:val="en-GB"/>
              </w:rPr>
              <w:t>≤</w:t>
            </w:r>
            <w:r>
              <w:rPr>
                <w:lang w:val="en-GB"/>
              </w:rPr>
              <w:t>5</w:t>
            </w:r>
          </w:p>
        </w:tc>
        <w:tc>
          <w:tcPr>
            <w:tcW w:w="2404" w:type="dxa"/>
          </w:tcPr>
          <w:p w14:paraId="3E1667FA" w14:textId="77777777" w:rsidR="00FB0C83" w:rsidRDefault="00FB0C83" w:rsidP="00BD346C">
            <w:pPr>
              <w:ind w:right="-22"/>
              <w:jc w:val="center"/>
              <w:rPr>
                <w:lang w:val="en-GB"/>
              </w:rPr>
            </w:pPr>
            <w:r>
              <w:rPr>
                <w:rFonts w:cs="Times New Roman"/>
                <w:lang w:val="en-GB"/>
              </w:rPr>
              <w:t>≤</w:t>
            </w:r>
            <w:r>
              <w:rPr>
                <w:lang w:val="en-GB"/>
              </w:rPr>
              <w:t>5</w:t>
            </w:r>
          </w:p>
        </w:tc>
        <w:tc>
          <w:tcPr>
            <w:tcW w:w="2405" w:type="dxa"/>
          </w:tcPr>
          <w:p w14:paraId="7C9FC193" w14:textId="77777777" w:rsidR="00FB0C83" w:rsidRDefault="00FB0C83" w:rsidP="00BD346C">
            <w:pPr>
              <w:ind w:right="-22"/>
              <w:jc w:val="center"/>
              <w:rPr>
                <w:lang w:val="en-GB"/>
              </w:rPr>
            </w:pPr>
            <w:r>
              <w:rPr>
                <w:rFonts w:cs="Times New Roman"/>
                <w:lang w:val="en-GB"/>
              </w:rPr>
              <w:t>≤</w:t>
            </w:r>
            <w:r>
              <w:rPr>
                <w:lang w:val="en-GB"/>
              </w:rPr>
              <w:t>5</w:t>
            </w:r>
          </w:p>
        </w:tc>
      </w:tr>
    </w:tbl>
    <w:p w14:paraId="1DF9D08C" w14:textId="2CC28DCB" w:rsidR="00FB0C83" w:rsidRDefault="00FB0C83" w:rsidP="00FB0C83">
      <w:pPr>
        <w:tabs>
          <w:tab w:val="left" w:pos="1613"/>
        </w:tabs>
        <w:rPr>
          <w:lang w:val="en-GB"/>
        </w:rPr>
      </w:pPr>
    </w:p>
    <w:p w14:paraId="5BC5C246" w14:textId="77777777" w:rsidR="00FB0C83" w:rsidRDefault="00FB0C83" w:rsidP="00FB0C83">
      <w:pPr>
        <w:pStyle w:val="RAN4proposal"/>
        <w:rPr>
          <w:rFonts w:eastAsia="Calibri" w:cs="Times New Roman"/>
          <w:szCs w:val="20"/>
          <w:lang w:val="en-GB"/>
        </w:rPr>
      </w:pPr>
      <w:r>
        <w:rPr>
          <w:rFonts w:eastAsia="Calibri" w:cs="Times New Roman"/>
          <w:szCs w:val="20"/>
          <w:lang w:val="en-GB"/>
        </w:rPr>
        <w:t>UE should be able to measure and report at least 2 cells per EMR carrier.</w:t>
      </w:r>
    </w:p>
    <w:p w14:paraId="35B0591A" w14:textId="77777777" w:rsidR="00FB0C83" w:rsidRPr="00CF6464" w:rsidRDefault="00FB0C83" w:rsidP="00FB0C83">
      <w:pPr>
        <w:pStyle w:val="RAN4proposal"/>
        <w:rPr>
          <w:lang w:val="en-GB"/>
        </w:rPr>
      </w:pPr>
      <w:r>
        <w:rPr>
          <w:rFonts w:eastAsia="Calibri" w:cs="Times New Roman"/>
          <w:szCs w:val="20"/>
          <w:lang w:val="en-GB"/>
        </w:rPr>
        <w:t>UE should be able to measure and report and up to 4 SSB indexes per reported cell.</w:t>
      </w:r>
    </w:p>
    <w:p w14:paraId="2B7014AD" w14:textId="45F4E541" w:rsidR="00FB0C83" w:rsidRDefault="00FB0C83" w:rsidP="00FB0C83">
      <w:pPr>
        <w:pStyle w:val="RAN4proposal"/>
        <w:rPr>
          <w:rFonts w:eastAsia="Calibri" w:cs="Times New Roman"/>
          <w:szCs w:val="20"/>
          <w:lang w:val="en-GB"/>
        </w:rPr>
      </w:pPr>
      <w:r>
        <w:rPr>
          <w:lang w:val="en-GB"/>
        </w:rPr>
        <w:lastRenderedPageBreak/>
        <w:t xml:space="preserve">Capture when a </w:t>
      </w:r>
      <w:r w:rsidRPr="001778CA">
        <w:rPr>
          <w:rFonts w:eastAsia="Calibri" w:cs="Times New Roman"/>
          <w:szCs w:val="20"/>
          <w:lang w:val="en-GB"/>
        </w:rPr>
        <w:t>detected cell remains detectable in terms of signal quality</w:t>
      </w:r>
      <w:r>
        <w:rPr>
          <w:rFonts w:eastAsia="Calibri" w:cs="Times New Roman"/>
          <w:szCs w:val="20"/>
          <w:lang w:val="en-GB"/>
        </w:rPr>
        <w:t>.</w:t>
      </w:r>
    </w:p>
    <w:p w14:paraId="6429A3E3" w14:textId="77777777" w:rsidR="00FB0C83" w:rsidRPr="006F339B" w:rsidRDefault="00FB0C83" w:rsidP="00FB0C83">
      <w:pPr>
        <w:pStyle w:val="RAN4proposal"/>
        <w:rPr>
          <w:lang w:val="en-GB"/>
        </w:rPr>
      </w:pPr>
      <w:r>
        <w:rPr>
          <w:lang w:val="en-GB"/>
        </w:rPr>
        <w:t xml:space="preserve">Capture when a </w:t>
      </w:r>
      <w:r w:rsidRPr="001778CA">
        <w:rPr>
          <w:rFonts w:eastAsia="Calibri" w:cs="Times New Roman"/>
          <w:szCs w:val="20"/>
          <w:lang w:val="en-GB"/>
        </w:rPr>
        <w:t>detected SSBs of a cell remains detectable in terms of signal quality</w:t>
      </w:r>
      <w:r>
        <w:rPr>
          <w:rFonts w:eastAsia="Calibri" w:cs="Times New Roman"/>
          <w:szCs w:val="20"/>
          <w:lang w:val="en-GB"/>
        </w:rPr>
        <w:t>.</w:t>
      </w:r>
    </w:p>
    <w:p w14:paraId="6FC4BB60" w14:textId="77777777" w:rsidR="00FB0C83" w:rsidRDefault="00FB0C83" w:rsidP="00FB0C83">
      <w:pPr>
        <w:pStyle w:val="RAN4proposal"/>
        <w:rPr>
          <w:lang w:val="en-GB"/>
        </w:rPr>
      </w:pPr>
      <w:r>
        <w:rPr>
          <w:lang w:val="en-GB"/>
        </w:rPr>
        <w:t>No need to capture T331 not expired in the cell detected status.</w:t>
      </w:r>
    </w:p>
    <w:p w14:paraId="07381217" w14:textId="77777777" w:rsidR="00FB0C83" w:rsidRDefault="00FB0C83" w:rsidP="00FB0C83">
      <w:pPr>
        <w:pStyle w:val="RAN4proposal"/>
        <w:rPr>
          <w:lang w:val="en-GB"/>
        </w:rPr>
      </w:pPr>
      <w:r>
        <w:rPr>
          <w:lang w:val="en-GB"/>
        </w:rPr>
        <w:t>Use existing Rel-15 LTE EMR measurement requirements for non-overlapping FR1 carriers as minimum baseline for NR EMR measurement requirement for non-overlapping FR1 NR inter-frequency EMR carriers.</w:t>
      </w:r>
    </w:p>
    <w:p w14:paraId="554FE839" w14:textId="77777777" w:rsidR="00FB0C83" w:rsidRDefault="00FB0C83" w:rsidP="00FB0C83">
      <w:pPr>
        <w:pStyle w:val="RAN4observation0"/>
      </w:pPr>
      <w:r>
        <w:t>Due to UE sweeping in FR2, one shot measurement requirements do not seem feasible in FR2.</w:t>
      </w:r>
    </w:p>
    <w:p w14:paraId="0C9DB0E1" w14:textId="77777777" w:rsidR="00FB0C83" w:rsidRDefault="00FB0C83" w:rsidP="00FB0C83">
      <w:pPr>
        <w:pStyle w:val="RAN4proposal"/>
        <w:rPr>
          <w:lang w:val="en-GB"/>
        </w:rPr>
      </w:pPr>
      <w:r>
        <w:rPr>
          <w:lang w:val="en-GB"/>
        </w:rPr>
        <w:t>Measurement requirements for an FR2 non-overlapping EMR inter-frequency carrier are the as for an FR2 overlapping EMR inter-frequency carrier.</w:t>
      </w:r>
    </w:p>
    <w:p w14:paraId="02EC0F23" w14:textId="77777777" w:rsidR="00FB0C83" w:rsidRDefault="00FB0C83" w:rsidP="00FB0C83">
      <w:pPr>
        <w:pStyle w:val="RAN4proposal"/>
        <w:rPr>
          <w:lang w:val="en-GB"/>
        </w:rPr>
      </w:pPr>
      <w:r>
        <w:rPr>
          <w:lang w:val="en-GB"/>
        </w:rPr>
        <w:t>RAN4 does define UE measurement requirements for EMR after T331 is stopped or has expired.</w:t>
      </w:r>
    </w:p>
    <w:p w14:paraId="5E7F9402" w14:textId="77777777" w:rsidR="00FB0C83" w:rsidRPr="00F1307A" w:rsidRDefault="00FB0C83" w:rsidP="00FB0C83">
      <w:pPr>
        <w:pStyle w:val="RAN4proposal"/>
        <w:rPr>
          <w:lang w:val="en-GB"/>
        </w:rPr>
      </w:pPr>
      <w:r>
        <w:rPr>
          <w:lang w:val="en-GB"/>
        </w:rPr>
        <w:t xml:space="preserve">No specific RAN4 EMR measurement requirements are defined during cell changes. </w:t>
      </w:r>
    </w:p>
    <w:p w14:paraId="3EC662B6" w14:textId="77777777" w:rsidR="00FB0C83" w:rsidRDefault="00FB0C83" w:rsidP="00FB0C83">
      <w:pPr>
        <w:tabs>
          <w:tab w:val="left" w:pos="1613"/>
        </w:tabs>
        <w:rPr>
          <w:lang w:val="en-GB"/>
        </w:rPr>
      </w:pPr>
    </w:p>
    <w:p w14:paraId="1474FB8C" w14:textId="44E352B7" w:rsidR="009958A8" w:rsidRPr="009958A8" w:rsidRDefault="009958A8" w:rsidP="009958A8">
      <w:pPr>
        <w:rPr>
          <w:lang w:val="en-GB"/>
        </w:rPr>
      </w:pPr>
      <w:r>
        <w:rPr>
          <w:lang w:val="en-GB"/>
        </w:rPr>
        <w:t>In [</w:t>
      </w:r>
      <w:r w:rsidR="00FB0C83">
        <w:rPr>
          <w:lang w:val="en-GB"/>
        </w:rPr>
        <w:t>4</w:t>
      </w:r>
      <w:r>
        <w:rPr>
          <w:lang w:val="en-GB"/>
        </w:rPr>
        <w:t xml:space="preserve">] we have provided a TP for the </w:t>
      </w:r>
      <w:r w:rsidR="00044501">
        <w:rPr>
          <w:lang w:val="en-GB"/>
        </w:rPr>
        <w:t xml:space="preserve">former and </w:t>
      </w:r>
      <w:r>
        <w:rPr>
          <w:lang w:val="en-GB"/>
        </w:rPr>
        <w:t>new proposals.</w:t>
      </w:r>
    </w:p>
    <w:p w14:paraId="3DAFBD41" w14:textId="77777777" w:rsidR="003B659E" w:rsidRPr="0095295C" w:rsidRDefault="003B659E" w:rsidP="0008612A">
      <w:pPr>
        <w:pStyle w:val="RAN4H1"/>
      </w:pPr>
      <w:r w:rsidRPr="0095295C">
        <w:t>References</w:t>
      </w:r>
    </w:p>
    <w:p w14:paraId="19FC2F12" w14:textId="518517E1" w:rsidR="003B659E" w:rsidRPr="003D146D" w:rsidRDefault="00B531A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3D146D">
        <w:rPr>
          <w:rFonts w:eastAsia="Times New Roman" w:cs="Times New Roman"/>
          <w:szCs w:val="20"/>
          <w:lang w:val="en-GB"/>
        </w:rPr>
        <w:t>R4-2005847</w:t>
      </w:r>
      <w:r w:rsidR="003B659E" w:rsidRPr="003D146D">
        <w:rPr>
          <w:rFonts w:eastAsia="Times New Roman" w:cs="Times New Roman"/>
          <w:szCs w:val="20"/>
          <w:lang w:val="en-GB"/>
        </w:rPr>
        <w:t xml:space="preserve">, </w:t>
      </w:r>
      <w:r w:rsidRPr="003D146D">
        <w:rPr>
          <w:rFonts w:eastAsia="Times New Roman" w:cs="Times New Roman"/>
          <w:bCs/>
          <w:szCs w:val="20"/>
          <w:lang w:val="en-GB"/>
        </w:rPr>
        <w:t>WF on MR-DC RRM requirements</w:t>
      </w:r>
      <w:r w:rsidR="003B659E" w:rsidRPr="003D146D">
        <w:rPr>
          <w:rFonts w:eastAsia="Times New Roman" w:cs="Times New Roman"/>
          <w:szCs w:val="20"/>
          <w:lang w:val="en-GB"/>
        </w:rPr>
        <w:t xml:space="preserve">, Nokia, </w:t>
      </w:r>
      <w:r w:rsidRPr="003D146D">
        <w:rPr>
          <w:rFonts w:eastAsia="Times New Roman" w:cs="Times New Roman"/>
          <w:szCs w:val="20"/>
          <w:lang w:val="en-GB"/>
        </w:rPr>
        <w:t>Nokia</w:t>
      </w:r>
      <w:r w:rsidR="003B659E" w:rsidRPr="003D146D">
        <w:rPr>
          <w:rFonts w:eastAsia="Times New Roman" w:cs="Times New Roman"/>
          <w:szCs w:val="20"/>
          <w:lang w:val="en-GB"/>
        </w:rPr>
        <w:t xml:space="preserve"> Shanghai Bell</w:t>
      </w:r>
      <w:r w:rsidR="003B659E" w:rsidRPr="003D146D" w:rsidDel="00C651B9">
        <w:rPr>
          <w:rFonts w:eastAsia="Times New Roman" w:cs="Times New Roman"/>
          <w:szCs w:val="20"/>
          <w:lang w:val="en-GB"/>
        </w:rPr>
        <w:t xml:space="preserve"> </w:t>
      </w:r>
      <w:bookmarkEnd w:id="8"/>
    </w:p>
    <w:p w14:paraId="79F1FC62" w14:textId="13AF5240" w:rsidR="003642C5" w:rsidRPr="003D146D" w:rsidRDefault="003642C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D146D">
        <w:rPr>
          <w:rFonts w:eastAsia="Times New Roman" w:cs="Times New Roman"/>
          <w:szCs w:val="20"/>
          <w:lang w:val="en-GB"/>
        </w:rPr>
        <w:t>R4-1915554, Correction to S-measure threshold applicability in IDLE mode measurements, Nokia, Nokia Shanghai Bell</w:t>
      </w:r>
    </w:p>
    <w:p w14:paraId="47F32F8D" w14:textId="1B1738CA" w:rsidR="009958A8" w:rsidRPr="003D146D" w:rsidRDefault="00F0520D"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219C2">
        <w:rPr>
          <w:rFonts w:eastAsia="Times New Roman" w:cs="Times New Roman"/>
          <w:szCs w:val="20"/>
          <w:lang w:val="en-GB"/>
        </w:rPr>
        <w:t>R4-2007153</w:t>
      </w:r>
      <w:r w:rsidRPr="003D146D">
        <w:rPr>
          <w:rFonts w:eastAsia="Times New Roman" w:cs="Times New Roman"/>
          <w:szCs w:val="20"/>
          <w:lang w:val="en-GB"/>
        </w:rPr>
        <w:t xml:space="preserve">, </w:t>
      </w:r>
      <w:r w:rsidRPr="003D146D">
        <w:rPr>
          <w:rFonts w:ascii="Calibri" w:hAnsi="Calibri" w:cs="Calibri"/>
          <w:color w:val="000000"/>
          <w:szCs w:val="20"/>
          <w:lang w:val="en-GB"/>
        </w:rPr>
        <w:t xml:space="preserve">Big CR Introduction of UE requirement for MR-DC early measurement reporting in 38.133, </w:t>
      </w:r>
      <w:r w:rsidRPr="003D146D">
        <w:rPr>
          <w:rFonts w:eastAsia="Times New Roman" w:cs="Times New Roman"/>
          <w:szCs w:val="20"/>
          <w:lang w:val="en-GB"/>
        </w:rPr>
        <w:t>Nokia, Nokia Shanghai Bell</w:t>
      </w:r>
    </w:p>
    <w:p w14:paraId="13FB1907" w14:textId="1D569E56" w:rsidR="009958A8" w:rsidRPr="003D146D" w:rsidRDefault="007E263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219C2">
        <w:rPr>
          <w:rFonts w:eastAsia="Times New Roman" w:cs="Times New Roman"/>
          <w:szCs w:val="20"/>
          <w:lang w:val="en-GB"/>
        </w:rPr>
        <w:t>R4-2007152</w:t>
      </w:r>
      <w:r w:rsidRPr="003D146D">
        <w:rPr>
          <w:rFonts w:eastAsia="Times New Roman" w:cs="Times New Roman"/>
          <w:szCs w:val="20"/>
          <w:lang w:val="en-GB"/>
        </w:rPr>
        <w:t>, TP for NR MR-DC RRM requirements for 38.133, Nokia, Nokia Shanghai Bell</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5BFF5" w14:textId="77777777" w:rsidR="00E47E39" w:rsidRDefault="00E47E39" w:rsidP="00001C9B">
      <w:pPr>
        <w:spacing w:after="0" w:line="240" w:lineRule="auto"/>
      </w:pPr>
      <w:r>
        <w:separator/>
      </w:r>
    </w:p>
  </w:endnote>
  <w:endnote w:type="continuationSeparator" w:id="0">
    <w:p w14:paraId="00409A44" w14:textId="77777777" w:rsidR="00E47E39" w:rsidRDefault="00E47E3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B44C9" w14:textId="77777777" w:rsidR="00E47E39" w:rsidRDefault="00E47E39" w:rsidP="00001C9B">
      <w:pPr>
        <w:spacing w:after="0" w:line="240" w:lineRule="auto"/>
      </w:pPr>
      <w:r>
        <w:separator/>
      </w:r>
    </w:p>
  </w:footnote>
  <w:footnote w:type="continuationSeparator" w:id="0">
    <w:p w14:paraId="79C36BDF" w14:textId="77777777" w:rsidR="00E47E39" w:rsidRDefault="00E47E3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3F3071"/>
    <w:multiLevelType w:val="hybridMultilevel"/>
    <w:tmpl w:val="4FA4A936"/>
    <w:lvl w:ilvl="0" w:tplc="08090011">
      <w:start w:val="1"/>
      <w:numFmt w:val="decimal"/>
      <w:lvlText w:val="%1)"/>
      <w:lvlJc w:val="left"/>
      <w:pPr>
        <w:tabs>
          <w:tab w:val="num" w:pos="360"/>
        </w:tabs>
        <w:ind w:left="360" w:hanging="360"/>
      </w:pPr>
      <w:rPr>
        <w:rFonts w:hint="default"/>
      </w:rPr>
    </w:lvl>
    <w:lvl w:ilvl="1" w:tplc="A36CEACE">
      <w:start w:val="1"/>
      <w:numFmt w:val="bullet"/>
      <w:lvlText w:val="–"/>
      <w:lvlJc w:val="left"/>
      <w:pPr>
        <w:tabs>
          <w:tab w:val="num" w:pos="1080"/>
        </w:tabs>
        <w:ind w:left="1080" w:hanging="360"/>
      </w:pPr>
      <w:rPr>
        <w:rFonts w:ascii="Arial" w:hAnsi="Arial" w:hint="default"/>
      </w:rPr>
    </w:lvl>
    <w:lvl w:ilvl="2" w:tplc="9544E79E" w:tentative="1">
      <w:start w:val="1"/>
      <w:numFmt w:val="bullet"/>
      <w:lvlText w:val="–"/>
      <w:lvlJc w:val="left"/>
      <w:pPr>
        <w:tabs>
          <w:tab w:val="num" w:pos="1800"/>
        </w:tabs>
        <w:ind w:left="1800" w:hanging="360"/>
      </w:pPr>
      <w:rPr>
        <w:rFonts w:ascii="Arial" w:hAnsi="Arial" w:hint="default"/>
      </w:rPr>
    </w:lvl>
    <w:lvl w:ilvl="3" w:tplc="4A46F344" w:tentative="1">
      <w:start w:val="1"/>
      <w:numFmt w:val="bullet"/>
      <w:lvlText w:val="–"/>
      <w:lvlJc w:val="left"/>
      <w:pPr>
        <w:tabs>
          <w:tab w:val="num" w:pos="2520"/>
        </w:tabs>
        <w:ind w:left="2520" w:hanging="360"/>
      </w:pPr>
      <w:rPr>
        <w:rFonts w:ascii="Arial" w:hAnsi="Arial" w:hint="default"/>
      </w:rPr>
    </w:lvl>
    <w:lvl w:ilvl="4" w:tplc="08CA8F8A" w:tentative="1">
      <w:start w:val="1"/>
      <w:numFmt w:val="bullet"/>
      <w:lvlText w:val="–"/>
      <w:lvlJc w:val="left"/>
      <w:pPr>
        <w:tabs>
          <w:tab w:val="num" w:pos="3240"/>
        </w:tabs>
        <w:ind w:left="3240" w:hanging="360"/>
      </w:pPr>
      <w:rPr>
        <w:rFonts w:ascii="Arial" w:hAnsi="Arial" w:hint="default"/>
      </w:rPr>
    </w:lvl>
    <w:lvl w:ilvl="5" w:tplc="15105690" w:tentative="1">
      <w:start w:val="1"/>
      <w:numFmt w:val="bullet"/>
      <w:lvlText w:val="–"/>
      <w:lvlJc w:val="left"/>
      <w:pPr>
        <w:tabs>
          <w:tab w:val="num" w:pos="3960"/>
        </w:tabs>
        <w:ind w:left="3960" w:hanging="360"/>
      </w:pPr>
      <w:rPr>
        <w:rFonts w:ascii="Arial" w:hAnsi="Arial" w:hint="default"/>
      </w:rPr>
    </w:lvl>
    <w:lvl w:ilvl="6" w:tplc="5F664C10" w:tentative="1">
      <w:start w:val="1"/>
      <w:numFmt w:val="bullet"/>
      <w:lvlText w:val="–"/>
      <w:lvlJc w:val="left"/>
      <w:pPr>
        <w:tabs>
          <w:tab w:val="num" w:pos="4680"/>
        </w:tabs>
        <w:ind w:left="4680" w:hanging="360"/>
      </w:pPr>
      <w:rPr>
        <w:rFonts w:ascii="Arial" w:hAnsi="Arial" w:hint="default"/>
      </w:rPr>
    </w:lvl>
    <w:lvl w:ilvl="7" w:tplc="8BCA5F00" w:tentative="1">
      <w:start w:val="1"/>
      <w:numFmt w:val="bullet"/>
      <w:lvlText w:val="–"/>
      <w:lvlJc w:val="left"/>
      <w:pPr>
        <w:tabs>
          <w:tab w:val="num" w:pos="5400"/>
        </w:tabs>
        <w:ind w:left="5400" w:hanging="360"/>
      </w:pPr>
      <w:rPr>
        <w:rFonts w:ascii="Arial" w:hAnsi="Arial" w:hint="default"/>
      </w:rPr>
    </w:lvl>
    <w:lvl w:ilvl="8" w:tplc="1478815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85368"/>
    <w:multiLevelType w:val="hybridMultilevel"/>
    <w:tmpl w:val="2B885A7C"/>
    <w:lvl w:ilvl="0" w:tplc="9BA82C58">
      <w:start w:val="1"/>
      <w:numFmt w:val="bullet"/>
      <w:lvlText w:val="–"/>
      <w:lvlJc w:val="left"/>
      <w:pPr>
        <w:tabs>
          <w:tab w:val="num" w:pos="360"/>
        </w:tabs>
        <w:ind w:left="360" w:hanging="360"/>
      </w:pPr>
      <w:rPr>
        <w:rFonts w:ascii="Arial" w:hAnsi="Arial" w:hint="default"/>
      </w:rPr>
    </w:lvl>
    <w:lvl w:ilvl="1" w:tplc="A36CEACE">
      <w:start w:val="1"/>
      <w:numFmt w:val="bullet"/>
      <w:lvlText w:val="–"/>
      <w:lvlJc w:val="left"/>
      <w:pPr>
        <w:tabs>
          <w:tab w:val="num" w:pos="1080"/>
        </w:tabs>
        <w:ind w:left="1080" w:hanging="360"/>
      </w:pPr>
      <w:rPr>
        <w:rFonts w:ascii="Arial" w:hAnsi="Arial" w:hint="default"/>
      </w:rPr>
    </w:lvl>
    <w:lvl w:ilvl="2" w:tplc="9544E79E" w:tentative="1">
      <w:start w:val="1"/>
      <w:numFmt w:val="bullet"/>
      <w:lvlText w:val="–"/>
      <w:lvlJc w:val="left"/>
      <w:pPr>
        <w:tabs>
          <w:tab w:val="num" w:pos="1800"/>
        </w:tabs>
        <w:ind w:left="1800" w:hanging="360"/>
      </w:pPr>
      <w:rPr>
        <w:rFonts w:ascii="Arial" w:hAnsi="Arial" w:hint="default"/>
      </w:rPr>
    </w:lvl>
    <w:lvl w:ilvl="3" w:tplc="4A46F344" w:tentative="1">
      <w:start w:val="1"/>
      <w:numFmt w:val="bullet"/>
      <w:lvlText w:val="–"/>
      <w:lvlJc w:val="left"/>
      <w:pPr>
        <w:tabs>
          <w:tab w:val="num" w:pos="2520"/>
        </w:tabs>
        <w:ind w:left="2520" w:hanging="360"/>
      </w:pPr>
      <w:rPr>
        <w:rFonts w:ascii="Arial" w:hAnsi="Arial" w:hint="default"/>
      </w:rPr>
    </w:lvl>
    <w:lvl w:ilvl="4" w:tplc="08CA8F8A" w:tentative="1">
      <w:start w:val="1"/>
      <w:numFmt w:val="bullet"/>
      <w:lvlText w:val="–"/>
      <w:lvlJc w:val="left"/>
      <w:pPr>
        <w:tabs>
          <w:tab w:val="num" w:pos="3240"/>
        </w:tabs>
        <w:ind w:left="3240" w:hanging="360"/>
      </w:pPr>
      <w:rPr>
        <w:rFonts w:ascii="Arial" w:hAnsi="Arial" w:hint="default"/>
      </w:rPr>
    </w:lvl>
    <w:lvl w:ilvl="5" w:tplc="15105690" w:tentative="1">
      <w:start w:val="1"/>
      <w:numFmt w:val="bullet"/>
      <w:lvlText w:val="–"/>
      <w:lvlJc w:val="left"/>
      <w:pPr>
        <w:tabs>
          <w:tab w:val="num" w:pos="3960"/>
        </w:tabs>
        <w:ind w:left="3960" w:hanging="360"/>
      </w:pPr>
      <w:rPr>
        <w:rFonts w:ascii="Arial" w:hAnsi="Arial" w:hint="default"/>
      </w:rPr>
    </w:lvl>
    <w:lvl w:ilvl="6" w:tplc="5F664C10" w:tentative="1">
      <w:start w:val="1"/>
      <w:numFmt w:val="bullet"/>
      <w:lvlText w:val="–"/>
      <w:lvlJc w:val="left"/>
      <w:pPr>
        <w:tabs>
          <w:tab w:val="num" w:pos="4680"/>
        </w:tabs>
        <w:ind w:left="4680" w:hanging="360"/>
      </w:pPr>
      <w:rPr>
        <w:rFonts w:ascii="Arial" w:hAnsi="Arial" w:hint="default"/>
      </w:rPr>
    </w:lvl>
    <w:lvl w:ilvl="7" w:tplc="8BCA5F00" w:tentative="1">
      <w:start w:val="1"/>
      <w:numFmt w:val="bullet"/>
      <w:lvlText w:val="–"/>
      <w:lvlJc w:val="left"/>
      <w:pPr>
        <w:tabs>
          <w:tab w:val="num" w:pos="5400"/>
        </w:tabs>
        <w:ind w:left="5400" w:hanging="360"/>
      </w:pPr>
      <w:rPr>
        <w:rFonts w:ascii="Arial" w:hAnsi="Arial" w:hint="default"/>
      </w:rPr>
    </w:lvl>
    <w:lvl w:ilvl="8" w:tplc="1478815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0901A5"/>
    <w:multiLevelType w:val="hybridMultilevel"/>
    <w:tmpl w:val="70526F3E"/>
    <w:lvl w:ilvl="0" w:tplc="08090011">
      <w:start w:val="1"/>
      <w:numFmt w:val="decimal"/>
      <w:lvlText w:val="%1)"/>
      <w:lvlJc w:val="left"/>
      <w:pPr>
        <w:tabs>
          <w:tab w:val="num" w:pos="360"/>
        </w:tabs>
        <w:ind w:left="360" w:hanging="360"/>
      </w:pPr>
      <w:rPr>
        <w:rFonts w:hint="default"/>
      </w:rPr>
    </w:lvl>
    <w:lvl w:ilvl="1" w:tplc="CB8098E4">
      <w:start w:val="1"/>
      <w:numFmt w:val="bullet"/>
      <w:lvlText w:val="–"/>
      <w:lvlJc w:val="left"/>
      <w:pPr>
        <w:tabs>
          <w:tab w:val="num" w:pos="1080"/>
        </w:tabs>
        <w:ind w:left="1080" w:hanging="360"/>
      </w:pPr>
      <w:rPr>
        <w:rFonts w:ascii="Arial" w:hAnsi="Arial" w:hint="default"/>
      </w:rPr>
    </w:lvl>
    <w:lvl w:ilvl="2" w:tplc="F74CC792" w:tentative="1">
      <w:start w:val="1"/>
      <w:numFmt w:val="bullet"/>
      <w:lvlText w:val="–"/>
      <w:lvlJc w:val="left"/>
      <w:pPr>
        <w:tabs>
          <w:tab w:val="num" w:pos="1800"/>
        </w:tabs>
        <w:ind w:left="1800" w:hanging="360"/>
      </w:pPr>
      <w:rPr>
        <w:rFonts w:ascii="Arial" w:hAnsi="Arial" w:hint="default"/>
      </w:rPr>
    </w:lvl>
    <w:lvl w:ilvl="3" w:tplc="C09EF282" w:tentative="1">
      <w:start w:val="1"/>
      <w:numFmt w:val="bullet"/>
      <w:lvlText w:val="–"/>
      <w:lvlJc w:val="left"/>
      <w:pPr>
        <w:tabs>
          <w:tab w:val="num" w:pos="2520"/>
        </w:tabs>
        <w:ind w:left="2520" w:hanging="360"/>
      </w:pPr>
      <w:rPr>
        <w:rFonts w:ascii="Arial" w:hAnsi="Arial" w:hint="default"/>
      </w:rPr>
    </w:lvl>
    <w:lvl w:ilvl="4" w:tplc="04BE6650" w:tentative="1">
      <w:start w:val="1"/>
      <w:numFmt w:val="bullet"/>
      <w:lvlText w:val="–"/>
      <w:lvlJc w:val="left"/>
      <w:pPr>
        <w:tabs>
          <w:tab w:val="num" w:pos="3240"/>
        </w:tabs>
        <w:ind w:left="3240" w:hanging="360"/>
      </w:pPr>
      <w:rPr>
        <w:rFonts w:ascii="Arial" w:hAnsi="Arial" w:hint="default"/>
      </w:rPr>
    </w:lvl>
    <w:lvl w:ilvl="5" w:tplc="8DA42F62" w:tentative="1">
      <w:start w:val="1"/>
      <w:numFmt w:val="bullet"/>
      <w:lvlText w:val="–"/>
      <w:lvlJc w:val="left"/>
      <w:pPr>
        <w:tabs>
          <w:tab w:val="num" w:pos="3960"/>
        </w:tabs>
        <w:ind w:left="3960" w:hanging="360"/>
      </w:pPr>
      <w:rPr>
        <w:rFonts w:ascii="Arial" w:hAnsi="Arial" w:hint="default"/>
      </w:rPr>
    </w:lvl>
    <w:lvl w:ilvl="6" w:tplc="36606D14" w:tentative="1">
      <w:start w:val="1"/>
      <w:numFmt w:val="bullet"/>
      <w:lvlText w:val="–"/>
      <w:lvlJc w:val="left"/>
      <w:pPr>
        <w:tabs>
          <w:tab w:val="num" w:pos="4680"/>
        </w:tabs>
        <w:ind w:left="4680" w:hanging="360"/>
      </w:pPr>
      <w:rPr>
        <w:rFonts w:ascii="Arial" w:hAnsi="Arial" w:hint="default"/>
      </w:rPr>
    </w:lvl>
    <w:lvl w:ilvl="7" w:tplc="25BAAD6A" w:tentative="1">
      <w:start w:val="1"/>
      <w:numFmt w:val="bullet"/>
      <w:lvlText w:val="–"/>
      <w:lvlJc w:val="left"/>
      <w:pPr>
        <w:tabs>
          <w:tab w:val="num" w:pos="5400"/>
        </w:tabs>
        <w:ind w:left="5400" w:hanging="360"/>
      </w:pPr>
      <w:rPr>
        <w:rFonts w:ascii="Arial" w:hAnsi="Arial" w:hint="default"/>
      </w:rPr>
    </w:lvl>
    <w:lvl w:ilvl="8" w:tplc="4ABA1FB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A371E3"/>
    <w:multiLevelType w:val="hybridMultilevel"/>
    <w:tmpl w:val="93443D78"/>
    <w:lvl w:ilvl="0" w:tplc="AD622930">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9A4AE2"/>
    <w:multiLevelType w:val="hybridMultilevel"/>
    <w:tmpl w:val="1ED09C06"/>
    <w:lvl w:ilvl="0" w:tplc="AD622930">
      <w:start w:val="5"/>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124A4F"/>
    <w:multiLevelType w:val="hybridMultilevel"/>
    <w:tmpl w:val="C72A2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7CF2160"/>
    <w:multiLevelType w:val="hybridMultilevel"/>
    <w:tmpl w:val="3DC88BB2"/>
    <w:lvl w:ilvl="0" w:tplc="D16CC9F2">
      <w:start w:val="1"/>
      <w:numFmt w:val="bullet"/>
      <w:lvlText w:val="–"/>
      <w:lvlJc w:val="left"/>
      <w:pPr>
        <w:tabs>
          <w:tab w:val="num" w:pos="360"/>
        </w:tabs>
        <w:ind w:left="360" w:hanging="360"/>
      </w:pPr>
      <w:rPr>
        <w:rFonts w:ascii="Arial" w:hAnsi="Arial" w:hint="default"/>
      </w:rPr>
    </w:lvl>
    <w:lvl w:ilvl="1" w:tplc="CB8098E4">
      <w:start w:val="1"/>
      <w:numFmt w:val="bullet"/>
      <w:lvlText w:val="–"/>
      <w:lvlJc w:val="left"/>
      <w:pPr>
        <w:tabs>
          <w:tab w:val="num" w:pos="1080"/>
        </w:tabs>
        <w:ind w:left="1080" w:hanging="360"/>
      </w:pPr>
      <w:rPr>
        <w:rFonts w:ascii="Arial" w:hAnsi="Arial" w:hint="default"/>
      </w:rPr>
    </w:lvl>
    <w:lvl w:ilvl="2" w:tplc="F74CC792" w:tentative="1">
      <w:start w:val="1"/>
      <w:numFmt w:val="bullet"/>
      <w:lvlText w:val="–"/>
      <w:lvlJc w:val="left"/>
      <w:pPr>
        <w:tabs>
          <w:tab w:val="num" w:pos="1800"/>
        </w:tabs>
        <w:ind w:left="1800" w:hanging="360"/>
      </w:pPr>
      <w:rPr>
        <w:rFonts w:ascii="Arial" w:hAnsi="Arial" w:hint="default"/>
      </w:rPr>
    </w:lvl>
    <w:lvl w:ilvl="3" w:tplc="C09EF282" w:tentative="1">
      <w:start w:val="1"/>
      <w:numFmt w:val="bullet"/>
      <w:lvlText w:val="–"/>
      <w:lvlJc w:val="left"/>
      <w:pPr>
        <w:tabs>
          <w:tab w:val="num" w:pos="2520"/>
        </w:tabs>
        <w:ind w:left="2520" w:hanging="360"/>
      </w:pPr>
      <w:rPr>
        <w:rFonts w:ascii="Arial" w:hAnsi="Arial" w:hint="default"/>
      </w:rPr>
    </w:lvl>
    <w:lvl w:ilvl="4" w:tplc="04BE6650" w:tentative="1">
      <w:start w:val="1"/>
      <w:numFmt w:val="bullet"/>
      <w:lvlText w:val="–"/>
      <w:lvlJc w:val="left"/>
      <w:pPr>
        <w:tabs>
          <w:tab w:val="num" w:pos="3240"/>
        </w:tabs>
        <w:ind w:left="3240" w:hanging="360"/>
      </w:pPr>
      <w:rPr>
        <w:rFonts w:ascii="Arial" w:hAnsi="Arial" w:hint="default"/>
      </w:rPr>
    </w:lvl>
    <w:lvl w:ilvl="5" w:tplc="8DA42F62" w:tentative="1">
      <w:start w:val="1"/>
      <w:numFmt w:val="bullet"/>
      <w:lvlText w:val="–"/>
      <w:lvlJc w:val="left"/>
      <w:pPr>
        <w:tabs>
          <w:tab w:val="num" w:pos="3960"/>
        </w:tabs>
        <w:ind w:left="3960" w:hanging="360"/>
      </w:pPr>
      <w:rPr>
        <w:rFonts w:ascii="Arial" w:hAnsi="Arial" w:hint="default"/>
      </w:rPr>
    </w:lvl>
    <w:lvl w:ilvl="6" w:tplc="36606D14" w:tentative="1">
      <w:start w:val="1"/>
      <w:numFmt w:val="bullet"/>
      <w:lvlText w:val="–"/>
      <w:lvlJc w:val="left"/>
      <w:pPr>
        <w:tabs>
          <w:tab w:val="num" w:pos="4680"/>
        </w:tabs>
        <w:ind w:left="4680" w:hanging="360"/>
      </w:pPr>
      <w:rPr>
        <w:rFonts w:ascii="Arial" w:hAnsi="Arial" w:hint="default"/>
      </w:rPr>
    </w:lvl>
    <w:lvl w:ilvl="7" w:tplc="25BAAD6A" w:tentative="1">
      <w:start w:val="1"/>
      <w:numFmt w:val="bullet"/>
      <w:lvlText w:val="–"/>
      <w:lvlJc w:val="left"/>
      <w:pPr>
        <w:tabs>
          <w:tab w:val="num" w:pos="5400"/>
        </w:tabs>
        <w:ind w:left="5400" w:hanging="360"/>
      </w:pPr>
      <w:rPr>
        <w:rFonts w:ascii="Arial" w:hAnsi="Arial" w:hint="default"/>
      </w:rPr>
    </w:lvl>
    <w:lvl w:ilvl="8" w:tplc="4ABA1FB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8127F5"/>
    <w:multiLevelType w:val="hybridMultilevel"/>
    <w:tmpl w:val="0074C4D0"/>
    <w:lvl w:ilvl="0" w:tplc="E2DA73FA">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EA0055"/>
    <w:multiLevelType w:val="hybridMultilevel"/>
    <w:tmpl w:val="C72A2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13"/>
  </w:num>
  <w:num w:numId="4">
    <w:abstractNumId w:val="4"/>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2"/>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num>
  <w:num w:numId="22">
    <w:abstractNumId w:val="8"/>
  </w:num>
  <w:num w:numId="23">
    <w:abstractNumId w:val="15"/>
  </w:num>
  <w:num w:numId="24">
    <w:abstractNumId w:val="20"/>
  </w:num>
  <w:num w:numId="25">
    <w:abstractNumId w:val="18"/>
  </w:num>
  <w:num w:numId="26">
    <w:abstractNumId w:val="7"/>
  </w:num>
  <w:num w:numId="27">
    <w:abstractNumId w:val="5"/>
  </w:num>
  <w:num w:numId="28">
    <w:abstractNumId w:val="1"/>
  </w:num>
  <w:num w:numId="29">
    <w:abstractNumId w:val="3"/>
  </w:num>
  <w:num w:numId="30">
    <w:abstractNumId w:val="9"/>
  </w:num>
  <w:num w:numId="31">
    <w:abstractNumId w:val="21"/>
  </w:num>
  <w:num w:numId="32">
    <w:abstractNumId w:val="12"/>
    <w:lvlOverride w:ilvl="0">
      <w:startOverride w:val="1"/>
    </w:lvlOverride>
  </w:num>
  <w:num w:numId="3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44501"/>
    <w:rsid w:val="00066DCA"/>
    <w:rsid w:val="0008612A"/>
    <w:rsid w:val="000A576C"/>
    <w:rsid w:val="000B0056"/>
    <w:rsid w:val="000D6177"/>
    <w:rsid w:val="0010671C"/>
    <w:rsid w:val="00114FF1"/>
    <w:rsid w:val="00141D43"/>
    <w:rsid w:val="00154E6B"/>
    <w:rsid w:val="0017152D"/>
    <w:rsid w:val="001745F8"/>
    <w:rsid w:val="00174E59"/>
    <w:rsid w:val="00176671"/>
    <w:rsid w:val="001778CA"/>
    <w:rsid w:val="001838CF"/>
    <w:rsid w:val="001C2F6D"/>
    <w:rsid w:val="001E30F6"/>
    <w:rsid w:val="001F6D8B"/>
    <w:rsid w:val="00224723"/>
    <w:rsid w:val="00235F5C"/>
    <w:rsid w:val="00252F4D"/>
    <w:rsid w:val="002A5EE4"/>
    <w:rsid w:val="002B4922"/>
    <w:rsid w:val="002B5C89"/>
    <w:rsid w:val="002C1B67"/>
    <w:rsid w:val="002C2D19"/>
    <w:rsid w:val="002D10FA"/>
    <w:rsid w:val="002D4C55"/>
    <w:rsid w:val="002D5CAF"/>
    <w:rsid w:val="00363CF1"/>
    <w:rsid w:val="003642C5"/>
    <w:rsid w:val="00375729"/>
    <w:rsid w:val="00387AFA"/>
    <w:rsid w:val="00387C76"/>
    <w:rsid w:val="003B659E"/>
    <w:rsid w:val="003D146D"/>
    <w:rsid w:val="003D2FB3"/>
    <w:rsid w:val="004153AD"/>
    <w:rsid w:val="00417AA0"/>
    <w:rsid w:val="00420F46"/>
    <w:rsid w:val="0043750A"/>
    <w:rsid w:val="00486C7F"/>
    <w:rsid w:val="004B7B4A"/>
    <w:rsid w:val="004E5E66"/>
    <w:rsid w:val="00503B4D"/>
    <w:rsid w:val="00504EE9"/>
    <w:rsid w:val="005433E0"/>
    <w:rsid w:val="0054442C"/>
    <w:rsid w:val="00547D15"/>
    <w:rsid w:val="00550285"/>
    <w:rsid w:val="005611CF"/>
    <w:rsid w:val="00577E81"/>
    <w:rsid w:val="0058154D"/>
    <w:rsid w:val="005836F8"/>
    <w:rsid w:val="005918FA"/>
    <w:rsid w:val="005D316A"/>
    <w:rsid w:val="005E3125"/>
    <w:rsid w:val="005E61A8"/>
    <w:rsid w:val="005F6419"/>
    <w:rsid w:val="00617400"/>
    <w:rsid w:val="006367A8"/>
    <w:rsid w:val="00664950"/>
    <w:rsid w:val="0067632B"/>
    <w:rsid w:val="00683220"/>
    <w:rsid w:val="00687FA0"/>
    <w:rsid w:val="006B7010"/>
    <w:rsid w:val="006E162D"/>
    <w:rsid w:val="006F339B"/>
    <w:rsid w:val="007145FF"/>
    <w:rsid w:val="007248BE"/>
    <w:rsid w:val="00751515"/>
    <w:rsid w:val="00785232"/>
    <w:rsid w:val="00791A4A"/>
    <w:rsid w:val="007A00AE"/>
    <w:rsid w:val="007C3ED0"/>
    <w:rsid w:val="007E2633"/>
    <w:rsid w:val="007F74BC"/>
    <w:rsid w:val="00806A76"/>
    <w:rsid w:val="00811C9D"/>
    <w:rsid w:val="00816C80"/>
    <w:rsid w:val="00841BCD"/>
    <w:rsid w:val="00861541"/>
    <w:rsid w:val="00881839"/>
    <w:rsid w:val="008826C1"/>
    <w:rsid w:val="008F1650"/>
    <w:rsid w:val="009042BD"/>
    <w:rsid w:val="009557A8"/>
    <w:rsid w:val="00977E1D"/>
    <w:rsid w:val="009958A8"/>
    <w:rsid w:val="009C003D"/>
    <w:rsid w:val="00A22B78"/>
    <w:rsid w:val="00A25AE5"/>
    <w:rsid w:val="00A36062"/>
    <w:rsid w:val="00A37002"/>
    <w:rsid w:val="00A45AD9"/>
    <w:rsid w:val="00A704F9"/>
    <w:rsid w:val="00A927EE"/>
    <w:rsid w:val="00AA1B0E"/>
    <w:rsid w:val="00AC5CA7"/>
    <w:rsid w:val="00AD58AB"/>
    <w:rsid w:val="00AE56B1"/>
    <w:rsid w:val="00B01AF2"/>
    <w:rsid w:val="00B33DCE"/>
    <w:rsid w:val="00B41802"/>
    <w:rsid w:val="00B531A7"/>
    <w:rsid w:val="00B55213"/>
    <w:rsid w:val="00B73862"/>
    <w:rsid w:val="00B96FD4"/>
    <w:rsid w:val="00BA6900"/>
    <w:rsid w:val="00BA6E48"/>
    <w:rsid w:val="00BA724E"/>
    <w:rsid w:val="00BF2218"/>
    <w:rsid w:val="00C41C1F"/>
    <w:rsid w:val="00C432AB"/>
    <w:rsid w:val="00C8187B"/>
    <w:rsid w:val="00C94120"/>
    <w:rsid w:val="00CD7492"/>
    <w:rsid w:val="00CE3A6B"/>
    <w:rsid w:val="00CF6464"/>
    <w:rsid w:val="00D00211"/>
    <w:rsid w:val="00D06309"/>
    <w:rsid w:val="00D27872"/>
    <w:rsid w:val="00D351EA"/>
    <w:rsid w:val="00D43403"/>
    <w:rsid w:val="00D47803"/>
    <w:rsid w:val="00D62E71"/>
    <w:rsid w:val="00D740CA"/>
    <w:rsid w:val="00D85728"/>
    <w:rsid w:val="00D97F4E"/>
    <w:rsid w:val="00DA2EF9"/>
    <w:rsid w:val="00DD555A"/>
    <w:rsid w:val="00DE61A3"/>
    <w:rsid w:val="00DF2997"/>
    <w:rsid w:val="00E07937"/>
    <w:rsid w:val="00E47E39"/>
    <w:rsid w:val="00E667A3"/>
    <w:rsid w:val="00EA17AC"/>
    <w:rsid w:val="00EC7BC3"/>
    <w:rsid w:val="00ED7600"/>
    <w:rsid w:val="00EF2A70"/>
    <w:rsid w:val="00F0520D"/>
    <w:rsid w:val="00F075BA"/>
    <w:rsid w:val="00F1307A"/>
    <w:rsid w:val="00F1362C"/>
    <w:rsid w:val="00F16595"/>
    <w:rsid w:val="00F32A54"/>
    <w:rsid w:val="00F824F5"/>
    <w:rsid w:val="00FB0C83"/>
    <w:rsid w:val="00FB5F77"/>
    <w:rsid w:val="00FC29B9"/>
    <w:rsid w:val="00FC6FD3"/>
    <w:rsid w:val="00FE0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rsid w:val="00E667A3"/>
    <w:rPr>
      <w:sz w:val="16"/>
    </w:rPr>
  </w:style>
  <w:style w:type="paragraph" w:styleId="CommentText">
    <w:name w:val="annotation text"/>
    <w:basedOn w:val="Normal"/>
    <w:link w:val="CommentTextChar"/>
    <w:semiHidden/>
    <w:rsid w:val="00E667A3"/>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semiHidden/>
    <w:rsid w:val="00E667A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286256">
      <w:bodyDiv w:val="1"/>
      <w:marLeft w:val="0"/>
      <w:marRight w:val="0"/>
      <w:marTop w:val="0"/>
      <w:marBottom w:val="0"/>
      <w:divBdr>
        <w:top w:val="none" w:sz="0" w:space="0" w:color="auto"/>
        <w:left w:val="none" w:sz="0" w:space="0" w:color="auto"/>
        <w:bottom w:val="none" w:sz="0" w:space="0" w:color="auto"/>
        <w:right w:val="none" w:sz="0" w:space="0" w:color="auto"/>
      </w:divBdr>
      <w:divsChild>
        <w:div w:id="1167136090">
          <w:marLeft w:val="1166"/>
          <w:marRight w:val="0"/>
          <w:marTop w:val="134"/>
          <w:marBottom w:val="0"/>
          <w:divBdr>
            <w:top w:val="none" w:sz="0" w:space="0" w:color="auto"/>
            <w:left w:val="none" w:sz="0" w:space="0" w:color="auto"/>
            <w:bottom w:val="none" w:sz="0" w:space="0" w:color="auto"/>
            <w:right w:val="none" w:sz="0" w:space="0" w:color="auto"/>
          </w:divBdr>
        </w:div>
        <w:div w:id="965500885">
          <w:marLeft w:val="1166"/>
          <w:marRight w:val="0"/>
          <w:marTop w:val="134"/>
          <w:marBottom w:val="0"/>
          <w:divBdr>
            <w:top w:val="none" w:sz="0" w:space="0" w:color="auto"/>
            <w:left w:val="none" w:sz="0" w:space="0" w:color="auto"/>
            <w:bottom w:val="none" w:sz="0" w:space="0" w:color="auto"/>
            <w:right w:val="none" w:sz="0" w:space="0" w:color="auto"/>
          </w:divBdr>
        </w:div>
        <w:div w:id="217320351">
          <w:marLeft w:val="1166"/>
          <w:marRight w:val="0"/>
          <w:marTop w:val="134"/>
          <w:marBottom w:val="0"/>
          <w:divBdr>
            <w:top w:val="none" w:sz="0" w:space="0" w:color="auto"/>
            <w:left w:val="none" w:sz="0" w:space="0" w:color="auto"/>
            <w:bottom w:val="none" w:sz="0" w:space="0" w:color="auto"/>
            <w:right w:val="none" w:sz="0" w:space="0" w:color="auto"/>
          </w:divBdr>
        </w:div>
      </w:divsChild>
    </w:div>
    <w:div w:id="1714454210">
      <w:bodyDiv w:val="1"/>
      <w:marLeft w:val="0"/>
      <w:marRight w:val="0"/>
      <w:marTop w:val="0"/>
      <w:marBottom w:val="0"/>
      <w:divBdr>
        <w:top w:val="none" w:sz="0" w:space="0" w:color="auto"/>
        <w:left w:val="none" w:sz="0" w:space="0" w:color="auto"/>
        <w:bottom w:val="none" w:sz="0" w:space="0" w:color="auto"/>
        <w:right w:val="none" w:sz="0" w:space="0" w:color="auto"/>
      </w:divBdr>
      <w:divsChild>
        <w:div w:id="670639801">
          <w:marLeft w:val="1166"/>
          <w:marRight w:val="0"/>
          <w:marTop w:val="134"/>
          <w:marBottom w:val="0"/>
          <w:divBdr>
            <w:top w:val="none" w:sz="0" w:space="0" w:color="auto"/>
            <w:left w:val="none" w:sz="0" w:space="0" w:color="auto"/>
            <w:bottom w:val="none" w:sz="0" w:space="0" w:color="auto"/>
            <w:right w:val="none" w:sz="0" w:space="0" w:color="auto"/>
          </w:divBdr>
        </w:div>
        <w:div w:id="273488321">
          <w:marLeft w:val="1166"/>
          <w:marRight w:val="0"/>
          <w:marTop w:val="134"/>
          <w:marBottom w:val="0"/>
          <w:divBdr>
            <w:top w:val="none" w:sz="0" w:space="0" w:color="auto"/>
            <w:left w:val="none" w:sz="0" w:space="0" w:color="auto"/>
            <w:bottom w:val="none" w:sz="0" w:space="0" w:color="auto"/>
            <w:right w:val="none" w:sz="0" w:space="0" w:color="auto"/>
          </w:divBdr>
        </w:div>
        <w:div w:id="744959734">
          <w:marLeft w:val="1166"/>
          <w:marRight w:val="0"/>
          <w:marTop w:val="134"/>
          <w:marBottom w:val="0"/>
          <w:divBdr>
            <w:top w:val="none" w:sz="0" w:space="0" w:color="auto"/>
            <w:left w:val="none" w:sz="0" w:space="0" w:color="auto"/>
            <w:bottom w:val="none" w:sz="0" w:space="0" w:color="auto"/>
            <w:right w:val="none" w:sz="0" w:space="0" w:color="auto"/>
          </w:divBdr>
        </w:div>
        <w:div w:id="43525578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C7AA6-7BE3-473B-9BDD-F646A4E315F3}">
  <ds:schemaRefs>
    <ds:schemaRef ds:uri="http://schemas.microsoft.com/sharepoint/events"/>
  </ds:schemaRefs>
</ds:datastoreItem>
</file>

<file path=customXml/itemProps2.xml><?xml version="1.0" encoding="utf-8"?>
<ds:datastoreItem xmlns:ds="http://schemas.openxmlformats.org/officeDocument/2006/customXml" ds:itemID="{4EFA209D-6433-4EA5-B9AE-A5A74C1C7BE4}">
  <ds:schemaRefs>
    <ds:schemaRef ds:uri="http://schemas.microsoft.com/sharepoint/v3/contenttype/forms"/>
  </ds:schemaRefs>
</ds:datastoreItem>
</file>

<file path=customXml/itemProps3.xml><?xml version="1.0" encoding="utf-8"?>
<ds:datastoreItem xmlns:ds="http://schemas.openxmlformats.org/officeDocument/2006/customXml" ds:itemID="{462767D4-F3C8-46D0-94E9-003E1B2585C1}">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06551DFC-872A-468B-A982-DCCF365D9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954C31-8916-4B92-8385-899685E7D27F}">
  <ds:schemaRefs>
    <ds:schemaRef ds:uri="Microsoft.SharePoint.Taxonomy.ContentTypeSync"/>
  </ds:schemaRefs>
</ds:datastoreItem>
</file>

<file path=customXml/itemProps6.xml><?xml version="1.0" encoding="utf-8"?>
<ds:datastoreItem xmlns:ds="http://schemas.openxmlformats.org/officeDocument/2006/customXml" ds:itemID="{44D2C4A6-1258-46E2-9494-2FE425F6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3258</Words>
  <Characters>18573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2020-05-15T17:57:00Z</dcterms:created>
  <dcterms:modified xsi:type="dcterms:W3CDTF">2020-05-15T17:57:00Z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