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508A7F38" w:rsidR="00522F4F" w:rsidRPr="00965597" w:rsidRDefault="00522F4F" w:rsidP="00522F4F">
      <w:pPr>
        <w:pStyle w:val="3GPPHeader"/>
        <w:spacing w:after="0"/>
        <w:jc w:val="both"/>
        <w:rPr>
          <w:sz w:val="32"/>
          <w:szCs w:val="32"/>
          <w:highlight w:val="yellow"/>
        </w:rPr>
      </w:pPr>
      <w:r w:rsidRPr="009405FE">
        <w:rPr>
          <w:sz w:val="28"/>
        </w:rPr>
        <w:t>3GPP TSG-RAN WG1 Meeting #</w:t>
      </w:r>
      <w:r w:rsidR="001B4FAA">
        <w:rPr>
          <w:sz w:val="28"/>
        </w:rPr>
        <w:t>95</w:t>
      </w:r>
      <w:r w:rsidRPr="00965597">
        <w:tab/>
      </w:r>
      <w:r w:rsidR="00C81571">
        <w:t xml:space="preserve">  </w:t>
      </w:r>
      <w:r w:rsidR="002F634C">
        <w:t xml:space="preserve">           </w:t>
      </w:r>
      <w:r w:rsidR="00265C43">
        <w:t xml:space="preserve">  </w:t>
      </w:r>
      <w:r w:rsidRPr="00965597">
        <w:rPr>
          <w:sz w:val="32"/>
          <w:szCs w:val="32"/>
        </w:rPr>
        <w:t>R</w:t>
      </w:r>
      <w:r w:rsidR="001B4FAA">
        <w:rPr>
          <w:sz w:val="32"/>
          <w:szCs w:val="32"/>
        </w:rPr>
        <w:t>4</w:t>
      </w:r>
      <w:r w:rsidRPr="00965597">
        <w:rPr>
          <w:sz w:val="32"/>
          <w:szCs w:val="32"/>
        </w:rPr>
        <w:t>-</w:t>
      </w:r>
      <w:r>
        <w:rPr>
          <w:sz w:val="32"/>
          <w:szCs w:val="32"/>
        </w:rPr>
        <w:t>20</w:t>
      </w:r>
      <w:r w:rsidR="00F35F47">
        <w:rPr>
          <w:sz w:val="32"/>
          <w:szCs w:val="32"/>
        </w:rPr>
        <w:t>0</w:t>
      </w:r>
      <w:r w:rsidR="00BC57D9">
        <w:rPr>
          <w:sz w:val="32"/>
          <w:szCs w:val="32"/>
        </w:rPr>
        <w:t>6657</w:t>
      </w:r>
    </w:p>
    <w:p w14:paraId="7101F9DF" w14:textId="13C5F7D7" w:rsidR="00522F4F" w:rsidRPr="009405FE" w:rsidRDefault="00522F4F" w:rsidP="00522F4F">
      <w:pPr>
        <w:pStyle w:val="3GPPHeader"/>
        <w:jc w:val="both"/>
        <w:rPr>
          <w:sz w:val="28"/>
        </w:rPr>
      </w:pPr>
      <w:r w:rsidRPr="005A5812">
        <w:rPr>
          <w:sz w:val="28"/>
        </w:rPr>
        <w:t xml:space="preserve">e-Meeting, </w:t>
      </w:r>
      <w:r w:rsidR="00905914">
        <w:rPr>
          <w:sz w:val="28"/>
        </w:rPr>
        <w:t>May</w:t>
      </w:r>
      <w:r w:rsidRPr="005A5812">
        <w:rPr>
          <w:sz w:val="28"/>
        </w:rPr>
        <w:t xml:space="preserve"> 2</w:t>
      </w:r>
      <w:r w:rsidR="00905914">
        <w:rPr>
          <w:sz w:val="28"/>
        </w:rPr>
        <w:t>5</w:t>
      </w:r>
      <w:r w:rsidRPr="005A5812">
        <w:rPr>
          <w:sz w:val="28"/>
          <w:vertAlign w:val="superscript"/>
        </w:rPr>
        <w:t>th</w:t>
      </w:r>
      <w:r w:rsidRPr="005A5812">
        <w:rPr>
          <w:sz w:val="28"/>
        </w:rPr>
        <w:t xml:space="preserve"> – </w:t>
      </w:r>
      <w:r w:rsidR="00905914">
        <w:rPr>
          <w:sz w:val="28"/>
        </w:rPr>
        <w:t>June 5</w:t>
      </w:r>
      <w:r w:rsidRPr="005A5812">
        <w:rPr>
          <w:sz w:val="28"/>
          <w:vertAlign w:val="superscript"/>
        </w:rPr>
        <w:t>th</w:t>
      </w:r>
      <w:r w:rsidRPr="005A5812">
        <w:rPr>
          <w:sz w:val="28"/>
        </w:rPr>
        <w:t>, 2020</w:t>
      </w:r>
    </w:p>
    <w:p w14:paraId="0A262637" w14:textId="236D8FC9" w:rsidR="0060603E" w:rsidRPr="00212204" w:rsidRDefault="0060603E" w:rsidP="00A537B2">
      <w:pPr>
        <w:ind w:left="1800" w:hanging="1800"/>
        <w:rPr>
          <w:b/>
        </w:rPr>
      </w:pPr>
      <w:r w:rsidRPr="00212204">
        <w:rPr>
          <w:b/>
        </w:rPr>
        <w:t>Agenda Item:</w:t>
      </w:r>
      <w:r w:rsidRPr="00212204">
        <w:tab/>
      </w:r>
      <w:bookmarkStart w:id="0" w:name="Source"/>
      <w:bookmarkEnd w:id="0"/>
      <w:r w:rsidR="001B4FAA">
        <w:rPr>
          <w:b/>
        </w:rPr>
        <w:t>6</w:t>
      </w:r>
      <w:r w:rsidR="00885004">
        <w:rPr>
          <w:b/>
        </w:rPr>
        <w:t>.</w:t>
      </w:r>
      <w:r w:rsidR="001B4FAA">
        <w:rPr>
          <w:b/>
        </w:rPr>
        <w:t>5</w:t>
      </w:r>
      <w:r w:rsidR="00660BEF">
        <w:rPr>
          <w:b/>
        </w:rPr>
        <w:t>.</w:t>
      </w:r>
      <w:r w:rsidR="003A6BA4">
        <w:rPr>
          <w:b/>
        </w:rPr>
        <w:t>1.</w:t>
      </w:r>
      <w:r w:rsidR="00522F4F">
        <w:rPr>
          <w:b/>
        </w:rPr>
        <w:t>3</w:t>
      </w:r>
    </w:p>
    <w:p w14:paraId="7494BB2F" w14:textId="65162EF8" w:rsidR="00CE0C9D" w:rsidRPr="00212204" w:rsidRDefault="0060603E" w:rsidP="002D479B">
      <w:pPr>
        <w:ind w:left="1800" w:hanging="1800"/>
      </w:pPr>
      <w:r w:rsidRPr="00212204">
        <w:rPr>
          <w:b/>
        </w:rPr>
        <w:t>Source:</w:t>
      </w:r>
      <w:r w:rsidRPr="00212204">
        <w:rPr>
          <w:b/>
        </w:rPr>
        <w:tab/>
      </w:r>
      <w:r w:rsidR="00AB7FC6" w:rsidRPr="00212204">
        <w:rPr>
          <w:b/>
        </w:rPr>
        <w:t>AT&amp;T</w:t>
      </w:r>
    </w:p>
    <w:p w14:paraId="08DDE48D" w14:textId="7EFB5D94" w:rsidR="007A0780" w:rsidRDefault="0060603E" w:rsidP="00326FF6">
      <w:pPr>
        <w:ind w:left="1800" w:hanging="1800"/>
        <w:rPr>
          <w:b/>
        </w:rPr>
      </w:pPr>
      <w:r w:rsidRPr="00212204">
        <w:rPr>
          <w:b/>
        </w:rPr>
        <w:t>Title:</w:t>
      </w:r>
      <w:r w:rsidR="002D479B" w:rsidRPr="00212204">
        <w:tab/>
      </w:r>
      <w:r w:rsidR="00905914" w:rsidRPr="00905914">
        <w:rPr>
          <w:b/>
        </w:rPr>
        <w:t>Support of Rel-15 UE features by IAB-MTs</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1" w:name="DocumentFor"/>
      <w:bookmarkEnd w:id="1"/>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62275617" w:rsidR="0051424F" w:rsidRDefault="003327F3" w:rsidP="003327F3">
      <w:pPr>
        <w:pStyle w:val="BodyText"/>
      </w:pPr>
      <w:r>
        <w:t xml:space="preserve">This contribution </w:t>
      </w:r>
      <w:r w:rsidR="000F5260">
        <w:t xml:space="preserve">discusses </w:t>
      </w:r>
      <w:r w:rsidR="00222BA5">
        <w:t xml:space="preserve">the </w:t>
      </w:r>
      <w:r w:rsidR="00905914">
        <w:t>support of Rel-15 UE features by</w:t>
      </w:r>
      <w:r w:rsidR="00222BA5">
        <w:t xml:space="preserve"> IAB-MT</w:t>
      </w:r>
      <w:r w:rsidR="00905914">
        <w:t>s</w:t>
      </w:r>
      <w:r w:rsidR="00522F4F">
        <w:t>.</w:t>
      </w:r>
    </w:p>
    <w:p w14:paraId="3CB3D93D" w14:textId="77777777" w:rsidR="00DE0E10" w:rsidRPr="00F4616A" w:rsidRDefault="00DE0E10" w:rsidP="00DE0E10">
      <w:pPr>
        <w:rPr>
          <w:rFonts w:ascii="Calibri" w:eastAsia="Malgun Gothic" w:hAnsi="Calibri" w:cs="Batang"/>
          <w:lang w:val="en-GB" w:eastAsia="ko-KR"/>
        </w:rPr>
      </w:pPr>
    </w:p>
    <w:p w14:paraId="23B2B195" w14:textId="5A25528D" w:rsidR="002C3890" w:rsidRPr="00172743" w:rsidRDefault="002C3890" w:rsidP="002C3890">
      <w:pPr>
        <w:pStyle w:val="Heading1"/>
      </w:pPr>
      <w:r>
        <w:t>Mandatory IAB-MT Features</w:t>
      </w:r>
    </w:p>
    <w:p w14:paraId="75DAA0C2" w14:textId="7535D5CC" w:rsidR="002C3890" w:rsidRDefault="002C3890" w:rsidP="002C3890">
      <w:pPr>
        <w:rPr>
          <w:rFonts w:eastAsia="MS Mincho"/>
          <w:sz w:val="22"/>
          <w:szCs w:val="22"/>
        </w:rPr>
      </w:pPr>
      <w:r w:rsidRPr="002C3890">
        <w:rPr>
          <w:rFonts w:ascii="Calibri" w:eastAsia="Calibri" w:hAnsi="Calibri"/>
          <w:sz w:val="22"/>
          <w:szCs w:val="22"/>
        </w:rPr>
        <w:t>During RAN#87e the following agreements were reached:</w:t>
      </w:r>
    </w:p>
    <w:p w14:paraId="5F5624E4" w14:textId="77777777" w:rsidR="002C3890" w:rsidRDefault="002C3890" w:rsidP="002C3890">
      <w:pPr>
        <w:pStyle w:val="ListParagraph"/>
        <w:numPr>
          <w:ilvl w:val="0"/>
          <w:numId w:val="39"/>
        </w:numPr>
        <w:wordWrap w:val="0"/>
        <w:spacing w:before="100" w:beforeAutospacing="1" w:after="100" w:afterAutospacing="1"/>
        <w:contextualSpacing w:val="0"/>
        <w:jc w:val="left"/>
        <w:rPr>
          <w:rFonts w:ascii="Calibri" w:hAnsi="Calibri" w:cs="Calibri"/>
          <w:color w:val="17375E"/>
          <w:sz w:val="22"/>
          <w:szCs w:val="22"/>
        </w:rPr>
      </w:pPr>
      <w:r>
        <w:rPr>
          <w:rFonts w:ascii="Calibri" w:hAnsi="Calibri" w:cs="Calibri"/>
          <w:color w:val="17375E"/>
          <w:sz w:val="22"/>
          <w:szCs w:val="22"/>
        </w:rPr>
        <w:t>RAN WGs to investigate which of the mandatory Rel-15 UE features (as defined in TR 38.822) can be optional for basic operation of (and if found useful, for different classes of IAB-MTs as defined by RAN4).</w:t>
      </w:r>
    </w:p>
    <w:p w14:paraId="06D226C2" w14:textId="77777777" w:rsidR="002C3890" w:rsidRDefault="002C3890" w:rsidP="002C3890">
      <w:pPr>
        <w:pStyle w:val="ListParagraph"/>
        <w:numPr>
          <w:ilvl w:val="0"/>
          <w:numId w:val="39"/>
        </w:numPr>
        <w:wordWrap w:val="0"/>
        <w:spacing w:before="100" w:beforeAutospacing="1" w:after="100" w:afterAutospacing="1"/>
        <w:contextualSpacing w:val="0"/>
        <w:jc w:val="left"/>
        <w:rPr>
          <w:rFonts w:ascii="Calibri" w:hAnsi="Calibri" w:cs="Calibri"/>
          <w:color w:val="17375E"/>
          <w:sz w:val="22"/>
          <w:szCs w:val="22"/>
        </w:rPr>
      </w:pPr>
      <w:r>
        <w:rPr>
          <w:rFonts w:ascii="Calibri" w:hAnsi="Calibri" w:cs="Calibri"/>
          <w:color w:val="17375E"/>
          <w:sz w:val="22"/>
          <w:szCs w:val="22"/>
        </w:rPr>
        <w:t>RAN WGs should strive to minimize specification impact.</w:t>
      </w:r>
    </w:p>
    <w:p w14:paraId="215DD7EF" w14:textId="34EEE94B" w:rsidR="008E05AA" w:rsidRDefault="008E05AA" w:rsidP="002C3890">
      <w:pPr>
        <w:rPr>
          <w:rFonts w:ascii="Calibri" w:eastAsia="Calibri" w:hAnsi="Calibri"/>
          <w:sz w:val="22"/>
          <w:szCs w:val="22"/>
        </w:rPr>
      </w:pPr>
      <w:r>
        <w:rPr>
          <w:rFonts w:ascii="Calibri" w:eastAsia="Calibri" w:hAnsi="Calibri"/>
          <w:sz w:val="22"/>
          <w:szCs w:val="22"/>
        </w:rPr>
        <w:t>This section discusses the mandatory/optional support for Rel-15 RF/RRM UE features for IAB-MTs.</w:t>
      </w:r>
      <w:r w:rsidR="001B4FAA">
        <w:rPr>
          <w:rFonts w:ascii="Calibri" w:eastAsia="Calibri" w:hAnsi="Calibri"/>
          <w:sz w:val="22"/>
          <w:szCs w:val="22"/>
        </w:rPr>
        <w:t xml:space="preserve"> Specifically focusing on the following features:</w:t>
      </w:r>
    </w:p>
    <w:p w14:paraId="4C78B20B" w14:textId="4D533AFE" w:rsidR="001B4FAA" w:rsidRDefault="001B4FAA" w:rsidP="002C3890">
      <w:pPr>
        <w:rPr>
          <w:rFonts w:ascii="Calibri" w:eastAsia="Calibri" w:hAnsi="Calibri"/>
          <w:sz w:val="22"/>
          <w:szCs w:val="22"/>
        </w:rPr>
      </w:pPr>
    </w:p>
    <w:p w14:paraId="34FDA58E" w14:textId="77777777" w:rsidR="001B4FAA" w:rsidRDefault="001B4FAA" w:rsidP="001B4FAA">
      <w:pPr>
        <w:rPr>
          <w:rFonts w:ascii="Calibri" w:eastAsia="Calibri" w:hAnsi="Calibri"/>
          <w:sz w:val="22"/>
          <w:szCs w:val="22"/>
        </w:rPr>
      </w:pPr>
    </w:p>
    <w:tbl>
      <w:tblPr>
        <w:tblW w:w="6660" w:type="dxa"/>
        <w:jc w:val="center"/>
        <w:tblCellMar>
          <w:left w:w="0" w:type="dxa"/>
          <w:right w:w="0" w:type="dxa"/>
        </w:tblCellMar>
        <w:tblLook w:val="04A0" w:firstRow="1" w:lastRow="0" w:firstColumn="1" w:lastColumn="0" w:noHBand="0" w:noVBand="1"/>
      </w:tblPr>
      <w:tblGrid>
        <w:gridCol w:w="1700"/>
        <w:gridCol w:w="4960"/>
      </w:tblGrid>
      <w:tr w:rsidR="001B4FAA" w:rsidRPr="000D1328" w14:paraId="6188F42C" w14:textId="77777777" w:rsidTr="00093F9F">
        <w:trPr>
          <w:trHeight w:val="869"/>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1C50B16" w14:textId="77777777" w:rsidR="001B4FAA" w:rsidRPr="000D1328" w:rsidRDefault="001B4FAA" w:rsidP="00093F9F">
            <w:pPr>
              <w:rPr>
                <w:rFonts w:ascii="Calibri" w:eastAsia="Calibri" w:hAnsi="Calibri"/>
                <w:sz w:val="22"/>
                <w:szCs w:val="22"/>
              </w:rPr>
            </w:pPr>
            <w:r w:rsidRPr="000D1328">
              <w:rPr>
                <w:rFonts w:ascii="Calibri" w:eastAsia="Calibri" w:hAnsi="Calibri"/>
                <w:b/>
                <w:bCs/>
                <w:sz w:val="22"/>
                <w:szCs w:val="22"/>
              </w:rPr>
              <w:t>Feature group</w:t>
            </w:r>
          </w:p>
        </w:tc>
        <w:tc>
          <w:tcPr>
            <w:tcW w:w="49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F46FDF1" w14:textId="77777777" w:rsidR="001B4FAA" w:rsidRPr="000D1328" w:rsidRDefault="001B4FAA" w:rsidP="00093F9F">
            <w:pPr>
              <w:rPr>
                <w:rFonts w:ascii="Calibri" w:eastAsia="Calibri" w:hAnsi="Calibri"/>
                <w:sz w:val="22"/>
                <w:szCs w:val="22"/>
              </w:rPr>
            </w:pPr>
            <w:r w:rsidRPr="000D1328">
              <w:rPr>
                <w:rFonts w:ascii="Calibri" w:eastAsia="Calibri" w:hAnsi="Calibri"/>
                <w:b/>
                <w:bCs/>
                <w:sz w:val="22"/>
                <w:szCs w:val="22"/>
              </w:rPr>
              <w:t>Component</w:t>
            </w:r>
          </w:p>
        </w:tc>
      </w:tr>
      <w:tr w:rsidR="001B4FAA" w:rsidRPr="000D1328" w14:paraId="74B76F84" w14:textId="77777777" w:rsidTr="00093F9F">
        <w:trPr>
          <w:trHeight w:val="435"/>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E0C22DC" w14:textId="77777777" w:rsidR="001B4FAA" w:rsidRPr="000D1328" w:rsidRDefault="001B4FAA" w:rsidP="00093F9F">
            <w:pPr>
              <w:rPr>
                <w:rFonts w:ascii="Calibri" w:eastAsia="Calibri" w:hAnsi="Calibri"/>
                <w:sz w:val="22"/>
                <w:szCs w:val="22"/>
              </w:rPr>
            </w:pPr>
            <w:r w:rsidRPr="000D1328">
              <w:rPr>
                <w:rFonts w:ascii="Calibri" w:eastAsia="Calibri" w:hAnsi="Calibri"/>
                <w:b/>
                <w:bCs/>
                <w:sz w:val="22"/>
                <w:szCs w:val="22"/>
              </w:rPr>
              <w:t>1-2</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2A23AD3" w14:textId="77777777" w:rsidR="001B4FAA" w:rsidRPr="000D1328" w:rsidRDefault="001B4FAA" w:rsidP="00093F9F">
            <w:pPr>
              <w:rPr>
                <w:rFonts w:ascii="Calibri" w:eastAsia="Calibri" w:hAnsi="Calibri"/>
                <w:sz w:val="22"/>
                <w:szCs w:val="22"/>
              </w:rPr>
            </w:pPr>
            <w:r w:rsidRPr="000D1328">
              <w:rPr>
                <w:rFonts w:ascii="Calibri" w:eastAsia="Calibri" w:hAnsi="Calibri"/>
                <w:sz w:val="22"/>
                <w:szCs w:val="22"/>
              </w:rPr>
              <w:t>64QAM modulation for FR2 PDSCH</w:t>
            </w:r>
          </w:p>
        </w:tc>
      </w:tr>
      <w:tr w:rsidR="001B4FAA" w:rsidRPr="000D1328" w14:paraId="6C8456CE" w14:textId="77777777" w:rsidTr="00093F9F">
        <w:trPr>
          <w:trHeight w:val="869"/>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C3E0401" w14:textId="77777777" w:rsidR="001B4FAA" w:rsidRPr="000D1328" w:rsidRDefault="001B4FAA" w:rsidP="00093F9F">
            <w:pPr>
              <w:rPr>
                <w:rFonts w:ascii="Calibri" w:eastAsia="Calibri" w:hAnsi="Calibri"/>
                <w:sz w:val="22"/>
                <w:szCs w:val="22"/>
              </w:rPr>
            </w:pPr>
            <w:r w:rsidRPr="000D1328">
              <w:rPr>
                <w:rFonts w:ascii="Calibri" w:eastAsia="Calibri" w:hAnsi="Calibri"/>
                <w:b/>
                <w:bCs/>
                <w:sz w:val="22"/>
                <w:szCs w:val="22"/>
              </w:rPr>
              <w:t>1-3</w:t>
            </w:r>
          </w:p>
        </w:tc>
        <w:tc>
          <w:tcPr>
            <w:tcW w:w="49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22C6751" w14:textId="77777777" w:rsidR="001B4FAA" w:rsidRPr="000D1328" w:rsidRDefault="001B4FAA" w:rsidP="00093F9F">
            <w:pPr>
              <w:rPr>
                <w:rFonts w:ascii="Calibri" w:eastAsia="Calibri" w:hAnsi="Calibri"/>
                <w:sz w:val="22"/>
                <w:szCs w:val="22"/>
              </w:rPr>
            </w:pPr>
            <w:r w:rsidRPr="000D1328">
              <w:rPr>
                <w:rFonts w:ascii="Calibri" w:eastAsia="Calibri" w:hAnsi="Calibri"/>
                <w:sz w:val="22"/>
                <w:szCs w:val="22"/>
              </w:rPr>
              <w:t>64QAM for PUSCH</w:t>
            </w:r>
          </w:p>
        </w:tc>
      </w:tr>
      <w:tr w:rsidR="001B4FAA" w:rsidRPr="000D1328" w14:paraId="05D2458F" w14:textId="77777777" w:rsidTr="00093F9F">
        <w:trPr>
          <w:trHeight w:val="66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C030882" w14:textId="77777777" w:rsidR="001B4FAA" w:rsidRPr="000D1328" w:rsidRDefault="001B4FAA" w:rsidP="00093F9F">
            <w:pPr>
              <w:rPr>
                <w:rFonts w:ascii="Calibri" w:eastAsia="Calibri" w:hAnsi="Calibri"/>
                <w:sz w:val="22"/>
                <w:szCs w:val="22"/>
              </w:rPr>
            </w:pPr>
            <w:r w:rsidRPr="000D1328">
              <w:rPr>
                <w:rFonts w:ascii="Calibri" w:eastAsia="Calibri" w:hAnsi="Calibri"/>
                <w:b/>
                <w:bCs/>
                <w:sz w:val="22"/>
                <w:szCs w:val="22"/>
              </w:rPr>
              <w:t>1-4</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B6A3DD2" w14:textId="77777777" w:rsidR="001B4FAA" w:rsidRPr="000D1328" w:rsidRDefault="001B4FAA" w:rsidP="00093F9F">
            <w:pPr>
              <w:rPr>
                <w:rFonts w:ascii="Calibri" w:eastAsia="Calibri" w:hAnsi="Calibri"/>
                <w:sz w:val="22"/>
                <w:szCs w:val="22"/>
              </w:rPr>
            </w:pPr>
            <w:r w:rsidRPr="000D1328">
              <w:rPr>
                <w:rFonts w:ascii="Calibri" w:eastAsia="Calibri" w:hAnsi="Calibri"/>
                <w:sz w:val="22"/>
                <w:szCs w:val="22"/>
              </w:rPr>
              <w:t>256QAM for PDSCH</w:t>
            </w:r>
          </w:p>
        </w:tc>
      </w:tr>
      <w:tr w:rsidR="001B4FAA" w:rsidRPr="000D1328" w14:paraId="358A6A6B" w14:textId="77777777" w:rsidTr="00093F9F">
        <w:trPr>
          <w:trHeight w:val="66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EC32F20" w14:textId="77777777" w:rsidR="001B4FAA" w:rsidRPr="000D1328" w:rsidRDefault="001B4FAA" w:rsidP="00093F9F">
            <w:pPr>
              <w:rPr>
                <w:rFonts w:ascii="Calibri" w:eastAsia="Calibri" w:hAnsi="Calibri"/>
                <w:b/>
                <w:bCs/>
                <w:sz w:val="22"/>
                <w:szCs w:val="22"/>
              </w:rPr>
            </w:pPr>
            <w:r w:rsidRPr="000D1328">
              <w:rPr>
                <w:rFonts w:ascii="Calibri" w:eastAsia="Calibri" w:hAnsi="Calibri"/>
                <w:b/>
                <w:bCs/>
                <w:sz w:val="22"/>
                <w:szCs w:val="22"/>
              </w:rPr>
              <w:t>1-6</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F3D6F6" w14:textId="77777777" w:rsidR="001B4FAA" w:rsidRPr="000D1328" w:rsidRDefault="001B4FAA" w:rsidP="00093F9F">
            <w:pPr>
              <w:rPr>
                <w:rFonts w:ascii="Calibri" w:eastAsia="Calibri" w:hAnsi="Calibri"/>
                <w:sz w:val="22"/>
                <w:szCs w:val="22"/>
              </w:rPr>
            </w:pPr>
            <w:r w:rsidRPr="000D1328">
              <w:rPr>
                <w:rFonts w:ascii="Calibri" w:eastAsia="Calibri" w:hAnsi="Calibri"/>
                <w:sz w:val="22"/>
                <w:szCs w:val="22"/>
              </w:rPr>
              <w:t>pi/2-BPSK for PUSCH</w:t>
            </w:r>
          </w:p>
        </w:tc>
      </w:tr>
      <w:tr w:rsidR="001B4FAA" w:rsidRPr="000D1328" w14:paraId="0A2D2CD6" w14:textId="77777777" w:rsidTr="00093F9F">
        <w:trPr>
          <w:trHeight w:val="66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A21568D" w14:textId="77777777" w:rsidR="001B4FAA" w:rsidRPr="000D1328" w:rsidRDefault="001B4FAA" w:rsidP="00093F9F">
            <w:pPr>
              <w:rPr>
                <w:rFonts w:ascii="Calibri" w:eastAsia="Calibri" w:hAnsi="Calibri"/>
                <w:b/>
                <w:bCs/>
                <w:sz w:val="22"/>
                <w:szCs w:val="22"/>
              </w:rPr>
            </w:pPr>
            <w:r w:rsidRPr="000D1328">
              <w:rPr>
                <w:rFonts w:ascii="Calibri" w:eastAsia="Calibri" w:hAnsi="Calibri"/>
                <w:b/>
                <w:bCs/>
                <w:sz w:val="22"/>
                <w:szCs w:val="22"/>
              </w:rPr>
              <w:t>1-7</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C02243C" w14:textId="77777777" w:rsidR="001B4FAA" w:rsidRDefault="001B4FAA" w:rsidP="00093F9F">
            <w:pPr>
              <w:rPr>
                <w:rFonts w:ascii="Calibri" w:eastAsia="Calibri" w:hAnsi="Calibri"/>
                <w:sz w:val="22"/>
                <w:szCs w:val="22"/>
              </w:rPr>
            </w:pPr>
            <w:r w:rsidRPr="000D1328">
              <w:rPr>
                <w:rFonts w:ascii="Calibri" w:eastAsia="Calibri" w:hAnsi="Calibri"/>
                <w:sz w:val="22"/>
                <w:szCs w:val="22"/>
              </w:rPr>
              <w:t xml:space="preserve">pi/2-BPSK for PUCCH format </w:t>
            </w:r>
            <w:r>
              <w:rPr>
                <w:rFonts w:ascii="Calibri" w:eastAsia="Calibri" w:hAnsi="Calibri"/>
                <w:sz w:val="22"/>
                <w:szCs w:val="22"/>
              </w:rPr>
              <w:t>¾</w:t>
            </w:r>
          </w:p>
          <w:p w14:paraId="4934D070" w14:textId="77777777" w:rsidR="001B4FAA" w:rsidRPr="000D1328" w:rsidRDefault="001B4FAA" w:rsidP="00093F9F">
            <w:pPr>
              <w:rPr>
                <w:rFonts w:ascii="Calibri" w:eastAsia="Calibri" w:hAnsi="Calibri"/>
                <w:sz w:val="22"/>
                <w:szCs w:val="22"/>
              </w:rPr>
            </w:pPr>
          </w:p>
        </w:tc>
      </w:tr>
      <w:tr w:rsidR="001B4FAA" w:rsidRPr="000D1328" w14:paraId="5725E0D4" w14:textId="77777777" w:rsidTr="00093F9F">
        <w:trPr>
          <w:trHeight w:val="66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tcPr>
          <w:p w14:paraId="021DC08C" w14:textId="77777777" w:rsidR="001B4FAA" w:rsidRPr="00806DB7" w:rsidRDefault="001B4FAA" w:rsidP="00093F9F">
            <w:pPr>
              <w:rPr>
                <w:rFonts w:ascii="Calibri" w:eastAsia="Calibri" w:hAnsi="Calibri"/>
                <w:sz w:val="22"/>
                <w:szCs w:val="22"/>
              </w:rPr>
            </w:pPr>
            <w:r w:rsidRPr="00806DB7">
              <w:rPr>
                <w:rFonts w:ascii="Calibri" w:eastAsia="Calibri" w:hAnsi="Calibri"/>
                <w:sz w:val="22"/>
                <w:szCs w:val="22"/>
              </w:rPr>
              <w:t>1-8</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A70742E" w14:textId="77777777" w:rsidR="001B4FAA" w:rsidRPr="00806DB7" w:rsidRDefault="001B4FAA" w:rsidP="00093F9F">
            <w:pPr>
              <w:rPr>
                <w:rFonts w:ascii="Calibri" w:eastAsia="Calibri" w:hAnsi="Calibri"/>
                <w:sz w:val="22"/>
                <w:szCs w:val="22"/>
              </w:rPr>
            </w:pPr>
            <w:r w:rsidRPr="00806DB7">
              <w:rPr>
                <w:rFonts w:ascii="Calibri" w:eastAsia="Calibri" w:hAnsi="Calibri"/>
                <w:sz w:val="22"/>
                <w:szCs w:val="22"/>
              </w:rPr>
              <w:t>Active BWP switching delay</w:t>
            </w:r>
          </w:p>
        </w:tc>
      </w:tr>
      <w:tr w:rsidR="001B4FAA" w:rsidRPr="000D1328" w14:paraId="6BB5981F" w14:textId="77777777" w:rsidTr="00093F9F">
        <w:trPr>
          <w:trHeight w:val="66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32F06DF" w14:textId="77777777" w:rsidR="001B4FAA" w:rsidRPr="000D1328" w:rsidRDefault="001B4FAA" w:rsidP="00093F9F">
            <w:pPr>
              <w:rPr>
                <w:rFonts w:ascii="Calibri" w:eastAsia="Calibri" w:hAnsi="Calibri"/>
                <w:b/>
                <w:bCs/>
                <w:sz w:val="22"/>
                <w:szCs w:val="22"/>
              </w:rPr>
            </w:pPr>
            <w:r w:rsidRPr="000D1328">
              <w:rPr>
                <w:rFonts w:ascii="Calibri" w:eastAsia="Calibri" w:hAnsi="Calibri"/>
                <w:b/>
                <w:bCs/>
                <w:sz w:val="22"/>
                <w:szCs w:val="22"/>
              </w:rPr>
              <w:t>2-1</w:t>
            </w:r>
          </w:p>
        </w:tc>
        <w:tc>
          <w:tcPr>
            <w:tcW w:w="4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E277B65" w14:textId="77777777" w:rsidR="001B4FAA" w:rsidRPr="000D1328" w:rsidRDefault="001B4FAA" w:rsidP="00093F9F">
            <w:pPr>
              <w:rPr>
                <w:rFonts w:ascii="Calibri" w:eastAsia="Calibri" w:hAnsi="Calibri"/>
                <w:sz w:val="22"/>
                <w:szCs w:val="22"/>
              </w:rPr>
            </w:pPr>
            <w:r w:rsidRPr="000D1328">
              <w:rPr>
                <w:rFonts w:ascii="Calibri" w:eastAsia="Calibri" w:hAnsi="Calibri"/>
                <w:sz w:val="22"/>
                <w:szCs w:val="22"/>
              </w:rPr>
              <w:t>Maximum channel bandwidth supported in each band for DL and UL separately and for each SCS that UE supports within a single CC</w:t>
            </w:r>
          </w:p>
        </w:tc>
      </w:tr>
    </w:tbl>
    <w:p w14:paraId="3099D393" w14:textId="77777777" w:rsidR="001B4FAA" w:rsidRDefault="001B4FAA" w:rsidP="001B4FAA">
      <w:pPr>
        <w:rPr>
          <w:rFonts w:ascii="Calibri" w:eastAsia="Calibri" w:hAnsi="Calibri"/>
          <w:sz w:val="22"/>
          <w:szCs w:val="22"/>
        </w:rPr>
      </w:pPr>
    </w:p>
    <w:p w14:paraId="77078F2A" w14:textId="77777777" w:rsidR="001B4FAA" w:rsidRDefault="001B4FAA" w:rsidP="002C3890">
      <w:pPr>
        <w:rPr>
          <w:rFonts w:ascii="Calibri" w:eastAsia="Calibri" w:hAnsi="Calibri"/>
          <w:sz w:val="22"/>
          <w:szCs w:val="22"/>
        </w:rPr>
      </w:pPr>
    </w:p>
    <w:p w14:paraId="49A1909C" w14:textId="4F93622E" w:rsidR="001B4FAA" w:rsidRDefault="002C3890" w:rsidP="001B4FAA">
      <w:pPr>
        <w:rPr>
          <w:rFonts w:ascii="Calibri" w:eastAsia="Calibri" w:hAnsi="Calibri"/>
          <w:sz w:val="22"/>
          <w:szCs w:val="22"/>
        </w:rPr>
      </w:pPr>
      <w:r>
        <w:rPr>
          <w:rFonts w:ascii="Calibri" w:eastAsia="Calibri" w:hAnsi="Calibri"/>
          <w:sz w:val="22"/>
          <w:szCs w:val="22"/>
        </w:rPr>
        <w:lastRenderedPageBreak/>
        <w:t xml:space="preserve">Given that an IAB node is a </w:t>
      </w:r>
      <w:r w:rsidR="00583967">
        <w:rPr>
          <w:rFonts w:ascii="Calibri" w:eastAsia="Calibri" w:hAnsi="Calibri"/>
          <w:sz w:val="22"/>
          <w:szCs w:val="22"/>
        </w:rPr>
        <w:t xml:space="preserve">fixed </w:t>
      </w:r>
      <w:r>
        <w:rPr>
          <w:rFonts w:ascii="Calibri" w:eastAsia="Calibri" w:hAnsi="Calibri"/>
          <w:sz w:val="22"/>
          <w:szCs w:val="22"/>
        </w:rPr>
        <w:t>network node</w:t>
      </w:r>
      <w:r w:rsidR="00583967">
        <w:rPr>
          <w:rFonts w:ascii="Calibri" w:eastAsia="Calibri" w:hAnsi="Calibri"/>
          <w:sz w:val="22"/>
          <w:szCs w:val="22"/>
        </w:rPr>
        <w:t xml:space="preserve"> in Rel-16</w:t>
      </w:r>
      <w:r>
        <w:rPr>
          <w:rFonts w:ascii="Calibri" w:eastAsia="Calibri" w:hAnsi="Calibri"/>
          <w:sz w:val="22"/>
          <w:szCs w:val="22"/>
        </w:rPr>
        <w:t xml:space="preserve">, </w:t>
      </w:r>
      <w:r w:rsidR="00583967">
        <w:rPr>
          <w:rFonts w:ascii="Calibri" w:eastAsia="Calibri" w:hAnsi="Calibri"/>
          <w:sz w:val="22"/>
          <w:szCs w:val="22"/>
        </w:rPr>
        <w:t xml:space="preserve">implementation of </w:t>
      </w:r>
      <w:r>
        <w:rPr>
          <w:rFonts w:ascii="Calibri" w:eastAsia="Calibri" w:hAnsi="Calibri"/>
          <w:sz w:val="22"/>
          <w:szCs w:val="22"/>
        </w:rPr>
        <w:t xml:space="preserve">the IAB-MT function may be simplified compared to a normal access UE, although the IAB-MT inherits the majority of the Rel-15/Rel-16 UE functionality of the </w:t>
      </w:r>
      <w:proofErr w:type="spellStart"/>
      <w:r>
        <w:rPr>
          <w:rFonts w:ascii="Calibri" w:eastAsia="Calibri" w:hAnsi="Calibri"/>
          <w:sz w:val="22"/>
          <w:szCs w:val="22"/>
        </w:rPr>
        <w:t>Uu</w:t>
      </w:r>
      <w:proofErr w:type="spellEnd"/>
      <w:r>
        <w:rPr>
          <w:rFonts w:ascii="Calibri" w:eastAsia="Calibri" w:hAnsi="Calibri"/>
          <w:sz w:val="22"/>
          <w:szCs w:val="22"/>
        </w:rPr>
        <w:t xml:space="preserve"> link upon which the backhaul link is based.</w:t>
      </w:r>
      <w:r w:rsidR="003168D8">
        <w:rPr>
          <w:rFonts w:ascii="Calibri" w:eastAsia="Calibri" w:hAnsi="Calibri"/>
          <w:sz w:val="22"/>
          <w:szCs w:val="22"/>
        </w:rPr>
        <w:t xml:space="preserve"> </w:t>
      </w:r>
      <w:r w:rsidR="001B4FAA">
        <w:rPr>
          <w:rFonts w:ascii="Calibri" w:eastAsia="Calibri" w:hAnsi="Calibri"/>
          <w:sz w:val="22"/>
          <w:szCs w:val="22"/>
        </w:rPr>
        <w:t>However, for the modulation-related features, while there is no foreseen impact on initial access if they are optional for IAB-MTs, high spectral efficiency is important for efficient IAB operation and it is expected that the backhaul link can maintain at least the same performance as the backhaul links. The only exception is support for pi/2 BPSK, which is only beneficial for a coverage limited scenario which is not expected to be typical of wide-area IAB node deployments, where the backhaul links will typically be LOS-links with high spectral efficiency.</w:t>
      </w:r>
    </w:p>
    <w:p w14:paraId="0CF787F8" w14:textId="7C6A4AF4" w:rsidR="001A5350" w:rsidRDefault="001A5350" w:rsidP="002C3890">
      <w:pPr>
        <w:rPr>
          <w:rFonts w:ascii="Calibri" w:eastAsia="Calibri" w:hAnsi="Calibri"/>
          <w:sz w:val="22"/>
          <w:szCs w:val="22"/>
        </w:rPr>
      </w:pPr>
    </w:p>
    <w:p w14:paraId="0DF9F242" w14:textId="77777777" w:rsidR="00EF3143" w:rsidRDefault="001A5350" w:rsidP="00EF3143">
      <w:pPr>
        <w:rPr>
          <w:rFonts w:ascii="Calibri" w:eastAsia="Calibri" w:hAnsi="Calibri"/>
          <w:b/>
          <w:bCs/>
          <w:sz w:val="22"/>
          <w:szCs w:val="22"/>
        </w:rPr>
      </w:pPr>
      <w:r w:rsidRPr="001A5350">
        <w:rPr>
          <w:rFonts w:ascii="Calibri" w:eastAsia="Calibri" w:hAnsi="Calibri"/>
          <w:b/>
          <w:bCs/>
          <w:sz w:val="22"/>
          <w:szCs w:val="22"/>
        </w:rPr>
        <w:t xml:space="preserve">Proposal 1: </w:t>
      </w:r>
      <w:r w:rsidR="00EF3143">
        <w:rPr>
          <w:rFonts w:ascii="Calibri" w:eastAsia="Calibri" w:hAnsi="Calibri"/>
          <w:b/>
          <w:bCs/>
          <w:sz w:val="22"/>
          <w:szCs w:val="22"/>
        </w:rPr>
        <w:t xml:space="preserve">Support for 64 QAM for PDSCH/PUSCH is mandatory for IAB-MTs. </w:t>
      </w:r>
    </w:p>
    <w:p w14:paraId="5AEE1917" w14:textId="77777777" w:rsidR="00EF3143" w:rsidRDefault="00EF3143" w:rsidP="00EF3143">
      <w:pPr>
        <w:rPr>
          <w:rFonts w:ascii="Calibri" w:eastAsia="Calibri" w:hAnsi="Calibri"/>
          <w:b/>
          <w:bCs/>
          <w:sz w:val="22"/>
          <w:szCs w:val="22"/>
        </w:rPr>
      </w:pPr>
    </w:p>
    <w:p w14:paraId="1E3F91AC" w14:textId="77777777" w:rsidR="00EF3143" w:rsidRDefault="00EF3143" w:rsidP="00EF3143">
      <w:pPr>
        <w:rPr>
          <w:rFonts w:ascii="Calibri" w:eastAsia="Calibri" w:hAnsi="Calibri"/>
          <w:b/>
          <w:bCs/>
          <w:sz w:val="22"/>
          <w:szCs w:val="22"/>
        </w:rPr>
      </w:pPr>
      <w:r>
        <w:rPr>
          <w:rFonts w:ascii="Calibri" w:eastAsia="Calibri" w:hAnsi="Calibri"/>
          <w:b/>
          <w:bCs/>
          <w:sz w:val="22"/>
          <w:szCs w:val="22"/>
        </w:rPr>
        <w:t>Proposal 2: Support for 256 QAM for PDSCH/PUSCH is optional for IAB-MTs.</w:t>
      </w:r>
    </w:p>
    <w:p w14:paraId="0CB28A8D" w14:textId="77777777" w:rsidR="00EF3143" w:rsidRDefault="00EF3143" w:rsidP="00EF3143">
      <w:pPr>
        <w:rPr>
          <w:rFonts w:ascii="Calibri" w:eastAsia="Calibri" w:hAnsi="Calibri"/>
          <w:b/>
          <w:bCs/>
          <w:sz w:val="22"/>
          <w:szCs w:val="22"/>
        </w:rPr>
      </w:pPr>
    </w:p>
    <w:p w14:paraId="44AA766D" w14:textId="55D53FC8" w:rsidR="00817303" w:rsidRPr="00EF3143" w:rsidRDefault="00EF3143" w:rsidP="002C3890">
      <w:pPr>
        <w:rPr>
          <w:b/>
          <w:bCs/>
          <w:color w:val="000000"/>
        </w:rPr>
      </w:pPr>
      <w:r>
        <w:rPr>
          <w:rFonts w:ascii="Calibri" w:eastAsia="Calibri" w:hAnsi="Calibri"/>
          <w:b/>
          <w:bCs/>
          <w:sz w:val="22"/>
          <w:szCs w:val="22"/>
        </w:rPr>
        <w:t>Proposal 3: pi/2 BPSK is not supported by wide-area IAB-MTs.</w:t>
      </w:r>
    </w:p>
    <w:p w14:paraId="7EF84F1C" w14:textId="16FFEFF1" w:rsidR="00806DB7" w:rsidRDefault="00806DB7" w:rsidP="002C3890">
      <w:pPr>
        <w:rPr>
          <w:rFonts w:ascii="Calibri" w:eastAsia="Calibri" w:hAnsi="Calibri"/>
          <w:sz w:val="22"/>
          <w:szCs w:val="22"/>
        </w:rPr>
      </w:pPr>
    </w:p>
    <w:p w14:paraId="73A4C119" w14:textId="73B870B6" w:rsidR="00806DB7" w:rsidRDefault="00806DB7" w:rsidP="002C3890">
      <w:pPr>
        <w:rPr>
          <w:rFonts w:ascii="Calibri" w:eastAsia="Calibri" w:hAnsi="Calibri"/>
          <w:sz w:val="22"/>
          <w:szCs w:val="22"/>
        </w:rPr>
      </w:pPr>
      <w:r>
        <w:rPr>
          <w:rFonts w:ascii="Calibri" w:eastAsia="Calibri" w:hAnsi="Calibri"/>
          <w:sz w:val="22"/>
          <w:szCs w:val="22"/>
        </w:rPr>
        <w:t xml:space="preserve">For feature 1-8, given that BWP switching is a component of optional Rel-15 </w:t>
      </w:r>
      <w:r w:rsidR="00EF3143">
        <w:rPr>
          <w:rFonts w:ascii="Calibri" w:eastAsia="Calibri" w:hAnsi="Calibri"/>
          <w:sz w:val="22"/>
          <w:szCs w:val="22"/>
        </w:rPr>
        <w:t xml:space="preserve">Layer-1 </w:t>
      </w:r>
      <w:r>
        <w:rPr>
          <w:rFonts w:ascii="Calibri" w:eastAsia="Calibri" w:hAnsi="Calibri"/>
          <w:sz w:val="22"/>
          <w:szCs w:val="22"/>
        </w:rPr>
        <w:t xml:space="preserve">UE features, </w:t>
      </w:r>
      <w:r w:rsidR="00EF3143">
        <w:rPr>
          <w:rFonts w:ascii="Calibri" w:eastAsia="Calibri" w:hAnsi="Calibri"/>
          <w:sz w:val="22"/>
          <w:szCs w:val="22"/>
        </w:rPr>
        <w:t xml:space="preserve">and no requirements for switching delay will be defined for IAB-MTs, this feature can become optional for IAB-MTs. </w:t>
      </w:r>
    </w:p>
    <w:p w14:paraId="48FF78DB" w14:textId="1D843EDA" w:rsidR="000D1328" w:rsidRDefault="000D1328" w:rsidP="002C3890">
      <w:pPr>
        <w:rPr>
          <w:rFonts w:ascii="Calibri" w:eastAsia="Calibri" w:hAnsi="Calibri"/>
          <w:sz w:val="22"/>
          <w:szCs w:val="22"/>
        </w:rPr>
      </w:pPr>
    </w:p>
    <w:p w14:paraId="4A1BCA88" w14:textId="5977E8C2" w:rsidR="00EF3143" w:rsidRPr="00EF3143" w:rsidRDefault="00EF3143" w:rsidP="00EF3143">
      <w:pPr>
        <w:rPr>
          <w:b/>
          <w:bCs/>
          <w:color w:val="000000"/>
        </w:rPr>
      </w:pPr>
      <w:r>
        <w:rPr>
          <w:rFonts w:ascii="Calibri" w:eastAsia="Calibri" w:hAnsi="Calibri"/>
          <w:b/>
          <w:bCs/>
          <w:sz w:val="22"/>
          <w:szCs w:val="22"/>
        </w:rPr>
        <w:t>Proposal 4: BWP switching is not supported by wide-area IAB-MTs.</w:t>
      </w:r>
    </w:p>
    <w:p w14:paraId="5AD961A2" w14:textId="77777777" w:rsidR="00806DB7" w:rsidRPr="005B24FF" w:rsidRDefault="00806DB7" w:rsidP="002C3890">
      <w:pPr>
        <w:rPr>
          <w:rFonts w:ascii="Calibri" w:eastAsia="Calibri" w:hAnsi="Calibri"/>
          <w:sz w:val="22"/>
          <w:szCs w:val="22"/>
        </w:rPr>
      </w:pPr>
    </w:p>
    <w:p w14:paraId="0A9BEB44" w14:textId="20525275" w:rsidR="002F634C" w:rsidRPr="00156B89" w:rsidRDefault="003168D8" w:rsidP="002F634C">
      <w:pPr>
        <w:pStyle w:val="Heading1"/>
      </w:pPr>
      <w:r>
        <w:t>Conclusion</w:t>
      </w:r>
    </w:p>
    <w:p w14:paraId="0ADFD495" w14:textId="4A46BA64" w:rsidR="005C6208" w:rsidRDefault="003168D8" w:rsidP="005C6208">
      <w:pPr>
        <w:rPr>
          <w:rFonts w:ascii="Calibri" w:hAnsi="Calibri" w:cs="Calibri"/>
          <w:color w:val="000000"/>
          <w:sz w:val="22"/>
          <w:szCs w:val="22"/>
        </w:rPr>
      </w:pPr>
      <w:r>
        <w:rPr>
          <w:rFonts w:ascii="Calibri" w:hAnsi="Calibri" w:cs="Calibri"/>
          <w:color w:val="000000"/>
          <w:sz w:val="22"/>
          <w:szCs w:val="22"/>
        </w:rPr>
        <w:t>The following proposals were made:</w:t>
      </w:r>
    </w:p>
    <w:p w14:paraId="434C7D82" w14:textId="7A45D1B7" w:rsidR="00477CC3" w:rsidRDefault="00477CC3" w:rsidP="005C6208"/>
    <w:p w14:paraId="664E7D3A" w14:textId="77777777" w:rsidR="00592DBF" w:rsidRDefault="00592DBF" w:rsidP="00592DBF">
      <w:pPr>
        <w:rPr>
          <w:rFonts w:ascii="Calibri" w:eastAsia="Calibri" w:hAnsi="Calibri"/>
          <w:b/>
          <w:bCs/>
          <w:sz w:val="22"/>
          <w:szCs w:val="22"/>
        </w:rPr>
      </w:pPr>
      <w:r w:rsidRPr="001A5350">
        <w:rPr>
          <w:rFonts w:ascii="Calibri" w:eastAsia="Calibri" w:hAnsi="Calibri"/>
          <w:b/>
          <w:bCs/>
          <w:sz w:val="22"/>
          <w:szCs w:val="22"/>
        </w:rPr>
        <w:t xml:space="preserve">Proposal 1: </w:t>
      </w:r>
      <w:r>
        <w:rPr>
          <w:rFonts w:ascii="Calibri" w:eastAsia="Calibri" w:hAnsi="Calibri"/>
          <w:b/>
          <w:bCs/>
          <w:sz w:val="22"/>
          <w:szCs w:val="22"/>
        </w:rPr>
        <w:t xml:space="preserve">Support for 64 QAM for PDSCH/PUSCH is mandatory for IAB-MTs. </w:t>
      </w:r>
    </w:p>
    <w:p w14:paraId="6C270DAF" w14:textId="77777777" w:rsidR="00592DBF" w:rsidRDefault="00592DBF" w:rsidP="00592DBF">
      <w:pPr>
        <w:rPr>
          <w:rFonts w:ascii="Calibri" w:eastAsia="Calibri" w:hAnsi="Calibri"/>
          <w:b/>
          <w:bCs/>
          <w:sz w:val="22"/>
          <w:szCs w:val="22"/>
        </w:rPr>
      </w:pPr>
    </w:p>
    <w:p w14:paraId="3144D6D4" w14:textId="77777777" w:rsidR="00592DBF" w:rsidRDefault="00592DBF" w:rsidP="00592DBF">
      <w:pPr>
        <w:rPr>
          <w:rFonts w:ascii="Calibri" w:eastAsia="Calibri" w:hAnsi="Calibri"/>
          <w:b/>
          <w:bCs/>
          <w:sz w:val="22"/>
          <w:szCs w:val="22"/>
        </w:rPr>
      </w:pPr>
      <w:r>
        <w:rPr>
          <w:rFonts w:ascii="Calibri" w:eastAsia="Calibri" w:hAnsi="Calibri"/>
          <w:b/>
          <w:bCs/>
          <w:sz w:val="22"/>
          <w:szCs w:val="22"/>
        </w:rPr>
        <w:t>Proposal 2: Support for 256 QAM for PDSCH/PUSCH is optional for IAB-MTs.</w:t>
      </w:r>
    </w:p>
    <w:p w14:paraId="38F25E5B" w14:textId="77777777" w:rsidR="00592DBF" w:rsidRDefault="00592DBF" w:rsidP="00592DBF">
      <w:pPr>
        <w:rPr>
          <w:rFonts w:ascii="Calibri" w:eastAsia="Calibri" w:hAnsi="Calibri"/>
          <w:b/>
          <w:bCs/>
          <w:sz w:val="22"/>
          <w:szCs w:val="22"/>
        </w:rPr>
      </w:pPr>
    </w:p>
    <w:p w14:paraId="451A8CA5" w14:textId="77777777" w:rsidR="00592DBF" w:rsidRPr="00EF3143" w:rsidRDefault="00592DBF" w:rsidP="00592DBF">
      <w:pPr>
        <w:rPr>
          <w:b/>
          <w:bCs/>
          <w:color w:val="000000"/>
        </w:rPr>
      </w:pPr>
      <w:r>
        <w:rPr>
          <w:rFonts w:ascii="Calibri" w:eastAsia="Calibri" w:hAnsi="Calibri"/>
          <w:b/>
          <w:bCs/>
          <w:sz w:val="22"/>
          <w:szCs w:val="22"/>
        </w:rPr>
        <w:t>Proposal 3: pi/2 BPSK is not supported by wide-area IAB-MTs.</w:t>
      </w:r>
    </w:p>
    <w:p w14:paraId="36FF0DDF" w14:textId="77777777" w:rsidR="00592DBF" w:rsidRDefault="00592DBF" w:rsidP="00592DBF">
      <w:pPr>
        <w:rPr>
          <w:rFonts w:ascii="Calibri" w:eastAsia="Calibri" w:hAnsi="Calibri"/>
          <w:sz w:val="22"/>
          <w:szCs w:val="22"/>
        </w:rPr>
      </w:pPr>
    </w:p>
    <w:p w14:paraId="71C3F9E0" w14:textId="77777777" w:rsidR="00592DBF" w:rsidRPr="00EF3143" w:rsidRDefault="00592DBF" w:rsidP="00592DBF">
      <w:pPr>
        <w:rPr>
          <w:b/>
          <w:bCs/>
          <w:color w:val="000000"/>
        </w:rPr>
      </w:pPr>
      <w:r>
        <w:rPr>
          <w:rFonts w:ascii="Calibri" w:eastAsia="Calibri" w:hAnsi="Calibri"/>
          <w:b/>
          <w:bCs/>
          <w:sz w:val="22"/>
          <w:szCs w:val="22"/>
        </w:rPr>
        <w:t>Proposal 4: BWP switching is not supported by wide-area IAB-MTs.</w:t>
      </w:r>
    </w:p>
    <w:p w14:paraId="152031A7" w14:textId="77777777" w:rsidR="00806DB7" w:rsidRPr="002774E0" w:rsidRDefault="00806DB7" w:rsidP="005B24FF">
      <w:pPr>
        <w:jc w:val="center"/>
        <w:rPr>
          <w:rFonts w:ascii="Calibri" w:eastAsia="Calibri" w:hAnsi="Calibri"/>
          <w:b/>
          <w:bCs/>
          <w:sz w:val="22"/>
          <w:szCs w:val="22"/>
        </w:rPr>
      </w:pPr>
    </w:p>
    <w:sectPr w:rsidR="00806DB7" w:rsidRPr="002774E0" w:rsidSect="00EC2FB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666EC" w14:textId="77777777" w:rsidR="00EF4672" w:rsidRDefault="00EF4672" w:rsidP="00424124">
      <w:r>
        <w:separator/>
      </w:r>
    </w:p>
  </w:endnote>
  <w:endnote w:type="continuationSeparator" w:id="0">
    <w:p w14:paraId="007E9F4E" w14:textId="77777777" w:rsidR="00EF4672" w:rsidRDefault="00EF4672" w:rsidP="00424124">
      <w:r>
        <w:continuationSeparator/>
      </w:r>
    </w:p>
  </w:endnote>
  <w:endnote w:type="continuationNotice" w:id="1">
    <w:p w14:paraId="1042F9DA" w14:textId="77777777" w:rsidR="00EF4672" w:rsidRDefault="00EF4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74CBE" w14:textId="77777777" w:rsidR="00EF4672" w:rsidRDefault="00EF4672" w:rsidP="00424124">
      <w:r>
        <w:separator/>
      </w:r>
    </w:p>
  </w:footnote>
  <w:footnote w:type="continuationSeparator" w:id="0">
    <w:p w14:paraId="283B99BF" w14:textId="77777777" w:rsidR="00EF4672" w:rsidRDefault="00EF4672" w:rsidP="00424124">
      <w:r>
        <w:continuationSeparator/>
      </w:r>
    </w:p>
  </w:footnote>
  <w:footnote w:type="continuationNotice" w:id="1">
    <w:p w14:paraId="5B8C9EE4" w14:textId="77777777" w:rsidR="00EF4672" w:rsidRDefault="00EF46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3"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5"/>
  </w:num>
  <w:num w:numId="4">
    <w:abstractNumId w:val="14"/>
  </w:num>
  <w:num w:numId="5">
    <w:abstractNumId w:val="23"/>
  </w:num>
  <w:num w:numId="6">
    <w:abstractNumId w:val="32"/>
  </w:num>
  <w:num w:numId="7">
    <w:abstractNumId w:val="20"/>
  </w:num>
  <w:num w:numId="8">
    <w:abstractNumId w:val="0"/>
  </w:num>
  <w:num w:numId="9">
    <w:abstractNumId w:val="33"/>
  </w:num>
  <w:num w:numId="10">
    <w:abstractNumId w:val="2"/>
  </w:num>
  <w:num w:numId="11">
    <w:abstractNumId w:val="28"/>
  </w:num>
  <w:num w:numId="12">
    <w:abstractNumId w:val="18"/>
  </w:num>
  <w:num w:numId="13">
    <w:abstractNumId w:val="1"/>
  </w:num>
  <w:num w:numId="14">
    <w:abstractNumId w:val="22"/>
  </w:num>
  <w:num w:numId="15">
    <w:abstractNumId w:val="35"/>
  </w:num>
  <w:num w:numId="16">
    <w:abstractNumId w:val="34"/>
  </w:num>
  <w:num w:numId="17">
    <w:abstractNumId w:val="30"/>
  </w:num>
  <w:num w:numId="18">
    <w:abstractNumId w:val="6"/>
  </w:num>
  <w:num w:numId="19">
    <w:abstractNumId w:val="37"/>
  </w:num>
  <w:num w:numId="20">
    <w:abstractNumId w:val="11"/>
  </w:num>
  <w:num w:numId="21">
    <w:abstractNumId w:val="31"/>
  </w:num>
  <w:num w:numId="22">
    <w:abstractNumId w:val="29"/>
  </w:num>
  <w:num w:numId="23">
    <w:abstractNumId w:val="9"/>
  </w:num>
  <w:num w:numId="24">
    <w:abstractNumId w:val="9"/>
  </w:num>
  <w:num w:numId="25">
    <w:abstractNumId w:val="24"/>
  </w:num>
  <w:num w:numId="26">
    <w:abstractNumId w:val="5"/>
  </w:num>
  <w:num w:numId="27">
    <w:abstractNumId w:val="4"/>
  </w:num>
  <w:num w:numId="28">
    <w:abstractNumId w:val="12"/>
  </w:num>
  <w:num w:numId="29">
    <w:abstractNumId w:val="28"/>
  </w:num>
  <w:num w:numId="30">
    <w:abstractNumId w:val="3"/>
  </w:num>
  <w:num w:numId="31">
    <w:abstractNumId w:val="36"/>
  </w:num>
  <w:num w:numId="32">
    <w:abstractNumId w:val="15"/>
  </w:num>
  <w:num w:numId="33">
    <w:abstractNumId w:val="21"/>
  </w:num>
  <w:num w:numId="34">
    <w:abstractNumId w:val="16"/>
  </w:num>
  <w:num w:numId="35">
    <w:abstractNumId w:val="27"/>
  </w:num>
  <w:num w:numId="36">
    <w:abstractNumId w:val="26"/>
  </w:num>
  <w:num w:numId="37">
    <w:abstractNumId w:val="10"/>
  </w:num>
  <w:num w:numId="38">
    <w:abstractNumId w:val="19"/>
  </w:num>
  <w:num w:numId="39">
    <w:abstractNumId w:val="13"/>
  </w:num>
  <w:num w:numId="4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3426"/>
    <w:rsid w:val="000C57B9"/>
    <w:rsid w:val="000C5ADA"/>
    <w:rsid w:val="000C5B23"/>
    <w:rsid w:val="000C5D6D"/>
    <w:rsid w:val="000C708A"/>
    <w:rsid w:val="000D1328"/>
    <w:rsid w:val="000D3338"/>
    <w:rsid w:val="000D389B"/>
    <w:rsid w:val="000D38DC"/>
    <w:rsid w:val="000D45A2"/>
    <w:rsid w:val="000D4D20"/>
    <w:rsid w:val="000E1E45"/>
    <w:rsid w:val="000E29D8"/>
    <w:rsid w:val="000E4A80"/>
    <w:rsid w:val="000E53A4"/>
    <w:rsid w:val="000E5458"/>
    <w:rsid w:val="000E74C8"/>
    <w:rsid w:val="000E7902"/>
    <w:rsid w:val="000E7AA8"/>
    <w:rsid w:val="000F2634"/>
    <w:rsid w:val="000F29FE"/>
    <w:rsid w:val="000F485E"/>
    <w:rsid w:val="000F5260"/>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350"/>
    <w:rsid w:val="001A5A68"/>
    <w:rsid w:val="001A6212"/>
    <w:rsid w:val="001A72BE"/>
    <w:rsid w:val="001A75E0"/>
    <w:rsid w:val="001A7F75"/>
    <w:rsid w:val="001B185E"/>
    <w:rsid w:val="001B1D2D"/>
    <w:rsid w:val="001B27A1"/>
    <w:rsid w:val="001B3CB7"/>
    <w:rsid w:val="001B41D8"/>
    <w:rsid w:val="001B4FAA"/>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3C69"/>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2BA5"/>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4E0"/>
    <w:rsid w:val="00277608"/>
    <w:rsid w:val="00277DD1"/>
    <w:rsid w:val="00282F42"/>
    <w:rsid w:val="002835A4"/>
    <w:rsid w:val="00284545"/>
    <w:rsid w:val="00284C73"/>
    <w:rsid w:val="00287220"/>
    <w:rsid w:val="0029147A"/>
    <w:rsid w:val="002926AA"/>
    <w:rsid w:val="0029358B"/>
    <w:rsid w:val="00293693"/>
    <w:rsid w:val="00295696"/>
    <w:rsid w:val="00295735"/>
    <w:rsid w:val="002970D6"/>
    <w:rsid w:val="00297225"/>
    <w:rsid w:val="002A005E"/>
    <w:rsid w:val="002A0270"/>
    <w:rsid w:val="002A36D2"/>
    <w:rsid w:val="002A49E4"/>
    <w:rsid w:val="002A6AD9"/>
    <w:rsid w:val="002B1BDB"/>
    <w:rsid w:val="002B1D48"/>
    <w:rsid w:val="002B4B1E"/>
    <w:rsid w:val="002B59FC"/>
    <w:rsid w:val="002C0488"/>
    <w:rsid w:val="002C213D"/>
    <w:rsid w:val="002C2C78"/>
    <w:rsid w:val="002C36D6"/>
    <w:rsid w:val="002C3890"/>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68D8"/>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6BA4"/>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C7D30"/>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A3FCE"/>
    <w:rsid w:val="004A5ABE"/>
    <w:rsid w:val="004A6424"/>
    <w:rsid w:val="004A69D0"/>
    <w:rsid w:val="004A6A82"/>
    <w:rsid w:val="004A7B4E"/>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427"/>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3967"/>
    <w:rsid w:val="00584BF8"/>
    <w:rsid w:val="00585761"/>
    <w:rsid w:val="00590189"/>
    <w:rsid w:val="0059191C"/>
    <w:rsid w:val="00592DBF"/>
    <w:rsid w:val="00593A19"/>
    <w:rsid w:val="00594586"/>
    <w:rsid w:val="0059738D"/>
    <w:rsid w:val="005A128E"/>
    <w:rsid w:val="005A4678"/>
    <w:rsid w:val="005A50E7"/>
    <w:rsid w:val="005A5367"/>
    <w:rsid w:val="005B24FF"/>
    <w:rsid w:val="005B2AE6"/>
    <w:rsid w:val="005B3076"/>
    <w:rsid w:val="005B3A72"/>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A7EE2"/>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17122"/>
    <w:rsid w:val="00721283"/>
    <w:rsid w:val="00721AD7"/>
    <w:rsid w:val="007225EF"/>
    <w:rsid w:val="00722BA6"/>
    <w:rsid w:val="00723DC5"/>
    <w:rsid w:val="00724987"/>
    <w:rsid w:val="0072559E"/>
    <w:rsid w:val="0072643C"/>
    <w:rsid w:val="00727105"/>
    <w:rsid w:val="00727952"/>
    <w:rsid w:val="00730277"/>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6DB7"/>
    <w:rsid w:val="00807A3E"/>
    <w:rsid w:val="00811A1B"/>
    <w:rsid w:val="00814815"/>
    <w:rsid w:val="0081645E"/>
    <w:rsid w:val="0081658C"/>
    <w:rsid w:val="00817303"/>
    <w:rsid w:val="00820774"/>
    <w:rsid w:val="00820CC0"/>
    <w:rsid w:val="00822405"/>
    <w:rsid w:val="00822580"/>
    <w:rsid w:val="00824C39"/>
    <w:rsid w:val="00824DED"/>
    <w:rsid w:val="00826E5A"/>
    <w:rsid w:val="008274C7"/>
    <w:rsid w:val="00827E79"/>
    <w:rsid w:val="008308FC"/>
    <w:rsid w:val="00831D61"/>
    <w:rsid w:val="00831E72"/>
    <w:rsid w:val="00833309"/>
    <w:rsid w:val="00833A53"/>
    <w:rsid w:val="00834F71"/>
    <w:rsid w:val="00835B46"/>
    <w:rsid w:val="0083713D"/>
    <w:rsid w:val="00840ABC"/>
    <w:rsid w:val="008420B7"/>
    <w:rsid w:val="008426F6"/>
    <w:rsid w:val="00842828"/>
    <w:rsid w:val="00843713"/>
    <w:rsid w:val="008437B2"/>
    <w:rsid w:val="00843F1C"/>
    <w:rsid w:val="00845887"/>
    <w:rsid w:val="00845CA5"/>
    <w:rsid w:val="0084637E"/>
    <w:rsid w:val="008501C4"/>
    <w:rsid w:val="00850DCE"/>
    <w:rsid w:val="00853591"/>
    <w:rsid w:val="00854FBB"/>
    <w:rsid w:val="008550EC"/>
    <w:rsid w:val="008552AB"/>
    <w:rsid w:val="00856E8A"/>
    <w:rsid w:val="008627AC"/>
    <w:rsid w:val="00862BD1"/>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05AA"/>
    <w:rsid w:val="008E258C"/>
    <w:rsid w:val="008E2ED7"/>
    <w:rsid w:val="008E48C2"/>
    <w:rsid w:val="008E51A2"/>
    <w:rsid w:val="008E54DE"/>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914"/>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04C"/>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2C3F"/>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6C27"/>
    <w:rsid w:val="00A978EE"/>
    <w:rsid w:val="00AA008D"/>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2FEC"/>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57D9"/>
    <w:rsid w:val="00BC6F83"/>
    <w:rsid w:val="00BC73D7"/>
    <w:rsid w:val="00BD028B"/>
    <w:rsid w:val="00BD0FEA"/>
    <w:rsid w:val="00BD34B4"/>
    <w:rsid w:val="00BE18C4"/>
    <w:rsid w:val="00BE193F"/>
    <w:rsid w:val="00BE4ACC"/>
    <w:rsid w:val="00BE6C72"/>
    <w:rsid w:val="00BE7DAA"/>
    <w:rsid w:val="00BF1CB9"/>
    <w:rsid w:val="00BF2C5D"/>
    <w:rsid w:val="00BF2FC7"/>
    <w:rsid w:val="00BF31E3"/>
    <w:rsid w:val="00BF3211"/>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67BA7"/>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1BE5"/>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2FB3"/>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3143"/>
    <w:rsid w:val="00EF467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5F47"/>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5434"/>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C6972"/>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328"/>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TAN">
    <w:name w:val="TAN"/>
    <w:basedOn w:val="TAL"/>
    <w:rsid w:val="00EC2FB3"/>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2248242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13761536">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2789928">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598147337">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04038024">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895192625">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2EFF-16F8-3E43-AD49-67024410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2</cp:revision>
  <cp:lastPrinted>2016-02-23T10:51:00Z</cp:lastPrinted>
  <dcterms:created xsi:type="dcterms:W3CDTF">2020-05-15T19:16:00Z</dcterms:created>
  <dcterms:modified xsi:type="dcterms:W3CDTF">2020-05-15T19:16:00Z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