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730B1" w14:textId="05DBD117" w:rsidR="00B26E91" w:rsidRPr="004E3A25" w:rsidRDefault="00B26E91" w:rsidP="00B26E91">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DE150E">
        <w:rPr>
          <w:rFonts w:cs="Arial"/>
          <w:sz w:val="24"/>
          <w:szCs w:val="24"/>
        </w:rPr>
        <w:t>5</w:t>
      </w:r>
      <w:r>
        <w:rPr>
          <w:rFonts w:cs="Arial"/>
          <w:sz w:val="24"/>
          <w:szCs w:val="24"/>
        </w:rPr>
        <w:t>-e</w:t>
      </w:r>
      <w:r w:rsidRPr="00C76CEC">
        <w:rPr>
          <w:rFonts w:cs="Arial"/>
          <w:sz w:val="24"/>
          <w:szCs w:val="24"/>
          <w:lang w:val="de-DE"/>
        </w:rPr>
        <w:tab/>
      </w:r>
      <w:r w:rsidR="00D70749" w:rsidRPr="00D70749">
        <w:rPr>
          <w:rFonts w:cs="Arial"/>
          <w:sz w:val="24"/>
          <w:szCs w:val="24"/>
          <w:lang w:val="de-DE"/>
        </w:rPr>
        <w:t>R4-2006629</w:t>
      </w:r>
    </w:p>
    <w:p w14:paraId="1B73BA0A" w14:textId="42E254DF" w:rsidR="00B26E91" w:rsidRDefault="00B26E91" w:rsidP="00B26E91">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2</w:t>
      </w:r>
      <w:r w:rsidR="003E3764">
        <w:rPr>
          <w:rFonts w:cs="Arial"/>
          <w:sz w:val="24"/>
          <w:szCs w:val="24"/>
          <w:lang w:val="de-DE"/>
        </w:rPr>
        <w:t>5</w:t>
      </w:r>
      <w:r>
        <w:rPr>
          <w:rFonts w:cs="Arial"/>
          <w:sz w:val="24"/>
          <w:szCs w:val="24"/>
          <w:lang w:val="de-DE"/>
        </w:rPr>
        <w:t xml:space="preserve">th </w:t>
      </w:r>
      <w:r w:rsidR="003E3764">
        <w:rPr>
          <w:rFonts w:cs="Arial"/>
          <w:sz w:val="24"/>
          <w:szCs w:val="24"/>
          <w:lang w:val="de-DE"/>
        </w:rPr>
        <w:t>May</w:t>
      </w:r>
      <w:r>
        <w:rPr>
          <w:rFonts w:cs="Arial"/>
          <w:sz w:val="24"/>
          <w:szCs w:val="24"/>
          <w:lang w:val="de-DE"/>
        </w:rPr>
        <w:t xml:space="preserve"> – </w:t>
      </w:r>
      <w:r w:rsidR="003E3764">
        <w:rPr>
          <w:rFonts w:cs="Arial"/>
          <w:sz w:val="24"/>
          <w:szCs w:val="24"/>
          <w:lang w:val="de-DE"/>
        </w:rPr>
        <w:t>5</w:t>
      </w:r>
      <w:r>
        <w:rPr>
          <w:rFonts w:cs="Arial"/>
          <w:sz w:val="24"/>
          <w:szCs w:val="24"/>
          <w:lang w:val="de-DE"/>
        </w:rPr>
        <w:t xml:space="preserve">th </w:t>
      </w:r>
      <w:r w:rsidR="003E3764">
        <w:rPr>
          <w:rFonts w:cs="Arial"/>
          <w:sz w:val="24"/>
          <w:szCs w:val="24"/>
          <w:lang w:val="de-DE"/>
        </w:rPr>
        <w:t>Jun</w:t>
      </w:r>
      <w:r>
        <w:rPr>
          <w:rFonts w:cs="Arial"/>
          <w:sz w:val="24"/>
          <w:szCs w:val="24"/>
          <w:lang w:val="de-DE"/>
        </w:rPr>
        <w:t>, 2020</w:t>
      </w:r>
    </w:p>
    <w:bookmarkEnd w:id="0"/>
    <w:p w14:paraId="41B4CCE7" w14:textId="77777777" w:rsidR="00B26E91" w:rsidRDefault="00B26E91" w:rsidP="00B26E91">
      <w:pPr>
        <w:pStyle w:val="Header"/>
        <w:rPr>
          <w:b w:val="0"/>
          <w:sz w:val="24"/>
        </w:rPr>
      </w:pPr>
    </w:p>
    <w:p w14:paraId="50258765" w14:textId="77777777" w:rsidR="00B26E91" w:rsidRDefault="00B26E91" w:rsidP="00B26E9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AC8007D" w14:textId="77777777" w:rsidR="00B26E91" w:rsidRDefault="00B26E91" w:rsidP="00B26E91">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Views on NR CA PDSCH Demodulation Performance Tests</w:t>
      </w:r>
    </w:p>
    <w:p w14:paraId="75C78A3B" w14:textId="77777777" w:rsidR="00B26E91" w:rsidRPr="006C4F7C" w:rsidRDefault="00B26E91" w:rsidP="00B26E9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t>6.18.1.1</w:t>
      </w:r>
    </w:p>
    <w:p w14:paraId="030EFCF0" w14:textId="77777777" w:rsidR="00B26E91" w:rsidRPr="00200753" w:rsidRDefault="00B26E91" w:rsidP="00B26E9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t>Discussion</w:t>
      </w:r>
    </w:p>
    <w:p w14:paraId="710A2E45" w14:textId="77777777" w:rsidR="00B26E91" w:rsidRDefault="00B26E91" w:rsidP="00B26E91">
      <w:pPr>
        <w:pStyle w:val="Heading1"/>
        <w:tabs>
          <w:tab w:val="num" w:pos="522"/>
        </w:tabs>
        <w:ind w:left="522" w:hanging="522"/>
        <w:rPr>
          <w:lang w:val="en-US"/>
        </w:rPr>
      </w:pPr>
      <w:r>
        <w:rPr>
          <w:lang w:val="en-US"/>
        </w:rPr>
        <w:t>Introduction</w:t>
      </w:r>
    </w:p>
    <w:p w14:paraId="2E9DF7EB" w14:textId="77777777" w:rsidR="00B26E91" w:rsidRPr="00F968A5" w:rsidRDefault="00B26E91" w:rsidP="00B26E91">
      <w:pPr>
        <w:rPr>
          <w:sz w:val="24"/>
          <w:szCs w:val="24"/>
          <w:lang w:val="en-US"/>
        </w:rPr>
      </w:pPr>
      <w:r>
        <w:rPr>
          <w:sz w:val="24"/>
          <w:szCs w:val="24"/>
          <w:lang w:val="en-US"/>
        </w:rPr>
        <w:t xml:space="preserve">In WF [1], there were still some open issues and different options were provided for different parameters. </w:t>
      </w:r>
      <w:r w:rsidRPr="00BA5CDF">
        <w:rPr>
          <w:sz w:val="24"/>
          <w:szCs w:val="24"/>
          <w:lang w:val="en-US"/>
        </w:rPr>
        <w:t xml:space="preserve">In this paper, we </w:t>
      </w:r>
      <w:r>
        <w:rPr>
          <w:sz w:val="24"/>
          <w:szCs w:val="24"/>
          <w:lang w:val="en-US"/>
        </w:rPr>
        <w:t xml:space="preserve">discuss </w:t>
      </w:r>
      <w:bookmarkStart w:id="1" w:name="_Hlk521500305"/>
      <w:r>
        <w:rPr>
          <w:sz w:val="24"/>
          <w:szCs w:val="24"/>
          <w:lang w:val="en-US"/>
        </w:rPr>
        <w:t>our views on open issues in defining NR PDSCH demodulation performance tests</w:t>
      </w:r>
      <w:bookmarkEnd w:id="1"/>
      <w:r>
        <w:rPr>
          <w:sz w:val="24"/>
          <w:szCs w:val="24"/>
          <w:lang w:val="en-US"/>
        </w:rPr>
        <w:t xml:space="preserve"> for carrier aggregation. </w:t>
      </w:r>
    </w:p>
    <w:p w14:paraId="7D3CBDAC" w14:textId="77777777" w:rsidR="00B26E91" w:rsidRDefault="00B26E91" w:rsidP="00B26E91">
      <w:pPr>
        <w:pStyle w:val="Heading1"/>
        <w:tabs>
          <w:tab w:val="clear" w:pos="7902"/>
          <w:tab w:val="num" w:pos="360"/>
        </w:tabs>
        <w:ind w:hanging="7902"/>
        <w:rPr>
          <w:lang w:val="en-US"/>
        </w:rPr>
      </w:pPr>
      <w:r>
        <w:rPr>
          <w:lang w:val="en-US"/>
        </w:rPr>
        <w:t>HARQ Timelines</w:t>
      </w:r>
    </w:p>
    <w:p w14:paraId="1E455E61" w14:textId="5C8A90C4" w:rsidR="00B26E91" w:rsidRDefault="00B26E91" w:rsidP="00B26E91">
      <w:pPr>
        <w:rPr>
          <w:sz w:val="24"/>
          <w:szCs w:val="24"/>
          <w:lang w:val="en-US"/>
        </w:rPr>
      </w:pPr>
      <w:r>
        <w:rPr>
          <w:sz w:val="24"/>
          <w:szCs w:val="24"/>
          <w:lang w:val="en-US"/>
        </w:rPr>
        <w:t xml:space="preserve">In the previous meeting, different aspects were discussed to determine the HARQ timelines. In our opinion, initial transmission and retransmission should happen on the same type of slot. Otherwise, it will degrade the HARQ performance. Therefore, we propose </w:t>
      </w:r>
      <w:r w:rsidR="00AF3FB0">
        <w:rPr>
          <w:sz w:val="24"/>
          <w:szCs w:val="24"/>
          <w:lang w:val="en-US"/>
        </w:rPr>
        <w:t>the fol</w:t>
      </w:r>
      <w:r w:rsidR="00333E9A">
        <w:rPr>
          <w:sz w:val="24"/>
          <w:szCs w:val="24"/>
          <w:lang w:val="en-US"/>
        </w:rPr>
        <w:t>l</w:t>
      </w:r>
      <w:r w:rsidR="00AF3FB0">
        <w:rPr>
          <w:sz w:val="24"/>
          <w:szCs w:val="24"/>
          <w:lang w:val="en-US"/>
        </w:rPr>
        <w:t>owing</w:t>
      </w:r>
      <w:r w:rsidR="00333E9A">
        <w:rPr>
          <w:sz w:val="24"/>
          <w:szCs w:val="24"/>
          <w:lang w:val="en-US"/>
        </w:rPr>
        <w:t>.</w:t>
      </w:r>
    </w:p>
    <w:p w14:paraId="16B57A9D" w14:textId="77777777" w:rsidR="00B26E91" w:rsidRDefault="00B26E91" w:rsidP="00B26E91">
      <w:pPr>
        <w:rPr>
          <w:b/>
          <w:bCs/>
          <w:sz w:val="24"/>
          <w:szCs w:val="24"/>
          <w:lang w:val="en-US"/>
        </w:rPr>
      </w:pPr>
      <w:r>
        <w:rPr>
          <w:b/>
          <w:bCs/>
          <w:sz w:val="24"/>
          <w:szCs w:val="24"/>
          <w:lang w:val="en-US"/>
        </w:rPr>
        <w:t xml:space="preserve">Observation 1: </w:t>
      </w:r>
      <w:r w:rsidRPr="000709E9">
        <w:rPr>
          <w:b/>
          <w:bCs/>
          <w:sz w:val="24"/>
          <w:szCs w:val="24"/>
          <w:lang w:val="en-US"/>
        </w:rPr>
        <w:t>Initial transmission and retransmission should happen on the same type of slot. Otherwise, it will degrade the HARQ performance</w:t>
      </w:r>
      <w:r>
        <w:rPr>
          <w:b/>
          <w:bCs/>
          <w:sz w:val="24"/>
          <w:szCs w:val="24"/>
          <w:lang w:val="en-US"/>
        </w:rPr>
        <w:t>.</w:t>
      </w:r>
    </w:p>
    <w:p w14:paraId="4B2D889D" w14:textId="3BE661DD" w:rsidR="00B26E91" w:rsidRDefault="00B26E91" w:rsidP="00B26E91">
      <w:pPr>
        <w:rPr>
          <w:b/>
          <w:bCs/>
          <w:sz w:val="24"/>
          <w:szCs w:val="24"/>
          <w:lang w:val="en-US"/>
        </w:rPr>
      </w:pPr>
      <w:r w:rsidRPr="000709E9">
        <w:rPr>
          <w:b/>
          <w:bCs/>
          <w:sz w:val="24"/>
          <w:szCs w:val="24"/>
          <w:lang w:val="en-US"/>
        </w:rPr>
        <w:t>Proposal 1:</w:t>
      </w:r>
      <w:r>
        <w:rPr>
          <w:b/>
          <w:bCs/>
          <w:sz w:val="24"/>
          <w:szCs w:val="24"/>
          <w:lang w:val="en-US"/>
        </w:rPr>
        <w:t xml:space="preserve"> </w:t>
      </w:r>
      <w:r w:rsidR="00C959E9">
        <w:rPr>
          <w:b/>
          <w:bCs/>
          <w:sz w:val="24"/>
          <w:szCs w:val="24"/>
          <w:lang w:val="en-US"/>
        </w:rPr>
        <w:t xml:space="preserve">In case of </w:t>
      </w:r>
      <w:r w:rsidR="002D58FF">
        <w:rPr>
          <w:b/>
          <w:bCs/>
          <w:sz w:val="24"/>
          <w:szCs w:val="24"/>
          <w:lang w:val="en-US"/>
        </w:rPr>
        <w:t>TDD 15kHz + TDD 30kHz CA with TDD 15kHz as PCell, d</w:t>
      </w:r>
      <w:r w:rsidR="00C959E9" w:rsidRPr="00C959E9">
        <w:rPr>
          <w:b/>
          <w:bCs/>
          <w:sz w:val="24"/>
          <w:szCs w:val="24"/>
          <w:lang w:val="en-US"/>
        </w:rPr>
        <w:t>ifferent RTTs (10 or 20 slots) are used for different HARQ processes, and initial transmission and retransmission are scheduled on the same type of TDD slot.</w:t>
      </w:r>
    </w:p>
    <w:p w14:paraId="7BC41469" w14:textId="0169A502" w:rsidR="00B26E91" w:rsidRPr="00384BBB" w:rsidRDefault="002D58FF" w:rsidP="00B26E91">
      <w:pPr>
        <w:rPr>
          <w:b/>
          <w:bCs/>
          <w:sz w:val="24"/>
          <w:szCs w:val="24"/>
          <w:lang w:val="en-US"/>
        </w:rPr>
      </w:pPr>
      <w:r>
        <w:rPr>
          <w:b/>
          <w:bCs/>
          <w:sz w:val="24"/>
          <w:szCs w:val="24"/>
          <w:lang w:val="en-US"/>
        </w:rPr>
        <w:t xml:space="preserve">Proposal 2: </w:t>
      </w:r>
      <w:r>
        <w:rPr>
          <w:b/>
          <w:bCs/>
          <w:sz w:val="24"/>
          <w:szCs w:val="24"/>
          <w:lang w:val="en-US"/>
        </w:rPr>
        <w:t xml:space="preserve">In case of TDD 15kHz + TDD 30kHz CA with TDD </w:t>
      </w:r>
      <w:r>
        <w:rPr>
          <w:b/>
          <w:bCs/>
          <w:sz w:val="24"/>
          <w:szCs w:val="24"/>
          <w:lang w:val="en-US"/>
        </w:rPr>
        <w:t>30</w:t>
      </w:r>
      <w:r>
        <w:rPr>
          <w:b/>
          <w:bCs/>
          <w:sz w:val="24"/>
          <w:szCs w:val="24"/>
          <w:lang w:val="en-US"/>
        </w:rPr>
        <w:t>kHz as PCell,</w:t>
      </w:r>
      <w:r>
        <w:rPr>
          <w:b/>
          <w:bCs/>
          <w:sz w:val="24"/>
          <w:szCs w:val="24"/>
          <w:lang w:val="en-US"/>
        </w:rPr>
        <w:t xml:space="preserve"> use 8 HARQ processes.</w:t>
      </w:r>
    </w:p>
    <w:p w14:paraId="2C50079E" w14:textId="23DE5EE9" w:rsidR="00B26E91" w:rsidRDefault="00B26E91" w:rsidP="00B26E91">
      <w:pPr>
        <w:rPr>
          <w:bCs/>
          <w:sz w:val="24"/>
          <w:szCs w:val="24"/>
          <w:lang w:val="en-US"/>
        </w:rPr>
      </w:pPr>
      <w:r>
        <w:rPr>
          <w:bCs/>
          <w:sz w:val="24"/>
          <w:szCs w:val="24"/>
          <w:lang w:val="en-US"/>
        </w:rPr>
        <w:t>As performance does not change drastically with number of HARQ processes</w:t>
      </w:r>
      <w:r w:rsidR="00384BBB">
        <w:rPr>
          <w:bCs/>
          <w:sz w:val="24"/>
          <w:szCs w:val="24"/>
          <w:lang w:val="en-US"/>
        </w:rPr>
        <w:t xml:space="preserve"> and RAN4 has already agreed to reuse single carrier performance for CA</w:t>
      </w:r>
      <w:r>
        <w:rPr>
          <w:bCs/>
          <w:sz w:val="24"/>
          <w:szCs w:val="24"/>
          <w:lang w:val="en-US"/>
        </w:rPr>
        <w:t>, our preference is to define the test with PCell configuration that results in lower number of HARQ processes. Therefore, we propose the following.</w:t>
      </w:r>
    </w:p>
    <w:p w14:paraId="347F38DD" w14:textId="1A86EBE8" w:rsidR="00301A78" w:rsidRPr="00A61801" w:rsidRDefault="00B26E91" w:rsidP="00B26E91">
      <w:pPr>
        <w:rPr>
          <w:b/>
          <w:sz w:val="24"/>
          <w:szCs w:val="24"/>
          <w:lang w:val="en-US"/>
        </w:rPr>
      </w:pPr>
      <w:r w:rsidRPr="00A61801">
        <w:rPr>
          <w:b/>
          <w:sz w:val="24"/>
          <w:szCs w:val="24"/>
          <w:lang w:val="en-US"/>
        </w:rPr>
        <w:t xml:space="preserve">Proposal </w:t>
      </w:r>
      <w:r w:rsidR="00301A78">
        <w:rPr>
          <w:b/>
          <w:sz w:val="24"/>
          <w:szCs w:val="24"/>
          <w:lang w:val="en-US"/>
        </w:rPr>
        <w:t>3</w:t>
      </w:r>
      <w:r w:rsidRPr="00A61801">
        <w:rPr>
          <w:b/>
          <w:sz w:val="24"/>
          <w:szCs w:val="24"/>
          <w:lang w:val="en-US"/>
        </w:rPr>
        <w:t>: If P</w:t>
      </w:r>
      <w:r>
        <w:rPr>
          <w:b/>
          <w:sz w:val="24"/>
          <w:szCs w:val="24"/>
          <w:lang w:val="en-US"/>
        </w:rPr>
        <w:t>C</w:t>
      </w:r>
      <w:r w:rsidRPr="00A61801">
        <w:rPr>
          <w:b/>
          <w:sz w:val="24"/>
          <w:szCs w:val="24"/>
          <w:lang w:val="en-US"/>
        </w:rPr>
        <w:t>ell in both carriers are supported, configure FDD cell as P</w:t>
      </w:r>
      <w:r>
        <w:rPr>
          <w:b/>
          <w:sz w:val="24"/>
          <w:szCs w:val="24"/>
          <w:lang w:val="en-US"/>
        </w:rPr>
        <w:t>C</w:t>
      </w:r>
      <w:r w:rsidRPr="00A61801">
        <w:rPr>
          <w:b/>
          <w:sz w:val="24"/>
          <w:szCs w:val="24"/>
          <w:lang w:val="en-US"/>
        </w:rPr>
        <w:t>ell in TDD-FDD CA, configure 30 kHz SCS cell as P</w:t>
      </w:r>
      <w:r>
        <w:rPr>
          <w:b/>
          <w:sz w:val="24"/>
          <w:szCs w:val="24"/>
          <w:lang w:val="en-US"/>
        </w:rPr>
        <w:t>C</w:t>
      </w:r>
      <w:r w:rsidRPr="00A61801">
        <w:rPr>
          <w:b/>
          <w:sz w:val="24"/>
          <w:szCs w:val="24"/>
          <w:lang w:val="en-US"/>
        </w:rPr>
        <w:t>ell in TDD 15</w:t>
      </w:r>
      <w:r>
        <w:rPr>
          <w:b/>
          <w:sz w:val="24"/>
          <w:szCs w:val="24"/>
          <w:lang w:val="en-US"/>
        </w:rPr>
        <w:t>kHz</w:t>
      </w:r>
      <w:r w:rsidRPr="00A61801">
        <w:rPr>
          <w:b/>
          <w:sz w:val="24"/>
          <w:szCs w:val="24"/>
          <w:lang w:val="en-US"/>
        </w:rPr>
        <w:t>+30kHz SCS CA.</w:t>
      </w:r>
    </w:p>
    <w:p w14:paraId="47A51527" w14:textId="77777777" w:rsidR="00B26E91" w:rsidRPr="00FD1D2F" w:rsidRDefault="00B26E91" w:rsidP="00B26E91">
      <w:pPr>
        <w:pStyle w:val="Heading1"/>
        <w:tabs>
          <w:tab w:val="clear" w:pos="7902"/>
          <w:tab w:val="num" w:pos="360"/>
        </w:tabs>
        <w:ind w:hanging="7902"/>
        <w:rPr>
          <w:lang w:val="en-US"/>
        </w:rPr>
      </w:pPr>
      <w:r>
        <w:rPr>
          <w:lang w:val="en-US"/>
        </w:rPr>
        <w:t>Conclusions</w:t>
      </w:r>
    </w:p>
    <w:p w14:paraId="23296418" w14:textId="77777777" w:rsidR="00B26E91" w:rsidRDefault="00B26E91" w:rsidP="00B26E91">
      <w:pPr>
        <w:rPr>
          <w:sz w:val="24"/>
          <w:szCs w:val="24"/>
          <w:lang w:val="en-US"/>
        </w:rPr>
      </w:pPr>
      <w:r>
        <w:rPr>
          <w:sz w:val="24"/>
          <w:szCs w:val="24"/>
          <w:lang w:val="en-US"/>
        </w:rPr>
        <w:t>This paper proposes parameters and configurations related to NR CA demodulation performance requirements. Following has been observed and proposed.</w:t>
      </w:r>
    </w:p>
    <w:p w14:paraId="05F1A7EA" w14:textId="77777777" w:rsidR="00B26E91" w:rsidRDefault="00B26E91" w:rsidP="00B26E91">
      <w:pPr>
        <w:rPr>
          <w:b/>
          <w:bCs/>
          <w:sz w:val="24"/>
          <w:szCs w:val="24"/>
          <w:lang w:val="en-US"/>
        </w:rPr>
      </w:pPr>
      <w:r>
        <w:rPr>
          <w:b/>
          <w:bCs/>
          <w:sz w:val="24"/>
          <w:szCs w:val="24"/>
          <w:lang w:val="en-US"/>
        </w:rPr>
        <w:t xml:space="preserve">Observation 1: </w:t>
      </w:r>
      <w:r w:rsidRPr="000709E9">
        <w:rPr>
          <w:b/>
          <w:bCs/>
          <w:sz w:val="24"/>
          <w:szCs w:val="24"/>
          <w:lang w:val="en-US"/>
        </w:rPr>
        <w:t>Initial transmission and retransmission should happen on the same type of slot. Otherwise, it will degrade the HARQ performance</w:t>
      </w:r>
      <w:r>
        <w:rPr>
          <w:b/>
          <w:bCs/>
          <w:sz w:val="24"/>
          <w:szCs w:val="24"/>
          <w:lang w:val="en-US"/>
        </w:rPr>
        <w:t>.</w:t>
      </w:r>
    </w:p>
    <w:p w14:paraId="3AD60714" w14:textId="77777777" w:rsidR="00020976" w:rsidRDefault="00020976" w:rsidP="00020976">
      <w:pPr>
        <w:rPr>
          <w:b/>
          <w:bCs/>
          <w:sz w:val="24"/>
          <w:szCs w:val="24"/>
          <w:lang w:val="en-US"/>
        </w:rPr>
      </w:pPr>
      <w:r w:rsidRPr="000709E9">
        <w:rPr>
          <w:b/>
          <w:bCs/>
          <w:sz w:val="24"/>
          <w:szCs w:val="24"/>
          <w:lang w:val="en-US"/>
        </w:rPr>
        <w:t>Proposal 1:</w:t>
      </w:r>
      <w:r>
        <w:rPr>
          <w:b/>
          <w:bCs/>
          <w:sz w:val="24"/>
          <w:szCs w:val="24"/>
          <w:lang w:val="en-US"/>
        </w:rPr>
        <w:t xml:space="preserve"> In case of TDD 15kHz + TDD 30kHz CA with TDD 15kHz as PCell, d</w:t>
      </w:r>
      <w:r w:rsidRPr="00C959E9">
        <w:rPr>
          <w:b/>
          <w:bCs/>
          <w:sz w:val="24"/>
          <w:szCs w:val="24"/>
          <w:lang w:val="en-US"/>
        </w:rPr>
        <w:t>ifferent RTTs (10 or 20 slots) are used for different HARQ processes, and initial transmission and retransmission are scheduled on the same type of TDD slot.</w:t>
      </w:r>
    </w:p>
    <w:p w14:paraId="3FDA6E72" w14:textId="77777777" w:rsidR="00020976" w:rsidRPr="00384BBB" w:rsidRDefault="00020976" w:rsidP="00020976">
      <w:pPr>
        <w:rPr>
          <w:b/>
          <w:bCs/>
          <w:sz w:val="24"/>
          <w:szCs w:val="24"/>
          <w:lang w:val="en-US"/>
        </w:rPr>
      </w:pPr>
      <w:r>
        <w:rPr>
          <w:b/>
          <w:bCs/>
          <w:sz w:val="24"/>
          <w:szCs w:val="24"/>
          <w:lang w:val="en-US"/>
        </w:rPr>
        <w:lastRenderedPageBreak/>
        <w:t>Proposal 2: In case of TDD 15kHz + TDD 30kHz CA with TDD 30kHz as PCell, use 8 HARQ processes.</w:t>
      </w:r>
    </w:p>
    <w:p w14:paraId="04D2E6D0" w14:textId="0F516182" w:rsidR="00B26E91" w:rsidRPr="00020976" w:rsidRDefault="00B26E91" w:rsidP="00B26E91">
      <w:pPr>
        <w:rPr>
          <w:b/>
          <w:sz w:val="24"/>
          <w:szCs w:val="24"/>
          <w:lang w:val="en-US"/>
        </w:rPr>
      </w:pPr>
      <w:r w:rsidRPr="00A61801">
        <w:rPr>
          <w:b/>
          <w:sz w:val="24"/>
          <w:szCs w:val="24"/>
          <w:lang w:val="en-US"/>
        </w:rPr>
        <w:t xml:space="preserve">Proposal </w:t>
      </w:r>
      <w:r w:rsidR="00020976">
        <w:rPr>
          <w:b/>
          <w:sz w:val="24"/>
          <w:szCs w:val="24"/>
          <w:lang w:val="en-US"/>
        </w:rPr>
        <w:t>3</w:t>
      </w:r>
      <w:r w:rsidRPr="00A61801">
        <w:rPr>
          <w:b/>
          <w:sz w:val="24"/>
          <w:szCs w:val="24"/>
          <w:lang w:val="en-US"/>
        </w:rPr>
        <w:t>: If P</w:t>
      </w:r>
      <w:r>
        <w:rPr>
          <w:b/>
          <w:sz w:val="24"/>
          <w:szCs w:val="24"/>
          <w:lang w:val="en-US"/>
        </w:rPr>
        <w:t>C</w:t>
      </w:r>
      <w:r w:rsidRPr="00A61801">
        <w:rPr>
          <w:b/>
          <w:sz w:val="24"/>
          <w:szCs w:val="24"/>
          <w:lang w:val="en-US"/>
        </w:rPr>
        <w:t>ell in both carriers are supported, configure FDD cell as P</w:t>
      </w:r>
      <w:r>
        <w:rPr>
          <w:b/>
          <w:sz w:val="24"/>
          <w:szCs w:val="24"/>
          <w:lang w:val="en-US"/>
        </w:rPr>
        <w:t>C</w:t>
      </w:r>
      <w:r w:rsidRPr="00A61801">
        <w:rPr>
          <w:b/>
          <w:sz w:val="24"/>
          <w:szCs w:val="24"/>
          <w:lang w:val="en-US"/>
        </w:rPr>
        <w:t>ell in TDD-FDD CA, configure 30 kHz SCS cell as P</w:t>
      </w:r>
      <w:r>
        <w:rPr>
          <w:b/>
          <w:sz w:val="24"/>
          <w:szCs w:val="24"/>
          <w:lang w:val="en-US"/>
        </w:rPr>
        <w:t>C</w:t>
      </w:r>
      <w:r w:rsidRPr="00A61801">
        <w:rPr>
          <w:b/>
          <w:sz w:val="24"/>
          <w:szCs w:val="24"/>
          <w:lang w:val="en-US"/>
        </w:rPr>
        <w:t>ell in TDD 15</w:t>
      </w:r>
      <w:r>
        <w:rPr>
          <w:b/>
          <w:sz w:val="24"/>
          <w:szCs w:val="24"/>
          <w:lang w:val="en-US"/>
        </w:rPr>
        <w:t>kHz</w:t>
      </w:r>
      <w:r w:rsidRPr="00A61801">
        <w:rPr>
          <w:b/>
          <w:sz w:val="24"/>
          <w:szCs w:val="24"/>
          <w:lang w:val="en-US"/>
        </w:rPr>
        <w:t>+30kHz SCS CA.</w:t>
      </w:r>
    </w:p>
    <w:p w14:paraId="29ED5CC8" w14:textId="77777777" w:rsidR="00B26E91" w:rsidRDefault="00B26E91" w:rsidP="00B26E91">
      <w:pPr>
        <w:pStyle w:val="Heading1"/>
        <w:tabs>
          <w:tab w:val="clear" w:pos="7902"/>
          <w:tab w:val="num" w:pos="360"/>
        </w:tabs>
        <w:ind w:hanging="7902"/>
        <w:rPr>
          <w:lang w:val="en-US"/>
        </w:rPr>
      </w:pPr>
      <w:r>
        <w:rPr>
          <w:lang w:val="en-US"/>
        </w:rPr>
        <w:t>References</w:t>
      </w:r>
    </w:p>
    <w:p w14:paraId="308E30CC" w14:textId="391BBD96" w:rsidR="00B26E91" w:rsidRPr="001956CF" w:rsidRDefault="00B26E91" w:rsidP="00B26E91">
      <w:pPr>
        <w:rPr>
          <w:sz w:val="24"/>
          <w:szCs w:val="24"/>
          <w:lang w:val="en-US"/>
        </w:rPr>
      </w:pPr>
      <w:r>
        <w:rPr>
          <w:sz w:val="24"/>
          <w:szCs w:val="24"/>
          <w:lang w:val="en-US"/>
        </w:rPr>
        <w:t>[1] R4-200</w:t>
      </w:r>
      <w:r w:rsidR="004E575F">
        <w:rPr>
          <w:sz w:val="24"/>
          <w:szCs w:val="24"/>
          <w:lang w:val="en-US"/>
        </w:rPr>
        <w:t>5546</w:t>
      </w:r>
      <w:r>
        <w:rPr>
          <w:sz w:val="24"/>
          <w:szCs w:val="24"/>
          <w:lang w:val="en-US"/>
        </w:rPr>
        <w:t>, “</w:t>
      </w:r>
      <w:r w:rsidRPr="002213C6">
        <w:rPr>
          <w:sz w:val="24"/>
          <w:szCs w:val="24"/>
        </w:rPr>
        <w:t>Way forward on PDSCH CA normal demodulation requirements</w:t>
      </w:r>
      <w:r>
        <w:rPr>
          <w:sz w:val="24"/>
          <w:szCs w:val="24"/>
          <w:lang w:val="en-US"/>
        </w:rPr>
        <w:t>”, 3GPP TSG RAN WG4 Meeting #94-</w:t>
      </w:r>
      <w:r w:rsidR="00345CE4">
        <w:rPr>
          <w:sz w:val="24"/>
          <w:szCs w:val="24"/>
          <w:lang w:val="en-US"/>
        </w:rPr>
        <w:t>bis-</w:t>
      </w:r>
      <w:r>
        <w:rPr>
          <w:sz w:val="24"/>
          <w:szCs w:val="24"/>
          <w:lang w:val="en-US"/>
        </w:rPr>
        <w:t>e</w:t>
      </w:r>
      <w:r w:rsidRPr="0038238B">
        <w:rPr>
          <w:sz w:val="24"/>
          <w:szCs w:val="24"/>
          <w:lang w:val="en-US"/>
        </w:rPr>
        <w:t xml:space="preserve">, </w:t>
      </w:r>
      <w:r>
        <w:rPr>
          <w:sz w:val="24"/>
          <w:szCs w:val="24"/>
          <w:lang w:val="en-US"/>
        </w:rPr>
        <w:t>Online</w:t>
      </w:r>
      <w:r w:rsidRPr="00AD3BD9">
        <w:rPr>
          <w:sz w:val="24"/>
          <w:szCs w:val="24"/>
          <w:lang w:val="en-US"/>
        </w:rPr>
        <w:t xml:space="preserve">, </w:t>
      </w:r>
      <w:r w:rsidR="00E25CB4">
        <w:rPr>
          <w:sz w:val="24"/>
          <w:szCs w:val="24"/>
          <w:lang w:val="en-US"/>
        </w:rPr>
        <w:t>Apr</w:t>
      </w:r>
      <w:r w:rsidRPr="00AD3BD9">
        <w:rPr>
          <w:sz w:val="24"/>
          <w:szCs w:val="24"/>
          <w:lang w:val="en-US"/>
        </w:rPr>
        <w:t xml:space="preserve"> </w:t>
      </w:r>
      <w:r>
        <w:rPr>
          <w:sz w:val="24"/>
          <w:szCs w:val="24"/>
          <w:lang w:val="en-US"/>
        </w:rPr>
        <w:t>2</w:t>
      </w:r>
      <w:r w:rsidR="00E25CB4">
        <w:rPr>
          <w:sz w:val="24"/>
          <w:szCs w:val="24"/>
          <w:lang w:val="en-US"/>
        </w:rPr>
        <w:t>0</w:t>
      </w:r>
      <w:r>
        <w:rPr>
          <w:sz w:val="24"/>
          <w:szCs w:val="24"/>
          <w:lang w:val="en-US"/>
        </w:rPr>
        <w:t xml:space="preserve"> </w:t>
      </w:r>
      <w:r w:rsidRPr="00AD3BD9">
        <w:rPr>
          <w:sz w:val="24"/>
          <w:szCs w:val="24"/>
          <w:lang w:val="en-US"/>
        </w:rPr>
        <w:t>-</w:t>
      </w:r>
      <w:r>
        <w:rPr>
          <w:sz w:val="24"/>
          <w:szCs w:val="24"/>
          <w:lang w:val="en-US"/>
        </w:rPr>
        <w:t xml:space="preserve"> </w:t>
      </w:r>
      <w:r w:rsidR="00E25CB4">
        <w:rPr>
          <w:sz w:val="24"/>
          <w:szCs w:val="24"/>
          <w:lang w:val="en-US"/>
        </w:rPr>
        <w:t>Ap</w:t>
      </w:r>
      <w:r>
        <w:rPr>
          <w:sz w:val="24"/>
          <w:szCs w:val="24"/>
          <w:lang w:val="en-US"/>
        </w:rPr>
        <w:t xml:space="preserve">r </w:t>
      </w:r>
      <w:r w:rsidR="00E25CB4">
        <w:rPr>
          <w:sz w:val="24"/>
          <w:szCs w:val="24"/>
          <w:lang w:val="en-US"/>
        </w:rPr>
        <w:t>30</w:t>
      </w:r>
      <w:r w:rsidRPr="00AD3BD9">
        <w:rPr>
          <w:sz w:val="24"/>
          <w:szCs w:val="24"/>
          <w:lang w:val="en-US"/>
        </w:rPr>
        <w:t>, 20</w:t>
      </w:r>
      <w:r>
        <w:rPr>
          <w:sz w:val="24"/>
          <w:szCs w:val="24"/>
          <w:lang w:val="en-US"/>
        </w:rPr>
        <w:t>20</w:t>
      </w:r>
      <w:r w:rsidRPr="0038238B">
        <w:rPr>
          <w:sz w:val="24"/>
          <w:szCs w:val="24"/>
          <w:lang w:val="en-US"/>
        </w:rPr>
        <w:t>.</w:t>
      </w:r>
      <w:bookmarkStart w:id="2" w:name="_GoBack"/>
      <w:bookmarkEnd w:id="2"/>
    </w:p>
    <w:p w14:paraId="7C3A0770" w14:textId="77777777" w:rsidR="00F91A41" w:rsidRDefault="00F91A41"/>
    <w:sectPr w:rsidR="00F91A41" w:rsidSect="00EA46F7">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39E12" w14:textId="77777777" w:rsidR="00000000" w:rsidRDefault="00020976">
      <w:pPr>
        <w:spacing w:after="0"/>
      </w:pPr>
      <w:r>
        <w:separator/>
      </w:r>
    </w:p>
  </w:endnote>
  <w:endnote w:type="continuationSeparator" w:id="0">
    <w:p w14:paraId="3A42451E" w14:textId="77777777" w:rsidR="00000000" w:rsidRDefault="000209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2CACA" w14:textId="77777777" w:rsidR="00885931" w:rsidRDefault="00D707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5A8890" w14:textId="77777777" w:rsidR="00885931" w:rsidRDefault="00020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6A0EB" w14:textId="77777777" w:rsidR="00885931" w:rsidRDefault="00D707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817FDAA" w14:textId="77777777" w:rsidR="00885931" w:rsidRDefault="0002097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4E87B" w14:textId="77777777" w:rsidR="00000000" w:rsidRDefault="00020976">
      <w:pPr>
        <w:spacing w:after="0"/>
      </w:pPr>
      <w:r>
        <w:separator/>
      </w:r>
    </w:p>
  </w:footnote>
  <w:footnote w:type="continuationSeparator" w:id="0">
    <w:p w14:paraId="04AC1862" w14:textId="77777777" w:rsidR="00000000" w:rsidRDefault="000209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9F1"/>
    <w:rsid w:val="00001B4E"/>
    <w:rsid w:val="00020976"/>
    <w:rsid w:val="00056FD8"/>
    <w:rsid w:val="00063781"/>
    <w:rsid w:val="000A20FD"/>
    <w:rsid w:val="000B29C4"/>
    <w:rsid w:val="000D1593"/>
    <w:rsid w:val="000F3306"/>
    <w:rsid w:val="00111BB5"/>
    <w:rsid w:val="00123017"/>
    <w:rsid w:val="001400C8"/>
    <w:rsid w:val="001A38E0"/>
    <w:rsid w:val="001E49C7"/>
    <w:rsid w:val="001F1F5E"/>
    <w:rsid w:val="002435EF"/>
    <w:rsid w:val="002831D7"/>
    <w:rsid w:val="00284091"/>
    <w:rsid w:val="00290161"/>
    <w:rsid w:val="002945E9"/>
    <w:rsid w:val="00297B98"/>
    <w:rsid w:val="002C47A2"/>
    <w:rsid w:val="002D58FF"/>
    <w:rsid w:val="002E5BDA"/>
    <w:rsid w:val="00301A78"/>
    <w:rsid w:val="00311AE7"/>
    <w:rsid w:val="0032533A"/>
    <w:rsid w:val="00333C98"/>
    <w:rsid w:val="00333E9A"/>
    <w:rsid w:val="00345CE4"/>
    <w:rsid w:val="00366150"/>
    <w:rsid w:val="00384BBB"/>
    <w:rsid w:val="00385A01"/>
    <w:rsid w:val="003864A8"/>
    <w:rsid w:val="003A515D"/>
    <w:rsid w:val="003A70B0"/>
    <w:rsid w:val="003B79F1"/>
    <w:rsid w:val="003D0F92"/>
    <w:rsid w:val="003E3764"/>
    <w:rsid w:val="003F2AC0"/>
    <w:rsid w:val="00403499"/>
    <w:rsid w:val="00486BCF"/>
    <w:rsid w:val="0049316B"/>
    <w:rsid w:val="004E575F"/>
    <w:rsid w:val="0056284D"/>
    <w:rsid w:val="00562C10"/>
    <w:rsid w:val="00565CFC"/>
    <w:rsid w:val="00592313"/>
    <w:rsid w:val="005A2079"/>
    <w:rsid w:val="005B03FC"/>
    <w:rsid w:val="005C55AF"/>
    <w:rsid w:val="005F7081"/>
    <w:rsid w:val="00621E22"/>
    <w:rsid w:val="00646768"/>
    <w:rsid w:val="00646C21"/>
    <w:rsid w:val="006563BA"/>
    <w:rsid w:val="00677EE9"/>
    <w:rsid w:val="006977EB"/>
    <w:rsid w:val="006A359C"/>
    <w:rsid w:val="006C27F1"/>
    <w:rsid w:val="006E46C8"/>
    <w:rsid w:val="00707106"/>
    <w:rsid w:val="00727A62"/>
    <w:rsid w:val="00730C19"/>
    <w:rsid w:val="00790422"/>
    <w:rsid w:val="007D5E33"/>
    <w:rsid w:val="007E0AF6"/>
    <w:rsid w:val="0082559C"/>
    <w:rsid w:val="008362F0"/>
    <w:rsid w:val="00857BD8"/>
    <w:rsid w:val="00874026"/>
    <w:rsid w:val="008A70DF"/>
    <w:rsid w:val="008D3FF7"/>
    <w:rsid w:val="008F0333"/>
    <w:rsid w:val="009034F5"/>
    <w:rsid w:val="00967946"/>
    <w:rsid w:val="009B047E"/>
    <w:rsid w:val="009B28F9"/>
    <w:rsid w:val="009C3364"/>
    <w:rsid w:val="009F785F"/>
    <w:rsid w:val="00A04C7E"/>
    <w:rsid w:val="00A122CB"/>
    <w:rsid w:val="00A4216E"/>
    <w:rsid w:val="00A53DDD"/>
    <w:rsid w:val="00A57F69"/>
    <w:rsid w:val="00A8613C"/>
    <w:rsid w:val="00A87B50"/>
    <w:rsid w:val="00AA1628"/>
    <w:rsid w:val="00AF3FB0"/>
    <w:rsid w:val="00AF452A"/>
    <w:rsid w:val="00B26E91"/>
    <w:rsid w:val="00B30FFA"/>
    <w:rsid w:val="00B62BB4"/>
    <w:rsid w:val="00B72893"/>
    <w:rsid w:val="00B83862"/>
    <w:rsid w:val="00B86D6E"/>
    <w:rsid w:val="00BD743A"/>
    <w:rsid w:val="00C12551"/>
    <w:rsid w:val="00C2282F"/>
    <w:rsid w:val="00C9447F"/>
    <w:rsid w:val="00C959E9"/>
    <w:rsid w:val="00C97FAC"/>
    <w:rsid w:val="00CB5C44"/>
    <w:rsid w:val="00CD2FBE"/>
    <w:rsid w:val="00CE68F6"/>
    <w:rsid w:val="00D24389"/>
    <w:rsid w:val="00D70749"/>
    <w:rsid w:val="00DB1853"/>
    <w:rsid w:val="00DB67E6"/>
    <w:rsid w:val="00DD1AA1"/>
    <w:rsid w:val="00DE150E"/>
    <w:rsid w:val="00E227E8"/>
    <w:rsid w:val="00E22AD0"/>
    <w:rsid w:val="00E25CB4"/>
    <w:rsid w:val="00E55806"/>
    <w:rsid w:val="00E73253"/>
    <w:rsid w:val="00E80783"/>
    <w:rsid w:val="00E817FE"/>
    <w:rsid w:val="00E86DC2"/>
    <w:rsid w:val="00E93BC6"/>
    <w:rsid w:val="00ED3D9C"/>
    <w:rsid w:val="00ED684C"/>
    <w:rsid w:val="00F91A41"/>
    <w:rsid w:val="00F94E6B"/>
    <w:rsid w:val="00FA64C9"/>
    <w:rsid w:val="00FB0807"/>
    <w:rsid w:val="00FB43EB"/>
    <w:rsid w:val="00FC0886"/>
    <w:rsid w:val="00FC6B4B"/>
    <w:rsid w:val="00FD01F0"/>
    <w:rsid w:val="00FE5A71"/>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E828A"/>
  <w15:chartTrackingRefBased/>
  <w15:docId w15:val="{B1FE5F52-8185-4B45-ABC1-EF0F84239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26E9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B26E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26E91"/>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26E9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B26E91"/>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B26E91"/>
    <w:pPr>
      <w:numPr>
        <w:ilvl w:val="5"/>
      </w:numPr>
      <w:outlineLvl w:val="4"/>
    </w:pPr>
    <w:rPr>
      <w:sz w:val="22"/>
    </w:rPr>
  </w:style>
  <w:style w:type="paragraph" w:styleId="Heading7">
    <w:name w:val="heading 7"/>
    <w:basedOn w:val="Normal"/>
    <w:next w:val="Normal"/>
    <w:link w:val="Heading7Char"/>
    <w:uiPriority w:val="99"/>
    <w:qFormat/>
    <w:rsid w:val="00B26E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9"/>
    <w:qFormat/>
    <w:rsid w:val="00B26E91"/>
    <w:pPr>
      <w:numPr>
        <w:ilvl w:val="7"/>
      </w:numPr>
      <w:outlineLvl w:val="7"/>
    </w:pPr>
  </w:style>
  <w:style w:type="paragraph" w:styleId="Heading9">
    <w:name w:val="heading 9"/>
    <w:basedOn w:val="Heading8"/>
    <w:next w:val="Normal"/>
    <w:link w:val="Heading9Char"/>
    <w:uiPriority w:val="99"/>
    <w:qFormat/>
    <w:rsid w:val="00B26E9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B26E9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B26E91"/>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26E9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6E91"/>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B26E91"/>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B26E91"/>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B26E91"/>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B26E91"/>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26E91"/>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26E91"/>
    <w:rPr>
      <w:rFonts w:ascii="Arial" w:eastAsia="Times New Roman" w:hAnsi="Arial" w:cs="Times New Roman"/>
      <w:b/>
      <w:noProof/>
      <w:sz w:val="18"/>
      <w:szCs w:val="20"/>
    </w:rPr>
  </w:style>
  <w:style w:type="paragraph" w:styleId="Footer">
    <w:name w:val="footer"/>
    <w:basedOn w:val="Header"/>
    <w:link w:val="FooterChar"/>
    <w:uiPriority w:val="99"/>
    <w:rsid w:val="00B26E91"/>
    <w:pPr>
      <w:jc w:val="center"/>
    </w:pPr>
    <w:rPr>
      <w:i/>
    </w:rPr>
  </w:style>
  <w:style w:type="character" w:customStyle="1" w:styleId="FooterChar">
    <w:name w:val="Footer Char"/>
    <w:basedOn w:val="DefaultParagraphFont"/>
    <w:link w:val="Footer"/>
    <w:uiPriority w:val="99"/>
    <w:rsid w:val="00B26E91"/>
    <w:rPr>
      <w:rFonts w:ascii="Arial" w:eastAsia="Times New Roman" w:hAnsi="Arial" w:cs="Times New Roman"/>
      <w:b/>
      <w:i/>
      <w:noProof/>
      <w:sz w:val="18"/>
      <w:szCs w:val="20"/>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B26E91"/>
    <w:pPr>
      <w:spacing w:before="120" w:after="120"/>
    </w:pPr>
    <w:rPr>
      <w:rFonts w:eastAsia="MS Mincho"/>
      <w:b/>
    </w:rPr>
  </w:style>
  <w:style w:type="character" w:styleId="PageNumber">
    <w:name w:val="page number"/>
    <w:basedOn w:val="DefaultParagraphFont"/>
    <w:rsid w:val="00B26E91"/>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B26E91"/>
    <w:rPr>
      <w:rFonts w:ascii="Times New Roman" w:eastAsia="MS Mincho" w:hAnsi="Times New Roman"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5453134">
      <w:bodyDiv w:val="1"/>
      <w:marLeft w:val="0"/>
      <w:marRight w:val="0"/>
      <w:marTop w:val="0"/>
      <w:marBottom w:val="0"/>
      <w:divBdr>
        <w:top w:val="none" w:sz="0" w:space="0" w:color="auto"/>
        <w:left w:val="none" w:sz="0" w:space="0" w:color="auto"/>
        <w:bottom w:val="none" w:sz="0" w:space="0" w:color="auto"/>
        <w:right w:val="none" w:sz="0" w:space="0" w:color="auto"/>
      </w:divBdr>
      <w:divsChild>
        <w:div w:id="149240796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390</Words>
  <Characters>2225</Characters>
  <Application>Microsoft Office Word</Application>
  <DocSecurity>0</DocSecurity>
  <Lines>18</Lines>
  <Paragraphs>5</Paragraphs>
  <ScaleCrop>false</ScaleCrop>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18</cp:revision>
  <dcterms:created xsi:type="dcterms:W3CDTF">2020-05-14T20:17:00Z</dcterms:created>
  <dcterms:modified xsi:type="dcterms:W3CDTF">2020-05-14T20:43:00Z</dcterms:modified>
</cp:coreProperties>
</file>