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536" w:rsidRPr="00574536" w:rsidRDefault="00574536" w:rsidP="00574536">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74536">
        <w:rPr>
          <w:rFonts w:ascii="Arial" w:hAnsi="Arial" w:cs="Arial"/>
          <w:b/>
          <w:sz w:val="24"/>
          <w:szCs w:val="24"/>
          <w:lang w:val="en-US"/>
        </w:rPr>
        <w:t>3GPP TSG-RAN WG4 Meeting #</w:t>
      </w:r>
      <w:r w:rsidRPr="00574536">
        <w:rPr>
          <w:lang w:val="en-US"/>
        </w:rPr>
        <w:t xml:space="preserve"> </w:t>
      </w:r>
      <w:r w:rsidRPr="00574536">
        <w:rPr>
          <w:rFonts w:ascii="Arial" w:hAnsi="Arial" w:cs="Arial"/>
          <w:b/>
          <w:sz w:val="24"/>
          <w:szCs w:val="24"/>
          <w:lang w:val="en-US"/>
        </w:rPr>
        <w:t>94-e-Bis</w:t>
      </w:r>
      <w:r w:rsidRPr="00574536" w:rsidDel="00277FAB">
        <w:rPr>
          <w:rFonts w:ascii="Arial" w:hAnsi="Arial" w:cs="Arial"/>
          <w:b/>
          <w:sz w:val="24"/>
          <w:szCs w:val="24"/>
          <w:lang w:val="en-US"/>
        </w:rPr>
        <w:t xml:space="preserve"> </w:t>
      </w:r>
      <w:r w:rsidRPr="00574536">
        <w:rPr>
          <w:rFonts w:ascii="Arial" w:hAnsi="Arial" w:cs="Arial"/>
          <w:b/>
          <w:sz w:val="24"/>
          <w:szCs w:val="24"/>
          <w:lang w:val="en-US"/>
        </w:rPr>
        <w:tab/>
      </w:r>
      <w:r w:rsidR="009D30E1" w:rsidRPr="009D30E1">
        <w:rPr>
          <w:rFonts w:ascii="Arial" w:hAnsi="Arial" w:cs="Arial"/>
          <w:b/>
          <w:sz w:val="24"/>
          <w:szCs w:val="24"/>
          <w:lang w:val="en-US"/>
        </w:rPr>
        <w:t>R4-2004249</w:t>
      </w:r>
      <w:bookmarkStart w:id="2" w:name="_GoBack"/>
      <w:bookmarkEnd w:id="2"/>
    </w:p>
    <w:p w:rsidR="00574536" w:rsidRPr="00574536" w:rsidRDefault="00574536" w:rsidP="00574536">
      <w:pPr>
        <w:tabs>
          <w:tab w:val="right" w:pos="9781"/>
          <w:tab w:val="right" w:pos="13323"/>
        </w:tabs>
        <w:spacing w:after="0"/>
        <w:outlineLvl w:val="0"/>
        <w:rPr>
          <w:rFonts w:ascii="Arial" w:eastAsia="宋体" w:hAnsi="Arial"/>
          <w:b/>
          <w:sz w:val="24"/>
          <w:szCs w:val="24"/>
          <w:lang w:val="en-US" w:eastAsia="zh-CN"/>
        </w:rPr>
      </w:pPr>
      <w:r w:rsidRPr="00574536">
        <w:rPr>
          <w:rFonts w:ascii="Arial" w:eastAsia="宋体" w:hAnsi="Arial"/>
          <w:b/>
          <w:sz w:val="24"/>
          <w:szCs w:val="24"/>
          <w:lang w:val="en-US" w:eastAsia="zh-CN"/>
        </w:rPr>
        <w:t>Electronic Meeting, 20</w:t>
      </w:r>
      <w:r w:rsidRPr="00574536">
        <w:rPr>
          <w:rFonts w:ascii="Arial" w:eastAsia="宋体" w:hAnsi="Arial" w:hint="eastAsia"/>
          <w:b/>
          <w:sz w:val="24"/>
          <w:szCs w:val="24"/>
          <w:lang w:val="en-US" w:eastAsia="zh-CN"/>
        </w:rPr>
        <w:t xml:space="preserve"> </w:t>
      </w:r>
      <w:r w:rsidRPr="00574536">
        <w:rPr>
          <w:rFonts w:ascii="Arial" w:eastAsia="宋体" w:hAnsi="Arial"/>
          <w:b/>
          <w:sz w:val="24"/>
          <w:szCs w:val="24"/>
          <w:lang w:val="en-US" w:eastAsia="zh-CN"/>
        </w:rPr>
        <w:t>–</w:t>
      </w:r>
      <w:r w:rsidRPr="00574536">
        <w:rPr>
          <w:rFonts w:ascii="Arial" w:eastAsia="宋体" w:hAnsi="Arial" w:hint="eastAsia"/>
          <w:b/>
          <w:sz w:val="24"/>
          <w:szCs w:val="24"/>
          <w:lang w:val="en-US" w:eastAsia="zh-CN"/>
        </w:rPr>
        <w:t xml:space="preserve"> </w:t>
      </w:r>
      <w:r w:rsidRPr="00574536">
        <w:rPr>
          <w:rFonts w:ascii="Arial" w:eastAsia="宋体" w:hAnsi="Arial"/>
          <w:b/>
          <w:sz w:val="24"/>
          <w:szCs w:val="24"/>
          <w:lang w:val="en-US" w:eastAsia="zh-CN"/>
        </w:rPr>
        <w:t>30 Apr., 2020</w:t>
      </w:r>
    </w:p>
    <w:p w:rsidR="00DF0231" w:rsidRPr="00574536"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74536">
        <w:rPr>
          <w:rFonts w:ascii="Arial" w:hAnsi="Arial"/>
          <w:sz w:val="24"/>
          <w:lang w:val="en-US"/>
        </w:rPr>
        <w:t>6.5.3.</w:t>
      </w:r>
      <w:r w:rsidR="00774A73">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951825">
        <w:rPr>
          <w:rFonts w:ascii="Arial" w:hAnsi="Arial"/>
          <w:sz w:val="24"/>
          <w:lang w:val="en-US"/>
        </w:rPr>
        <w:t>BFR</w:t>
      </w:r>
      <w:r w:rsidR="00AF0E37">
        <w:rPr>
          <w:rFonts w:ascii="Arial" w:hAnsi="Arial"/>
          <w:sz w:val="24"/>
          <w:lang w:val="en-US"/>
        </w:rPr>
        <w:t xml:space="preserve"> requirement for IAB-MT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IAB-MT were discussed. There are some remaining issues about RLM and link recovery procedures. We further investigate these issues and present views in this paper.</w:t>
      </w:r>
    </w:p>
    <w:p w:rsidR="00DF0231" w:rsidRDefault="00DF0231" w:rsidP="00DF0231">
      <w:pPr>
        <w:pStyle w:val="1"/>
        <w:numPr>
          <w:ilvl w:val="0"/>
          <w:numId w:val="1"/>
        </w:numPr>
        <w:rPr>
          <w:lang w:val="en-US"/>
        </w:rPr>
      </w:pPr>
      <w:r w:rsidRPr="002D2977">
        <w:rPr>
          <w:lang w:val="en-US"/>
        </w:rPr>
        <w:t>Discussion</w:t>
      </w:r>
    </w:p>
    <w:p w:rsidR="0050339C" w:rsidRDefault="00AF0E37" w:rsidP="00FC625D">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last RAN4 94e meeting, it was agreed that </w:t>
      </w:r>
      <w:r w:rsidR="00774A73">
        <w:rPr>
          <w:rFonts w:eastAsiaTheme="minorEastAsia"/>
          <w:lang w:val="en-US" w:eastAsia="zh-CN"/>
        </w:rPr>
        <w:t>BFR</w:t>
      </w:r>
      <w:r w:rsidRPr="00AF0E37">
        <w:rPr>
          <w:rFonts w:eastAsiaTheme="minorEastAsia"/>
          <w:lang w:val="en-US" w:eastAsia="zh-CN"/>
        </w:rPr>
        <w:t xml:space="preserve"> requirements for IAB-MTs are defined for no-DRX mode only.</w:t>
      </w:r>
      <w:r>
        <w:rPr>
          <w:rFonts w:eastAsiaTheme="minorEastAsia"/>
          <w:lang w:val="en-US" w:eastAsia="zh-CN"/>
        </w:rPr>
        <w:t xml:space="preserve"> And the corresponding requirements apply to </w:t>
      </w:r>
      <w:r w:rsidRPr="00AF0E37">
        <w:rPr>
          <w:rFonts w:eastAsiaTheme="minorEastAsia"/>
          <w:lang w:val="en-US" w:eastAsia="zh-CN"/>
        </w:rPr>
        <w:t>local area IAB class</w:t>
      </w:r>
      <w:r w:rsidR="007B692E">
        <w:rPr>
          <w:rFonts w:eastAsiaTheme="minorEastAsia"/>
          <w:lang w:val="en-US" w:eastAsia="zh-CN"/>
        </w:rPr>
        <w:t xml:space="preserve"> [1]</w:t>
      </w:r>
      <w:r>
        <w:rPr>
          <w:rFonts w:eastAsiaTheme="minorEastAsia"/>
          <w:lang w:val="en-US" w:eastAsia="zh-CN"/>
        </w:rPr>
        <w:t xml:space="preserve">. Some issues aroused without agreements from last meeting. </w:t>
      </w:r>
      <w:r w:rsidR="00774A73">
        <w:rPr>
          <w:rFonts w:eastAsiaTheme="minorEastAsia"/>
          <w:lang w:val="en-US" w:eastAsia="zh-CN"/>
        </w:rPr>
        <w:t>We present our views as follows.</w:t>
      </w:r>
    </w:p>
    <w:p w:rsidR="008D2271" w:rsidRDefault="008D2271" w:rsidP="001F2AE4">
      <w:pPr>
        <w:rPr>
          <w:rFonts w:eastAsiaTheme="minorEastAsia"/>
          <w:lang w:eastAsia="zh-CN"/>
        </w:rPr>
      </w:pPr>
      <w:r>
        <w:rPr>
          <w:rFonts w:eastAsiaTheme="minorEastAsia" w:hint="eastAsia"/>
          <w:lang w:eastAsia="zh-CN"/>
        </w:rPr>
        <w:t>A</w:t>
      </w:r>
      <w:r>
        <w:rPr>
          <w:rFonts w:eastAsiaTheme="minorEastAsia"/>
          <w:lang w:eastAsia="zh-CN"/>
        </w:rPr>
        <w:t>s discussed in the email discussion prior to the meeting, the requirements for BFR sh</w:t>
      </w:r>
      <w:r w:rsidR="001F2AE4">
        <w:rPr>
          <w:rFonts w:eastAsiaTheme="minorEastAsia"/>
          <w:lang w:eastAsia="zh-CN"/>
        </w:rPr>
        <w:t xml:space="preserve">all be based on RLM which shall </w:t>
      </w:r>
      <w:r>
        <w:rPr>
          <w:rFonts w:eastAsiaTheme="minorEastAsia"/>
          <w:lang w:eastAsia="zh-CN"/>
        </w:rPr>
        <w:t>keep the same principle as RLM.  For the fixed IAB nodes, the radio link failure and beam failure rarely happen, thus the requirement for UE will lead to extra efforts and power consumption for IAB-MT. Therefore, for the issues in terms of extending evaluation period, sharing factor and density of CSI-RS, we suggest to keep the same principles for both RLM and BFR considering the immobility of IAB node</w:t>
      </w:r>
      <w:r w:rsidR="00774A73">
        <w:rPr>
          <w:rFonts w:eastAsiaTheme="minorEastAsia"/>
          <w:lang w:eastAsia="zh-CN"/>
        </w:rPr>
        <w:t xml:space="preserve"> as mentioned in our contribution for RLM [2]</w:t>
      </w:r>
      <w:r>
        <w:rPr>
          <w:rFonts w:eastAsiaTheme="minorEastAsia"/>
          <w:lang w:eastAsia="zh-CN"/>
        </w:rPr>
        <w:t xml:space="preserve">. </w:t>
      </w:r>
    </w:p>
    <w:p w:rsidR="00490A38" w:rsidRPr="001F2AE4" w:rsidRDefault="001F2AE4" w:rsidP="001F2AE4">
      <w:pPr>
        <w:rPr>
          <w:rFonts w:eastAsiaTheme="minorEastAsia"/>
          <w:b/>
          <w:lang w:eastAsia="zh-CN"/>
        </w:rPr>
      </w:pPr>
      <w:r w:rsidRPr="001F2AE4">
        <w:rPr>
          <w:rFonts w:eastAsiaTheme="minorEastAsia"/>
          <w:b/>
          <w:lang w:eastAsia="zh-CN"/>
        </w:rPr>
        <w:t xml:space="preserve">Proposal </w:t>
      </w:r>
      <w:r w:rsidR="00774A73">
        <w:rPr>
          <w:rFonts w:eastAsiaTheme="minorEastAsia"/>
          <w:b/>
          <w:lang w:eastAsia="zh-CN"/>
        </w:rPr>
        <w:t>1</w:t>
      </w:r>
      <w:r w:rsidRPr="001F2AE4">
        <w:rPr>
          <w:rFonts w:eastAsiaTheme="minorEastAsia"/>
          <w:b/>
          <w:lang w:eastAsia="zh-CN"/>
        </w:rPr>
        <w:t xml:space="preserve">: </w:t>
      </w:r>
      <w:r w:rsidR="008D2271" w:rsidRPr="001F2AE4">
        <w:rPr>
          <w:rFonts w:eastAsiaTheme="minorEastAsia"/>
          <w:b/>
          <w:lang w:eastAsia="zh-CN"/>
        </w:rPr>
        <w:t>For the issues in terms of extending evaluation period, sharing factor and density of CSI-RS,</w:t>
      </w:r>
      <w:r w:rsidRPr="001F2AE4">
        <w:rPr>
          <w:rFonts w:eastAsiaTheme="minorEastAsia"/>
          <w:b/>
          <w:lang w:eastAsia="zh-CN"/>
        </w:rPr>
        <w:t xml:space="preserve"> </w:t>
      </w:r>
      <w:r w:rsidR="008D2271" w:rsidRPr="001F2AE4">
        <w:rPr>
          <w:rFonts w:eastAsiaTheme="minorEastAsia"/>
          <w:b/>
          <w:lang w:eastAsia="zh-CN"/>
        </w:rPr>
        <w:t>keep the same principles for both RLM and BFR considering the immobility of IAB node.</w:t>
      </w:r>
    </w:p>
    <w:p w:rsidR="001F2AE4" w:rsidRDefault="001F2AE4" w:rsidP="001F2AE4">
      <w:pPr>
        <w:rPr>
          <w:rFonts w:eastAsiaTheme="minorEastAsia"/>
          <w:lang w:eastAsia="zh-CN"/>
        </w:rPr>
      </w:pPr>
      <w:r>
        <w:rPr>
          <w:rFonts w:eastAsiaTheme="minorEastAsia"/>
          <w:lang w:eastAsia="zh-CN"/>
        </w:rPr>
        <w:t>Another issues is about the beam sweeping factor for FR2. It can be observed that the beam sweeping factor N = 8 in the existing TS 38.133 for RLM and Link recovery procedure regardless of the UE type. The same sweeping factor also applies to UE PC1, which is the also fixed node. Thus for fixed IAB node, it is suggested to adopt the same beam sweeping factor which is 8 for RLM and Link recovery in TS 38.174.</w:t>
      </w:r>
    </w:p>
    <w:p w:rsidR="001F2AE4" w:rsidRPr="001F2AE4" w:rsidRDefault="001F2AE4" w:rsidP="001F2AE4">
      <w:pPr>
        <w:rPr>
          <w:rFonts w:eastAsiaTheme="minorEastAsia"/>
          <w:b/>
          <w:lang w:eastAsia="zh-CN"/>
        </w:rPr>
      </w:pPr>
      <w:r w:rsidRPr="001F2AE4">
        <w:rPr>
          <w:rFonts w:eastAsiaTheme="minorEastAsia" w:hint="eastAsia"/>
          <w:b/>
          <w:lang w:eastAsia="zh-CN"/>
        </w:rPr>
        <w:t>P</w:t>
      </w:r>
      <w:r w:rsidRPr="001F2AE4">
        <w:rPr>
          <w:rFonts w:eastAsiaTheme="minorEastAsia"/>
          <w:b/>
          <w:lang w:eastAsia="zh-CN"/>
        </w:rPr>
        <w:t xml:space="preserve">roposal </w:t>
      </w:r>
      <w:r w:rsidR="00774A73">
        <w:rPr>
          <w:rFonts w:eastAsiaTheme="minorEastAsia"/>
          <w:b/>
          <w:lang w:eastAsia="zh-CN"/>
        </w:rPr>
        <w:t>2</w:t>
      </w:r>
      <w:r w:rsidRPr="001F2AE4">
        <w:rPr>
          <w:rFonts w:eastAsiaTheme="minorEastAsia"/>
          <w:b/>
          <w:lang w:eastAsia="zh-CN"/>
        </w:rPr>
        <w:t>: Adopt the same beam sweeping factor which is 8 for RLM and Link recovery for FR2 in TS 38.174.</w:t>
      </w:r>
    </w:p>
    <w:p w:rsidR="001F2AE4" w:rsidRPr="001F2AE4" w:rsidRDefault="001F2AE4" w:rsidP="001F2AE4">
      <w:pPr>
        <w:rPr>
          <w:rFonts w:eastAsiaTheme="minorEastAsia"/>
          <w:lang w:eastAsia="zh-CN"/>
        </w:rPr>
      </w:pPr>
    </w:p>
    <w:p w:rsidR="0050339C" w:rsidRDefault="0050339C" w:rsidP="0050339C">
      <w:pPr>
        <w:pStyle w:val="1"/>
        <w:numPr>
          <w:ilvl w:val="0"/>
          <w:numId w:val="1"/>
        </w:numPr>
        <w:rPr>
          <w:lang w:val="en-US"/>
        </w:rPr>
      </w:pPr>
      <w:r>
        <w:rPr>
          <w:lang w:val="en-US"/>
        </w:rPr>
        <w:t>Conclusion</w:t>
      </w:r>
    </w:p>
    <w:p w:rsidR="001F2AE4" w:rsidRPr="001F2AE4" w:rsidRDefault="001F2AE4" w:rsidP="001F2AE4">
      <w:pPr>
        <w:rPr>
          <w:rFonts w:eastAsiaTheme="minorEastAsia"/>
          <w:b/>
          <w:lang w:eastAsia="zh-CN"/>
        </w:rPr>
      </w:pPr>
      <w:r w:rsidRPr="001F2AE4">
        <w:rPr>
          <w:rFonts w:eastAsiaTheme="minorEastAsia"/>
          <w:b/>
          <w:lang w:eastAsia="zh-CN"/>
        </w:rPr>
        <w:t xml:space="preserve">Proposal </w:t>
      </w:r>
      <w:r w:rsidR="00774A73">
        <w:rPr>
          <w:rFonts w:eastAsiaTheme="minorEastAsia"/>
          <w:b/>
          <w:lang w:eastAsia="zh-CN"/>
        </w:rPr>
        <w:t>1</w:t>
      </w:r>
      <w:r w:rsidRPr="001F2AE4">
        <w:rPr>
          <w:rFonts w:eastAsiaTheme="minorEastAsia"/>
          <w:b/>
          <w:lang w:eastAsia="zh-CN"/>
        </w:rPr>
        <w:t>: For the issues in terms of extending evaluation period, sharing factor and density of CSI-RS, keep the same principles for both RLM and BFR considering the immobility of IAB node.</w:t>
      </w:r>
    </w:p>
    <w:p w:rsidR="001F2AE4" w:rsidRPr="001F2AE4" w:rsidRDefault="001F2AE4" w:rsidP="001F2AE4">
      <w:pPr>
        <w:rPr>
          <w:rFonts w:eastAsiaTheme="minorEastAsia"/>
          <w:b/>
          <w:lang w:eastAsia="zh-CN"/>
        </w:rPr>
      </w:pPr>
      <w:r w:rsidRPr="001F2AE4">
        <w:rPr>
          <w:rFonts w:eastAsiaTheme="minorEastAsia" w:hint="eastAsia"/>
          <w:b/>
          <w:lang w:eastAsia="zh-CN"/>
        </w:rPr>
        <w:t>P</w:t>
      </w:r>
      <w:r w:rsidRPr="001F2AE4">
        <w:rPr>
          <w:rFonts w:eastAsiaTheme="minorEastAsia"/>
          <w:b/>
          <w:lang w:eastAsia="zh-CN"/>
        </w:rPr>
        <w:t xml:space="preserve">roposal </w:t>
      </w:r>
      <w:r w:rsidR="00774A73">
        <w:rPr>
          <w:rFonts w:eastAsiaTheme="minorEastAsia"/>
          <w:b/>
          <w:lang w:eastAsia="zh-CN"/>
        </w:rPr>
        <w:t>2</w:t>
      </w:r>
      <w:r w:rsidRPr="001F2AE4">
        <w:rPr>
          <w:rFonts w:eastAsiaTheme="minorEastAsia"/>
          <w:b/>
          <w:lang w:eastAsia="zh-CN"/>
        </w:rPr>
        <w:t>: Adopt the same beam sweeping factor which is 8 for RLM and Link recovery for FR2 in TS 38.174</w:t>
      </w:r>
      <w:r>
        <w:rPr>
          <w:rFonts w:eastAsiaTheme="minorEastAsia"/>
          <w:b/>
          <w:lang w:eastAsia="zh-CN"/>
        </w:rPr>
        <w:t>.</w:t>
      </w:r>
    </w:p>
    <w:p w:rsidR="00DF0231" w:rsidRPr="002D2977" w:rsidRDefault="00DF0231" w:rsidP="00DF0231">
      <w:pPr>
        <w:pStyle w:val="1"/>
        <w:tabs>
          <w:tab w:val="clear" w:pos="432"/>
        </w:tabs>
        <w:ind w:left="0" w:firstLine="0"/>
        <w:rPr>
          <w:lang w:val="en-US"/>
        </w:rPr>
      </w:pPr>
      <w:r w:rsidRPr="002D2977">
        <w:rPr>
          <w:lang w:val="en-US"/>
        </w:rPr>
        <w:t>References</w:t>
      </w:r>
    </w:p>
    <w:p w:rsidR="007D0DF7" w:rsidRDefault="00DF0231" w:rsidP="007B692E">
      <w:r w:rsidRPr="002D2977">
        <w:rPr>
          <w:lang w:val="en-US"/>
        </w:rPr>
        <w:t xml:space="preserve">[1] </w:t>
      </w:r>
      <w:r w:rsidR="007B692E">
        <w:t>RP-193199</w:t>
      </w:r>
      <w:r w:rsidR="007B692E" w:rsidRPr="007B692E">
        <w:t xml:space="preserve"> “Proposed Way Forward on RRM Requirements for the IAB Project”</w:t>
      </w:r>
    </w:p>
    <w:p w:rsidR="00774A73" w:rsidRDefault="00774A73" w:rsidP="007B692E">
      <w:r>
        <w:t>[2] R4-20xxxxx</w:t>
      </w:r>
    </w:p>
    <w:sectPr w:rsidR="00774A73"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27A" w:rsidRDefault="00D9527A">
      <w:pPr>
        <w:spacing w:after="0"/>
      </w:pPr>
      <w:r>
        <w:separator/>
      </w:r>
    </w:p>
  </w:endnote>
  <w:endnote w:type="continuationSeparator" w:id="0">
    <w:p w:rsidR="00D9527A" w:rsidRDefault="00D952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8D2271" w:rsidRDefault="008D22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2271" w:rsidRDefault="008D2271">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D30E1">
      <w:rPr>
        <w:rStyle w:val="a5"/>
      </w:rPr>
      <w:t>1</w:t>
    </w:r>
    <w:r>
      <w:rPr>
        <w:rStyle w:val="a5"/>
      </w:rPr>
      <w:fldChar w:fldCharType="end"/>
    </w:r>
  </w:p>
  <w:p w:rsidR="008D2271" w:rsidRDefault="008D22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27A" w:rsidRDefault="00D9527A">
      <w:pPr>
        <w:spacing w:after="0"/>
      </w:pPr>
      <w:r>
        <w:separator/>
      </w:r>
    </w:p>
  </w:footnote>
  <w:footnote w:type="continuationSeparator" w:id="0">
    <w:p w:rsidR="00D9527A" w:rsidRDefault="00D952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8"/>
  </w:num>
  <w:num w:numId="2">
    <w:abstractNumId w:val="0"/>
  </w:num>
  <w:num w:numId="3">
    <w:abstractNumId w:val="12"/>
  </w:num>
  <w:num w:numId="4">
    <w:abstractNumId w:val="13"/>
  </w:num>
  <w:num w:numId="5">
    <w:abstractNumId w:val="11"/>
  </w:num>
  <w:num w:numId="6">
    <w:abstractNumId w:val="5"/>
  </w:num>
  <w:num w:numId="7">
    <w:abstractNumId w:val="10"/>
  </w:num>
  <w:num w:numId="8">
    <w:abstractNumId w:val="2"/>
  </w:num>
  <w:num w:numId="9">
    <w:abstractNumId w:val="4"/>
  </w:num>
  <w:num w:numId="10">
    <w:abstractNumId w:val="3"/>
  </w:num>
  <w:num w:numId="11">
    <w:abstractNumId w:val="6"/>
  </w:num>
  <w:num w:numId="12">
    <w:abstractNumId w:val="7"/>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100360"/>
    <w:rsid w:val="00187A32"/>
    <w:rsid w:val="00192DA7"/>
    <w:rsid w:val="001E7174"/>
    <w:rsid w:val="001F2AE4"/>
    <w:rsid w:val="0020033A"/>
    <w:rsid w:val="002129CD"/>
    <w:rsid w:val="002221AC"/>
    <w:rsid w:val="002328DD"/>
    <w:rsid w:val="00254F38"/>
    <w:rsid w:val="00282D3C"/>
    <w:rsid w:val="002A5E54"/>
    <w:rsid w:val="002B45C3"/>
    <w:rsid w:val="002E668C"/>
    <w:rsid w:val="002F579F"/>
    <w:rsid w:val="00311CF9"/>
    <w:rsid w:val="00336939"/>
    <w:rsid w:val="00356FB6"/>
    <w:rsid w:val="003664ED"/>
    <w:rsid w:val="003A5E2B"/>
    <w:rsid w:val="003F37F1"/>
    <w:rsid w:val="003F5BF9"/>
    <w:rsid w:val="003F762D"/>
    <w:rsid w:val="00430F24"/>
    <w:rsid w:val="00435EBD"/>
    <w:rsid w:val="00466D02"/>
    <w:rsid w:val="00477263"/>
    <w:rsid w:val="00490A38"/>
    <w:rsid w:val="0049501A"/>
    <w:rsid w:val="004A678E"/>
    <w:rsid w:val="004A7CF2"/>
    <w:rsid w:val="004C4868"/>
    <w:rsid w:val="004F0167"/>
    <w:rsid w:val="0050339C"/>
    <w:rsid w:val="005235DB"/>
    <w:rsid w:val="00530EB0"/>
    <w:rsid w:val="005449A0"/>
    <w:rsid w:val="00545EC2"/>
    <w:rsid w:val="0054734A"/>
    <w:rsid w:val="00574536"/>
    <w:rsid w:val="005F5231"/>
    <w:rsid w:val="006C6191"/>
    <w:rsid w:val="006D43CD"/>
    <w:rsid w:val="00701598"/>
    <w:rsid w:val="00712608"/>
    <w:rsid w:val="007200C7"/>
    <w:rsid w:val="00723883"/>
    <w:rsid w:val="00736D84"/>
    <w:rsid w:val="0077159B"/>
    <w:rsid w:val="00774A73"/>
    <w:rsid w:val="007902A8"/>
    <w:rsid w:val="007A37DA"/>
    <w:rsid w:val="007B692E"/>
    <w:rsid w:val="007B71D5"/>
    <w:rsid w:val="007D0DF7"/>
    <w:rsid w:val="007D3409"/>
    <w:rsid w:val="007E5F97"/>
    <w:rsid w:val="007E67EC"/>
    <w:rsid w:val="007F2E6A"/>
    <w:rsid w:val="00804945"/>
    <w:rsid w:val="008446CE"/>
    <w:rsid w:val="0087326D"/>
    <w:rsid w:val="00873C1C"/>
    <w:rsid w:val="00892EAE"/>
    <w:rsid w:val="008A1C4E"/>
    <w:rsid w:val="008B4F73"/>
    <w:rsid w:val="008D2271"/>
    <w:rsid w:val="008D3137"/>
    <w:rsid w:val="008D55C5"/>
    <w:rsid w:val="008E2591"/>
    <w:rsid w:val="008E4053"/>
    <w:rsid w:val="00914A03"/>
    <w:rsid w:val="009450D8"/>
    <w:rsid w:val="00951825"/>
    <w:rsid w:val="009708D0"/>
    <w:rsid w:val="00985077"/>
    <w:rsid w:val="009968CF"/>
    <w:rsid w:val="009C4E39"/>
    <w:rsid w:val="009C7D5E"/>
    <w:rsid w:val="009D03C6"/>
    <w:rsid w:val="009D2942"/>
    <w:rsid w:val="009D30E1"/>
    <w:rsid w:val="009E6763"/>
    <w:rsid w:val="009E6DC8"/>
    <w:rsid w:val="00A1597D"/>
    <w:rsid w:val="00A22790"/>
    <w:rsid w:val="00A26AB0"/>
    <w:rsid w:val="00A42E3A"/>
    <w:rsid w:val="00A90E6D"/>
    <w:rsid w:val="00AC2C97"/>
    <w:rsid w:val="00AD69AA"/>
    <w:rsid w:val="00AE6BE0"/>
    <w:rsid w:val="00AF0E37"/>
    <w:rsid w:val="00AF5966"/>
    <w:rsid w:val="00B10C6E"/>
    <w:rsid w:val="00B23292"/>
    <w:rsid w:val="00B41E6D"/>
    <w:rsid w:val="00B474B6"/>
    <w:rsid w:val="00B73A82"/>
    <w:rsid w:val="00BB2A32"/>
    <w:rsid w:val="00BC47AB"/>
    <w:rsid w:val="00BD2AB1"/>
    <w:rsid w:val="00BE1FD4"/>
    <w:rsid w:val="00BE677A"/>
    <w:rsid w:val="00BF00A7"/>
    <w:rsid w:val="00BF33D9"/>
    <w:rsid w:val="00C11B10"/>
    <w:rsid w:val="00C338CA"/>
    <w:rsid w:val="00C50A0A"/>
    <w:rsid w:val="00C83525"/>
    <w:rsid w:val="00CA1729"/>
    <w:rsid w:val="00CA1DAE"/>
    <w:rsid w:val="00CE0DA0"/>
    <w:rsid w:val="00CF40B2"/>
    <w:rsid w:val="00D312EA"/>
    <w:rsid w:val="00D41D2D"/>
    <w:rsid w:val="00D9527A"/>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A4943"/>
    <w:rsid w:val="00FC0F9D"/>
    <w:rsid w:val="00FC27EC"/>
    <w:rsid w:val="00FC3492"/>
    <w:rsid w:val="00FC6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DD4"/>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2033</TotalTime>
  <Pages>1</Pages>
  <Words>362</Words>
  <Characters>2065</Characters>
  <Application>Microsoft Office Word</Application>
  <DocSecurity>0</DocSecurity>
  <Lines>17</Lines>
  <Paragraphs>4</Paragraphs>
  <ScaleCrop>false</ScaleCrop>
  <Company>HUAWEI</Company>
  <LinksUpToDate>false</LinksUpToDate>
  <CharactersWithSpaces>2423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60</cp:revision>
  <dcterms:created xsi:type="dcterms:W3CDTF">2019-09-18T02:52:00Z</dcterms:created>
  <dcterms:modified xsi:type="dcterms:W3CDTF">2020-04-10T15:18:00Z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(3)xlnfvC5qxhraszJyibkdHpbZYLyDw0FPDkYNk8vsLVG0M21EHB2dOtRRdpS7QiQAaNYZKKPF
vA/vNqlbaLw2LOSJf+GO39bi5oYN9HqIr3vbujM03uFqi8JPEXSASsWnWs84mAXoyC9/LTPe
/K7fjZ3hHYP8MZnuxfpRuO9/DglsT409BQCAY03ttmsWDF2hGJQZKJs9NhEh07LRCYsRVgL9
KXHMJZpbG2vuWAvqSD</vt:lpwstr>
  </property>
  <property fmtid="{D5CDD505-2E9C-101B-9397-08002B2CF9AE}" pid="3" name="_2015_ms_pID_7253431">
    <vt:lpwstr>E6qvrIYZrD6dSRRVL3zIMOSXK8r90leIvAeY7Qva2n1TMiITmE67Lb
44/zkUqdq1ENu9jZI5rifkLg1YQaMOt3oC43N8DpXHIyCShHvxB6u1fG9A34xhPNHTntO5jJ
PoTYN7zcKcLRiXldZL2YM7sAnT5eQ4hq/UNuX/FjGMkNtJpSq3aEBOnedIDt+sXOKs9dlZmm
jUWPLYSYmTahVfeVNJyR4JS3MmnEL7lMCP9S</vt:lpwstr>
  </property>
  <property fmtid="{D5CDD505-2E9C-101B-9397-08002B2CF9AE}" pid="4" name="_2015_ms_pID_7253432">
    <vt:lpwstr>m23v6/54XZn5o1RRflw7jwg=</vt:lpwstr>
  </property>
</Properties>
</file>