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E8439" w14:textId="5A78D83F" w:rsidR="00990AA5" w:rsidRDefault="00990AA5" w:rsidP="00990AA5">
      <w:pPr>
        <w:pStyle w:val="CH"/>
      </w:pPr>
      <w:bookmarkStart w:id="0" w:name="historyclause"/>
      <w:r w:rsidRPr="00B070F5">
        <w:t xml:space="preserve">3GPP </w:t>
      </w:r>
      <w:r>
        <w:t>TSG-</w:t>
      </w:r>
      <w:r w:rsidRPr="00B070F5">
        <w:t>RAN</w:t>
      </w:r>
      <w:r>
        <w:t xml:space="preserve">4 </w:t>
      </w:r>
      <w:r w:rsidRPr="00B070F5">
        <w:t>Meeting #</w:t>
      </w:r>
      <w:r>
        <w:t>94-e</w:t>
      </w:r>
      <w:r>
        <w:tab/>
      </w:r>
      <w:r>
        <w:tab/>
      </w:r>
      <w:r w:rsidRPr="00BE2117">
        <w:t>R4-20</w:t>
      </w:r>
      <w:r w:rsidR="00FD6E82">
        <w:t>02163</w:t>
      </w:r>
    </w:p>
    <w:p w14:paraId="08734BE3" w14:textId="77777777" w:rsidR="00990AA5" w:rsidRPr="00FD166F" w:rsidRDefault="00990AA5" w:rsidP="00990AA5">
      <w:pPr>
        <w:pStyle w:val="CH"/>
        <w:tabs>
          <w:tab w:val="clear" w:pos="7920"/>
        </w:tabs>
        <w:rPr>
          <w:b w:val="0"/>
        </w:rPr>
      </w:pPr>
      <w:r>
        <w:t>Online</w:t>
      </w:r>
      <w:r w:rsidRPr="00B070F5">
        <w:t xml:space="preserve">, </w:t>
      </w:r>
      <w:r>
        <w:t>24 February – 6 March,</w:t>
      </w:r>
      <w:r w:rsidRPr="00B070F5">
        <w:t xml:space="preserve"> 20</w:t>
      </w:r>
      <w:r>
        <w:t>20</w:t>
      </w:r>
      <w:r>
        <w:tab/>
      </w:r>
    </w:p>
    <w:p w14:paraId="39A0EE25" w14:textId="77777777" w:rsidR="00D309CC" w:rsidRPr="00990AA5" w:rsidRDefault="00D309CC" w:rsidP="00D309CC">
      <w:pPr>
        <w:tabs>
          <w:tab w:val="left" w:pos="2160"/>
        </w:tabs>
        <w:rPr>
          <w:rFonts w:ascii="Arial" w:hAnsi="Arial" w:cs="Arial"/>
          <w:b/>
          <w:lang w:val="en-GB"/>
        </w:rPr>
      </w:pPr>
    </w:p>
    <w:p w14:paraId="6DDCE159" w14:textId="5A46E493" w:rsidR="00D309CC" w:rsidRPr="0008103A" w:rsidRDefault="00D309CC" w:rsidP="00D309CC">
      <w:pPr>
        <w:pStyle w:val="CH"/>
        <w:rPr>
          <w:b w:val="0"/>
        </w:rPr>
      </w:pPr>
      <w:r w:rsidRPr="0008103A">
        <w:t>Agenda item:</w:t>
      </w:r>
      <w:r>
        <w:tab/>
      </w:r>
      <w:r w:rsidR="00E15E09" w:rsidRPr="00E15E09">
        <w:t>8.</w:t>
      </w:r>
      <w:r w:rsidR="000253F9" w:rsidRPr="00E15E09">
        <w:t>1</w:t>
      </w:r>
      <w:r w:rsidR="000253F9">
        <w:t>5</w:t>
      </w:r>
      <w:r w:rsidR="00E15E09" w:rsidRPr="00E15E09">
        <w:t>.1.</w:t>
      </w:r>
      <w:r w:rsidR="000253F9">
        <w:t>9</w:t>
      </w:r>
    </w:p>
    <w:p w14:paraId="4DBE005A" w14:textId="77777777" w:rsidR="00D309CC" w:rsidRPr="0008103A" w:rsidRDefault="00D309CC" w:rsidP="00D309CC">
      <w:pPr>
        <w:pStyle w:val="CH"/>
        <w:rPr>
          <w:b w:val="0"/>
        </w:rPr>
      </w:pPr>
      <w:r>
        <w:t>Source:</w:t>
      </w:r>
      <w:r>
        <w:tab/>
        <w:t>Apple Inc.</w:t>
      </w:r>
    </w:p>
    <w:p w14:paraId="12344AA5" w14:textId="2C19E813" w:rsidR="00CB4975" w:rsidRDefault="00CB4975" w:rsidP="00CB4975">
      <w:pPr>
        <w:pStyle w:val="CH"/>
        <w:ind w:left="2250" w:hanging="2250"/>
      </w:pPr>
      <w:r w:rsidRPr="0008103A">
        <w:t>Title:</w:t>
      </w:r>
      <w:r w:rsidRPr="0008103A">
        <w:tab/>
      </w:r>
      <w:r w:rsidR="000253F9">
        <w:t xml:space="preserve">On RRM impact of </w:t>
      </w:r>
      <w:r w:rsidR="00E15E09" w:rsidRPr="00E15E09">
        <w:t>Non-simultaneous UL for non-contiguous UL CA in FR2</w:t>
      </w:r>
    </w:p>
    <w:p w14:paraId="052B1E0C" w14:textId="1A83A3B1" w:rsidR="00104BC6" w:rsidRDefault="00104BC6" w:rsidP="00D309CC">
      <w:pPr>
        <w:pStyle w:val="CH"/>
      </w:pPr>
      <w:r>
        <w:t>WI/SI:</w:t>
      </w:r>
      <w:r>
        <w:tab/>
      </w:r>
      <w:r w:rsidR="00CB4975" w:rsidRPr="008B1DF7">
        <w:t>NR_RF_FR2_req_enh</w:t>
      </w:r>
      <w:bookmarkStart w:id="1" w:name="_GoBack"/>
      <w:bookmarkEnd w:id="1"/>
    </w:p>
    <w:p w14:paraId="6C6D1281" w14:textId="365DF4E7" w:rsidR="00104BC6" w:rsidRDefault="00104BC6" w:rsidP="00D309CC">
      <w:pPr>
        <w:pStyle w:val="CH"/>
        <w:rPr>
          <w:b w:val="0"/>
        </w:rPr>
      </w:pPr>
      <w:r>
        <w:t>Release:</w:t>
      </w:r>
      <w:r>
        <w:tab/>
      </w:r>
      <w:r w:rsidRPr="00CB4975">
        <w:t>Rel-</w:t>
      </w:r>
      <w:r w:rsidR="00CB4975" w:rsidRPr="00CB4975">
        <w:t>16</w:t>
      </w:r>
    </w:p>
    <w:p w14:paraId="2E4E044D" w14:textId="6CBBB131" w:rsidR="00D309CC" w:rsidRDefault="00D309CC" w:rsidP="00D309CC">
      <w:pPr>
        <w:pStyle w:val="CH"/>
      </w:pPr>
      <w:r>
        <w:t>Document for:</w:t>
      </w:r>
      <w:r>
        <w:tab/>
      </w:r>
      <w:r w:rsidR="00404A8D">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12126AD" w14:textId="61A93906" w:rsidR="00CB4975" w:rsidRDefault="00CB4975" w:rsidP="00CB4975">
      <w:r>
        <w:t xml:space="preserve">The Rel-16 FR2 RF work item includes the following scope related to non-simultaneous transmission for intra-band non-contiguous UL CA in FR2 </w:t>
      </w:r>
      <w:r>
        <w:fldChar w:fldCharType="begin"/>
      </w:r>
      <w:r>
        <w:instrText xml:space="preserve"> REF _Ref16575941 \r \h </w:instrText>
      </w:r>
      <w:r>
        <w:fldChar w:fldCharType="separate"/>
      </w:r>
      <w:r w:rsidR="003C69F6">
        <w:t>[1]</w:t>
      </w:r>
      <w:r>
        <w:fldChar w:fldCharType="end"/>
      </w:r>
      <w:r>
        <w:t>:</w:t>
      </w:r>
    </w:p>
    <w:p w14:paraId="4972D7F6" w14:textId="77777777" w:rsidR="00DF3F59" w:rsidRDefault="00DF3F59" w:rsidP="00CB4975"/>
    <w:p w14:paraId="5FD57BBC" w14:textId="77777777" w:rsidR="00CB4975" w:rsidRPr="00007CF0" w:rsidRDefault="00CB4975" w:rsidP="00007CF0">
      <w:pPr>
        <w:pStyle w:val="B1"/>
        <w:pBdr>
          <w:top w:val="single" w:sz="4" w:space="1" w:color="auto"/>
          <w:left w:val="single" w:sz="4" w:space="4" w:color="auto"/>
          <w:bottom w:val="single" w:sz="4" w:space="1" w:color="auto"/>
          <w:right w:val="single" w:sz="4" w:space="4" w:color="auto"/>
        </w:pBdr>
        <w:spacing w:after="0"/>
        <w:ind w:left="576" w:hanging="288"/>
      </w:pPr>
      <w:r w:rsidRPr="00007CF0">
        <w:t>-</w:t>
      </w:r>
      <w:r w:rsidRPr="00007CF0">
        <w:tab/>
        <w:t>Phase 1: Study if both simultaneous UE transmission on aggregated UL carriers and non-simultaneous transmission on aggregated UL carriers with UE switching between two non-contiguous carriers could and should be specified. Study potential impacts of non-simultaneous transmission on RAN1 and/or RAN2 specifications</w:t>
      </w:r>
    </w:p>
    <w:p w14:paraId="1BF8C0AD" w14:textId="77777777" w:rsidR="00CB4975" w:rsidRPr="00007CF0" w:rsidRDefault="00CB4975" w:rsidP="00007CF0">
      <w:pPr>
        <w:pStyle w:val="B1"/>
        <w:pBdr>
          <w:top w:val="single" w:sz="4" w:space="1" w:color="auto"/>
          <w:left w:val="single" w:sz="4" w:space="4" w:color="auto"/>
          <w:bottom w:val="single" w:sz="4" w:space="1" w:color="auto"/>
          <w:right w:val="single" w:sz="4" w:space="4" w:color="auto"/>
        </w:pBdr>
        <w:spacing w:after="0"/>
        <w:ind w:left="576" w:hanging="288"/>
      </w:pPr>
      <w:r w:rsidRPr="00007CF0">
        <w:t>-</w:t>
      </w:r>
      <w:r w:rsidRPr="00007CF0">
        <w:tab/>
        <w:t>Phase 2: Define FR2 UE requirements for non-contiguous intra-band UL CA based on the outcome of the Phase 1 study</w:t>
      </w:r>
    </w:p>
    <w:p w14:paraId="3BB7F8D4" w14:textId="3FF91C88" w:rsidR="004169CB" w:rsidRPr="00007CF0" w:rsidRDefault="004169CB" w:rsidP="00007CF0">
      <w:pPr>
        <w:pStyle w:val="B1"/>
        <w:pBdr>
          <w:top w:val="single" w:sz="4" w:space="1" w:color="auto"/>
          <w:left w:val="single" w:sz="4" w:space="4" w:color="auto"/>
          <w:bottom w:val="single" w:sz="4" w:space="1" w:color="auto"/>
          <w:right w:val="single" w:sz="4" w:space="4" w:color="auto"/>
        </w:pBdr>
        <w:spacing w:after="0"/>
        <w:ind w:left="576" w:hanging="288"/>
      </w:pPr>
      <w:r w:rsidRPr="00007CF0">
        <w:t>-</w:t>
      </w:r>
      <w:r w:rsidRPr="00007CF0">
        <w:tab/>
        <w:t>PCC with PRB allocation, SCC and other CCs without PRB allocation</w:t>
      </w:r>
    </w:p>
    <w:p w14:paraId="1A52B3FC" w14:textId="77777777" w:rsidR="00007CF0" w:rsidRDefault="00007CF0" w:rsidP="00CB4975"/>
    <w:p w14:paraId="528FE776" w14:textId="1F7BDB9A" w:rsidR="004169CB" w:rsidRDefault="00E93A86" w:rsidP="00CB4975">
      <w:r>
        <w:t xml:space="preserve">The following agreements were reached during the RAN4 #92bis meeting </w:t>
      </w:r>
      <w:r>
        <w:fldChar w:fldCharType="begin"/>
      </w:r>
      <w:r>
        <w:instrText xml:space="preserve"> REF _Ref24083416 \r \h </w:instrText>
      </w:r>
      <w:r>
        <w:fldChar w:fldCharType="separate"/>
      </w:r>
      <w:r w:rsidR="003C69F6">
        <w:t>[3]</w:t>
      </w:r>
      <w:r>
        <w:fldChar w:fldCharType="end"/>
      </w:r>
      <w:r w:rsidR="00A00460">
        <w:t>:</w:t>
      </w:r>
    </w:p>
    <w:p w14:paraId="2FA5F3FC" w14:textId="77777777" w:rsidR="00E93A86" w:rsidRDefault="00E93A86" w:rsidP="00CB4975"/>
    <w:tbl>
      <w:tblPr>
        <w:tblStyle w:val="TableGrid"/>
        <w:tblW w:w="0" w:type="auto"/>
        <w:tblLook w:val="04A0" w:firstRow="1" w:lastRow="0" w:firstColumn="1" w:lastColumn="0" w:noHBand="0" w:noVBand="1"/>
      </w:tblPr>
      <w:tblGrid>
        <w:gridCol w:w="9631"/>
      </w:tblGrid>
      <w:tr w:rsidR="00B37C9D" w14:paraId="26167BB1" w14:textId="77777777" w:rsidTr="00B37C9D">
        <w:tc>
          <w:tcPr>
            <w:tcW w:w="9631" w:type="dxa"/>
          </w:tcPr>
          <w:p w14:paraId="22A88FF8" w14:textId="77777777" w:rsidR="00B37C9D" w:rsidRPr="00FD6E82" w:rsidRDefault="00B37C9D" w:rsidP="00007CF0">
            <w:pPr>
              <w:rPr>
                <w:szCs w:val="20"/>
                <w:lang w:val="en-GB"/>
              </w:rPr>
            </w:pPr>
            <w:r w:rsidRPr="00FD6E82">
              <w:rPr>
                <w:szCs w:val="20"/>
                <w:lang w:val="en-GB"/>
              </w:rPr>
              <w:t>Occupied bandwidth for CA</w:t>
            </w:r>
          </w:p>
          <w:p w14:paraId="37A7D3B8" w14:textId="77777777" w:rsidR="00B37C9D" w:rsidRPr="00B37C9D" w:rsidRDefault="00B37C9D" w:rsidP="00007CF0">
            <w:pPr>
              <w:pStyle w:val="B1"/>
              <w:spacing w:after="0"/>
            </w:pPr>
            <w:r w:rsidRPr="00B37C9D">
              <w:t>-</w:t>
            </w:r>
            <w:r w:rsidRPr="00B37C9D">
              <w:tab/>
              <w:t>As described in [4], the requirement for occupied bandwidth for CA is:</w:t>
            </w:r>
          </w:p>
          <w:p w14:paraId="3C71FD48" w14:textId="77777777" w:rsidR="00B37C9D" w:rsidRPr="00B37C9D" w:rsidRDefault="00B37C9D" w:rsidP="00007CF0">
            <w:pPr>
              <w:pStyle w:val="B2"/>
              <w:spacing w:after="0"/>
            </w:pPr>
            <w:r w:rsidRPr="00B37C9D">
              <w:t>-</w:t>
            </w:r>
            <w:r w:rsidRPr="00B37C9D">
              <w:tab/>
              <w:t>For intra-band non-contiguous carrier aggregation, the OBW requirement is met when the ratio of the transmitted power in all sub-blocks of the uplink CA configuration to the total integrated power of the transmitted spectrum is greater than 99%.</w:t>
            </w:r>
          </w:p>
          <w:p w14:paraId="7C0E78E9" w14:textId="77777777" w:rsidR="00B37C9D" w:rsidRPr="00B37C9D" w:rsidRDefault="00B37C9D" w:rsidP="00007CF0">
            <w:pPr>
              <w:pStyle w:val="B1"/>
              <w:spacing w:after="0"/>
            </w:pPr>
            <w:r w:rsidRPr="00B37C9D">
              <w:t>-</w:t>
            </w:r>
            <w:r w:rsidRPr="00B37C9D">
              <w:tab/>
              <w:t>This agreement is captured in a TP to TR38.831</w:t>
            </w:r>
          </w:p>
          <w:p w14:paraId="524186F8" w14:textId="77777777" w:rsidR="00B37C9D" w:rsidRPr="00B37C9D" w:rsidRDefault="00B37C9D" w:rsidP="00007CF0">
            <w:pPr>
              <w:rPr>
                <w:szCs w:val="20"/>
              </w:rPr>
            </w:pPr>
            <w:r w:rsidRPr="00B37C9D">
              <w:rPr>
                <w:szCs w:val="20"/>
              </w:rPr>
              <w:t>Remaining issues with NC UL CA MPR</w:t>
            </w:r>
          </w:p>
          <w:p w14:paraId="36E3A98B" w14:textId="77777777" w:rsidR="00B37C9D" w:rsidRPr="00B37C9D" w:rsidRDefault="00B37C9D" w:rsidP="00007CF0">
            <w:pPr>
              <w:pStyle w:val="B1"/>
              <w:spacing w:after="0"/>
            </w:pPr>
            <w:r w:rsidRPr="00B37C9D">
              <w:t>-</w:t>
            </w:r>
            <w:r w:rsidRPr="00B37C9D">
              <w:tab/>
              <w:t>Emissions in the spurious domain shall be taken into account in the NC UL CA MPR requirement</w:t>
            </w:r>
          </w:p>
          <w:p w14:paraId="56EBFDFB" w14:textId="77777777" w:rsidR="00B37C9D" w:rsidRPr="00B37C9D" w:rsidRDefault="00B37C9D" w:rsidP="00007CF0">
            <w:pPr>
              <w:pStyle w:val="B1"/>
              <w:spacing w:after="0"/>
            </w:pPr>
            <w:r w:rsidRPr="00B37C9D">
              <w:t>-</w:t>
            </w:r>
            <w:r w:rsidRPr="00B37C9D">
              <w:tab/>
              <w:t>Number of gaps between sub-blocks shall be at least 1</w:t>
            </w:r>
          </w:p>
          <w:p w14:paraId="367B60C6" w14:textId="77777777" w:rsidR="00B37C9D" w:rsidRPr="00B37C9D" w:rsidRDefault="00B37C9D" w:rsidP="00007CF0">
            <w:pPr>
              <w:rPr>
                <w:szCs w:val="20"/>
              </w:rPr>
            </w:pPr>
            <w:r w:rsidRPr="00B37C9D">
              <w:rPr>
                <w:szCs w:val="20"/>
              </w:rPr>
              <w:t>Non-simultaneous uplink in NC carriers (1)</w:t>
            </w:r>
          </w:p>
          <w:p w14:paraId="363C568F" w14:textId="77777777" w:rsidR="00B37C9D" w:rsidRPr="00B37C9D" w:rsidRDefault="00B37C9D" w:rsidP="00007CF0">
            <w:pPr>
              <w:pStyle w:val="B1"/>
              <w:spacing w:after="0"/>
            </w:pPr>
            <w:r w:rsidRPr="00B37C9D">
              <w:t>-</w:t>
            </w:r>
            <w:r w:rsidRPr="00B37C9D">
              <w:tab/>
              <w:t>Definitions</w:t>
            </w:r>
          </w:p>
          <w:p w14:paraId="43D1827E" w14:textId="77777777" w:rsidR="00B37C9D" w:rsidRPr="00B37C9D" w:rsidRDefault="00B37C9D" w:rsidP="00007CF0">
            <w:pPr>
              <w:pStyle w:val="B2"/>
              <w:spacing w:after="0"/>
            </w:pPr>
            <w:r w:rsidRPr="00B37C9D">
              <w:t>-</w:t>
            </w:r>
            <w:r w:rsidRPr="00B37C9D">
              <w:tab/>
              <w:t>Simultaneous operation refers to active and allocated UL CCs in multiple non-contiguous sub-blocks</w:t>
            </w:r>
          </w:p>
          <w:p w14:paraId="5787EDBE" w14:textId="77777777" w:rsidR="00B37C9D" w:rsidRPr="00B37C9D" w:rsidRDefault="00B37C9D" w:rsidP="00007CF0">
            <w:pPr>
              <w:pStyle w:val="B2"/>
              <w:spacing w:after="0"/>
            </w:pPr>
            <w:r w:rsidRPr="00B37C9D">
              <w:t>-</w:t>
            </w:r>
            <w:r w:rsidRPr="00B37C9D">
              <w:tab/>
              <w:t>Non-simultaneous operation refers to active and allocated UL CCs in a single sub-block of contiguous carriers</w:t>
            </w:r>
          </w:p>
          <w:p w14:paraId="14B8874A" w14:textId="77777777" w:rsidR="00B37C9D" w:rsidRPr="00B37C9D" w:rsidRDefault="00B37C9D" w:rsidP="00007CF0">
            <w:pPr>
              <w:pStyle w:val="B1"/>
              <w:spacing w:after="0"/>
            </w:pPr>
            <w:r w:rsidRPr="00B37C9D">
              <w:t>-</w:t>
            </w:r>
            <w:r w:rsidRPr="00B37C9D">
              <w:tab/>
              <w:t>Proposed mechanisms to enable non-simultaneous operation</w:t>
            </w:r>
          </w:p>
          <w:p w14:paraId="062ADFA1" w14:textId="77777777" w:rsidR="00B37C9D" w:rsidRPr="00B37C9D" w:rsidRDefault="00B37C9D" w:rsidP="00007CF0">
            <w:pPr>
              <w:pStyle w:val="B2"/>
              <w:spacing w:after="0"/>
            </w:pPr>
            <w:r w:rsidRPr="00B37C9D">
              <w:t>-</w:t>
            </w:r>
            <w:r w:rsidRPr="00B37C9D">
              <w:tab/>
              <w:t>Alt.1: apply the BWP switching framework</w:t>
            </w:r>
          </w:p>
          <w:p w14:paraId="35D1CA61" w14:textId="77777777" w:rsidR="00B37C9D" w:rsidRPr="00B37C9D" w:rsidRDefault="00B37C9D" w:rsidP="00007CF0">
            <w:pPr>
              <w:pStyle w:val="B3"/>
              <w:spacing w:after="0"/>
            </w:pPr>
            <w:r w:rsidRPr="00B37C9D">
              <w:t>-</w:t>
            </w:r>
            <w:r w:rsidRPr="00B37C9D">
              <w:tab/>
              <w:t>DCI-based, RRC-based, and timer-based scenarios are not precluded</w:t>
            </w:r>
          </w:p>
          <w:p w14:paraId="4C4DA921" w14:textId="77777777" w:rsidR="00B37C9D" w:rsidRPr="00B37C9D" w:rsidRDefault="00B37C9D" w:rsidP="00007CF0">
            <w:pPr>
              <w:pStyle w:val="B2"/>
              <w:spacing w:after="0"/>
            </w:pPr>
            <w:r w:rsidRPr="00B37C9D">
              <w:t>-</w:t>
            </w:r>
            <w:r w:rsidRPr="00B37C9D">
              <w:tab/>
              <w:t>Alt.2: apply the MAC CE based SCell activation framework</w:t>
            </w:r>
          </w:p>
          <w:p w14:paraId="5A5E322D" w14:textId="77777777" w:rsidR="00B37C9D" w:rsidRPr="00B37C9D" w:rsidRDefault="00B37C9D" w:rsidP="00007CF0">
            <w:pPr>
              <w:pStyle w:val="B3"/>
              <w:spacing w:after="0"/>
            </w:pPr>
            <w:r w:rsidRPr="00B37C9D">
              <w:t>-</w:t>
            </w:r>
            <w:r w:rsidRPr="00B37C9D">
              <w:tab/>
              <w:t>UL and DL are activated and deactivated together</w:t>
            </w:r>
          </w:p>
          <w:p w14:paraId="6AB7C45B" w14:textId="77777777" w:rsidR="00B37C9D" w:rsidRPr="00B37C9D" w:rsidRDefault="00B37C9D" w:rsidP="00007CF0">
            <w:pPr>
              <w:pStyle w:val="B2"/>
              <w:spacing w:after="0"/>
            </w:pPr>
            <w:r w:rsidRPr="00B37C9D">
              <w:t>-</w:t>
            </w:r>
            <w:r w:rsidRPr="00B37C9D">
              <w:tab/>
              <w:t>Alt.3: apply the RRC based SCell configuration framework</w:t>
            </w:r>
          </w:p>
          <w:p w14:paraId="26F4D95C" w14:textId="77777777" w:rsidR="00B37C9D" w:rsidRPr="00B37C9D" w:rsidRDefault="00B37C9D" w:rsidP="00007CF0">
            <w:pPr>
              <w:pStyle w:val="B3"/>
              <w:spacing w:after="0"/>
            </w:pPr>
            <w:r w:rsidRPr="00B37C9D">
              <w:t>-</w:t>
            </w:r>
            <w:r w:rsidRPr="00B37C9D">
              <w:tab/>
              <w:t>Only Alt.3 is applicable to SA FR2+FR2 CA or NSA LTE+FR2+FR2 DC scenarios</w:t>
            </w:r>
          </w:p>
          <w:p w14:paraId="1A437365" w14:textId="77777777" w:rsidR="00B37C9D" w:rsidRPr="00B37C9D" w:rsidRDefault="00B37C9D" w:rsidP="00007CF0">
            <w:pPr>
              <w:rPr>
                <w:szCs w:val="20"/>
              </w:rPr>
            </w:pPr>
          </w:p>
          <w:p w14:paraId="28AE9C6B" w14:textId="77777777" w:rsidR="00B37C9D" w:rsidRPr="00B37C9D" w:rsidRDefault="00B37C9D" w:rsidP="00007CF0">
            <w:pPr>
              <w:jc w:val="center"/>
              <w:rPr>
                <w:szCs w:val="20"/>
              </w:rPr>
            </w:pPr>
            <w:r w:rsidRPr="00B37C9D">
              <w:rPr>
                <w:noProof/>
                <w:szCs w:val="20"/>
              </w:rPr>
              <w:lastRenderedPageBreak/>
              <w:drawing>
                <wp:inline distT="0" distB="0" distL="0" distR="0" wp14:anchorId="251561F0" wp14:editId="405AEB2F">
                  <wp:extent cx="3657600" cy="415003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7600" cy="4150035"/>
                          </a:xfrm>
                          <a:prstGeom prst="rect">
                            <a:avLst/>
                          </a:prstGeom>
                        </pic:spPr>
                      </pic:pic>
                    </a:graphicData>
                  </a:graphic>
                </wp:inline>
              </w:drawing>
            </w:r>
          </w:p>
          <w:p w14:paraId="4DB38D96" w14:textId="77777777" w:rsidR="00B37C9D" w:rsidRPr="00B37C9D" w:rsidRDefault="00B37C9D" w:rsidP="00007CF0">
            <w:pPr>
              <w:rPr>
                <w:szCs w:val="20"/>
              </w:rPr>
            </w:pPr>
          </w:p>
          <w:p w14:paraId="7C4B8FBA" w14:textId="77777777" w:rsidR="00B37C9D" w:rsidRPr="00B37C9D" w:rsidRDefault="00B37C9D" w:rsidP="00007CF0">
            <w:pPr>
              <w:rPr>
                <w:szCs w:val="20"/>
              </w:rPr>
            </w:pPr>
            <w:r w:rsidRPr="00B37C9D">
              <w:rPr>
                <w:szCs w:val="20"/>
              </w:rPr>
              <w:t>Non-simultaneous uplink in NC carriers (2)</w:t>
            </w:r>
          </w:p>
          <w:p w14:paraId="79D5C369" w14:textId="77777777" w:rsidR="00B37C9D" w:rsidRPr="00B37C9D" w:rsidRDefault="00B37C9D" w:rsidP="00007CF0">
            <w:pPr>
              <w:pStyle w:val="B1"/>
              <w:spacing w:after="0"/>
            </w:pPr>
            <w:r w:rsidRPr="00B37C9D">
              <w:t>-</w:t>
            </w:r>
            <w:r w:rsidRPr="00B37C9D">
              <w:tab/>
              <w:t>RAN4 will further study the benefit of non-simultaneous UL in non-contiguous carriers from the points of view of improved output power due to reduced MPR and reduced power consumption, e.g., FR1 (pcell) + FR2 (scells) configuration</w:t>
            </w:r>
          </w:p>
          <w:p w14:paraId="18B68244" w14:textId="77777777" w:rsidR="00B37C9D" w:rsidRPr="00B37C9D" w:rsidRDefault="00B37C9D" w:rsidP="00007CF0">
            <w:pPr>
              <w:pStyle w:val="B1"/>
              <w:spacing w:after="0"/>
            </w:pPr>
            <w:r w:rsidRPr="00B37C9D">
              <w:t>-</w:t>
            </w:r>
            <w:r w:rsidRPr="00B37C9D">
              <w:tab/>
              <w:t>RAN4 will further study the feasibility of non-simultaneous UL in non-contiguous carriers</w:t>
            </w:r>
          </w:p>
          <w:p w14:paraId="2CB02C91" w14:textId="77777777" w:rsidR="00B37C9D" w:rsidRPr="00B37C9D" w:rsidRDefault="00B37C9D" w:rsidP="00007CF0">
            <w:pPr>
              <w:pStyle w:val="B1"/>
              <w:spacing w:after="0"/>
            </w:pPr>
            <w:r w:rsidRPr="00B37C9D">
              <w:t>-</w:t>
            </w:r>
            <w:r w:rsidRPr="00B37C9D">
              <w:tab/>
              <w:t xml:space="preserve">The switching mechanism shall be down-selected between Alt.1, Alt.2, and Alt.3 during the RAN #93 meeting. </w:t>
            </w:r>
          </w:p>
          <w:p w14:paraId="7DAA838C" w14:textId="77777777" w:rsidR="00B37C9D" w:rsidRPr="00B37C9D" w:rsidRDefault="00B37C9D" w:rsidP="00007CF0">
            <w:pPr>
              <w:pStyle w:val="B2"/>
              <w:spacing w:after="0"/>
            </w:pPr>
            <w:r w:rsidRPr="00B37C9D">
              <w:t>-</w:t>
            </w:r>
            <w:r w:rsidRPr="00B37C9D">
              <w:tab/>
              <w:t>Other options are not precluded</w:t>
            </w:r>
          </w:p>
          <w:p w14:paraId="1185A000" w14:textId="77777777" w:rsidR="00B37C9D" w:rsidRPr="00B37C9D" w:rsidRDefault="00B37C9D" w:rsidP="00007CF0">
            <w:pPr>
              <w:rPr>
                <w:szCs w:val="20"/>
              </w:rPr>
            </w:pPr>
            <w:r w:rsidRPr="00B37C9D">
              <w:rPr>
                <w:szCs w:val="20"/>
              </w:rPr>
              <w:t>Signaling aspects</w:t>
            </w:r>
          </w:p>
          <w:p w14:paraId="4E57E981" w14:textId="77777777" w:rsidR="00B37C9D" w:rsidRPr="00B37C9D" w:rsidRDefault="00B37C9D" w:rsidP="00007CF0">
            <w:pPr>
              <w:pStyle w:val="B1"/>
              <w:spacing w:after="0"/>
            </w:pPr>
            <w:r w:rsidRPr="00B37C9D">
              <w:t>-</w:t>
            </w:r>
            <w:r w:rsidRPr="00B37C9D">
              <w:tab/>
              <w:t>TS38.101-2 defines three frequency separation classes</w:t>
            </w:r>
          </w:p>
          <w:p w14:paraId="1DA5DAF9" w14:textId="77777777" w:rsidR="00B37C9D" w:rsidRPr="00B37C9D" w:rsidRDefault="00B37C9D" w:rsidP="00007CF0">
            <w:pPr>
              <w:pStyle w:val="B2"/>
              <w:spacing w:after="0"/>
            </w:pPr>
            <w:r w:rsidRPr="00B37C9D">
              <w:t>-</w:t>
            </w:r>
            <w:r w:rsidRPr="00B37C9D">
              <w:tab/>
              <w:t>The UE can signal intraBandFreqSeparationDL and intraBandFreqSeparationUL separately [see TS38.306]</w:t>
            </w:r>
          </w:p>
          <w:p w14:paraId="7ECE4584" w14:textId="77777777" w:rsidR="00B37C9D" w:rsidRPr="00B37C9D" w:rsidRDefault="00B37C9D" w:rsidP="00007CF0">
            <w:pPr>
              <w:pStyle w:val="B1"/>
              <w:spacing w:after="0"/>
            </w:pPr>
            <w:r w:rsidRPr="00B37C9D">
              <w:t>-</w:t>
            </w:r>
            <w:r w:rsidRPr="00B37C9D">
              <w:tab/>
              <w:t>Frequency separation classes I, II, III are applicable for FR2 UL CA (simultaneous uplink operation) in Rel-16</w:t>
            </w:r>
          </w:p>
          <w:p w14:paraId="715A08F4" w14:textId="7AFD5059" w:rsidR="00B37C9D" w:rsidRDefault="00B37C9D" w:rsidP="00007CF0">
            <w:pPr>
              <w:pStyle w:val="B2"/>
              <w:spacing w:after="0"/>
            </w:pPr>
            <w:r w:rsidRPr="00B37C9D">
              <w:t>-</w:t>
            </w:r>
            <w:r w:rsidRPr="00B37C9D">
              <w:tab/>
              <w:t>Whether Fs ≤ 2400 MHz can be applicable to FR2 UL CA with non-simultaneous uplink operation is FFS</w:t>
            </w:r>
          </w:p>
        </w:tc>
      </w:tr>
    </w:tbl>
    <w:p w14:paraId="168004DC" w14:textId="77777777" w:rsidR="00B37C9D" w:rsidRDefault="00B37C9D" w:rsidP="00CB4975"/>
    <w:p w14:paraId="2AAC5EA7" w14:textId="42684F23" w:rsidR="004169CB" w:rsidRDefault="00FF0621" w:rsidP="00CB4975">
      <w:r>
        <w:t xml:space="preserve">This contribution provides </w:t>
      </w:r>
      <w:r w:rsidR="001F63FD">
        <w:t>further</w:t>
      </w:r>
      <w:r>
        <w:t xml:space="preserve"> analysis </w:t>
      </w:r>
      <w:r w:rsidR="004171E8">
        <w:t xml:space="preserve">on the RRM impact </w:t>
      </w:r>
      <w:r>
        <w:t xml:space="preserve"> of carrier switching to support non-simultaneous uplink of non-contiguous carriers.</w:t>
      </w:r>
    </w:p>
    <w:p w14:paraId="3A67921B" w14:textId="5FCD5D11" w:rsidR="008E7986" w:rsidRDefault="008E7986" w:rsidP="008E7986">
      <w:pPr>
        <w:pStyle w:val="Heading1"/>
      </w:pPr>
      <w:r>
        <w:t>2</w:t>
      </w:r>
      <w:r>
        <w:tab/>
      </w:r>
      <w:r w:rsidR="00FF0621">
        <w:t>Discussion</w:t>
      </w:r>
      <w:r>
        <w:t xml:space="preserve"> </w:t>
      </w:r>
    </w:p>
    <w:p w14:paraId="552FB8CE" w14:textId="49B19D93" w:rsidR="00A368D7" w:rsidRDefault="00A368D7" w:rsidP="00E72324">
      <w:r>
        <w:t xml:space="preserve">There are </w:t>
      </w:r>
      <w:r w:rsidR="00714E1A">
        <w:t>three</w:t>
      </w:r>
      <w:r>
        <w:t xml:space="preserve"> major benefits of non-simultaneous UL for intra-band NC CA in FR2:  the retention of the same link budget as the contiguous UL CA case in Rel-15, the reduction in complexity of the UE RF architecture to support a band combination with greater complexity, and the flexibility for UL load balancing across non-contiguous spectrum.</w:t>
      </w:r>
    </w:p>
    <w:p w14:paraId="5BEA570E" w14:textId="77777777" w:rsidR="00A368D7" w:rsidRDefault="00A368D7" w:rsidP="00E72324"/>
    <w:p w14:paraId="7CABD70A" w14:textId="120E82D9" w:rsidR="00EB19FF" w:rsidRDefault="00EB19FF" w:rsidP="00DB7B55">
      <w:r>
        <w:t xml:space="preserve">During RAN4#92bis, </w:t>
      </w:r>
      <w:r w:rsidR="00DB7B55">
        <w:t>th</w:t>
      </w:r>
      <w:r>
        <w:t>r</w:t>
      </w:r>
      <w:r w:rsidR="00DB7B55">
        <w:t>e</w:t>
      </w:r>
      <w:r>
        <w:t>e alternative mechanisms have been</w:t>
      </w:r>
      <w:r w:rsidR="00DB7B55">
        <w:t xml:space="preserve"> </w:t>
      </w:r>
      <w:r>
        <w:t>identified in [3] to enable the non-simultaneous UL</w:t>
      </w:r>
      <w:r w:rsidR="000253F9">
        <w:t xml:space="preserve"> (NSU)</w:t>
      </w:r>
      <w:r>
        <w:t xml:space="preserve"> feature. </w:t>
      </w:r>
      <w:r w:rsidDel="00EB19FF">
        <w:t xml:space="preserve"> </w:t>
      </w:r>
    </w:p>
    <w:p w14:paraId="26FDFAEF" w14:textId="77777777" w:rsidR="00EB19FF" w:rsidRPr="00B37C9D" w:rsidRDefault="00EB19FF" w:rsidP="00EB19FF">
      <w:pPr>
        <w:pStyle w:val="B2"/>
        <w:spacing w:after="0"/>
      </w:pPr>
      <w:r w:rsidRPr="00B37C9D">
        <w:t>Alt.1: apply the BWP switching framework</w:t>
      </w:r>
    </w:p>
    <w:p w14:paraId="7890631C" w14:textId="77777777" w:rsidR="00EB19FF" w:rsidRPr="00B37C9D" w:rsidRDefault="00EB19FF" w:rsidP="00EB19FF">
      <w:pPr>
        <w:pStyle w:val="B3"/>
        <w:spacing w:after="0"/>
      </w:pPr>
      <w:r w:rsidRPr="00B37C9D">
        <w:t>-</w:t>
      </w:r>
      <w:r w:rsidRPr="00B37C9D">
        <w:tab/>
        <w:t>DCI-based, RRC-based, and timer-based scenarios are not precluded</w:t>
      </w:r>
    </w:p>
    <w:p w14:paraId="56372387" w14:textId="41763423" w:rsidR="00EB19FF" w:rsidRPr="00B37C9D" w:rsidRDefault="00EB19FF" w:rsidP="00EB19FF">
      <w:pPr>
        <w:pStyle w:val="B2"/>
        <w:spacing w:after="0"/>
      </w:pPr>
      <w:r w:rsidRPr="00B37C9D">
        <w:t>Alt.2: apply the MAC CE based SCell activation framework</w:t>
      </w:r>
    </w:p>
    <w:p w14:paraId="1C5AE3B6" w14:textId="77777777" w:rsidR="00EB19FF" w:rsidRPr="00B37C9D" w:rsidRDefault="00EB19FF" w:rsidP="00EB19FF">
      <w:pPr>
        <w:pStyle w:val="B3"/>
        <w:spacing w:after="0"/>
      </w:pPr>
      <w:r w:rsidRPr="00B37C9D">
        <w:t>-</w:t>
      </w:r>
      <w:r w:rsidRPr="00B37C9D">
        <w:tab/>
        <w:t>UL and DL are activated and deactivated together</w:t>
      </w:r>
    </w:p>
    <w:p w14:paraId="65DE85A5" w14:textId="6ADDA70D" w:rsidR="00EB19FF" w:rsidRPr="00B37C9D" w:rsidRDefault="00EB19FF" w:rsidP="00EB19FF">
      <w:pPr>
        <w:pStyle w:val="B2"/>
        <w:spacing w:after="0"/>
      </w:pPr>
      <w:r w:rsidRPr="00B37C9D">
        <w:lastRenderedPageBreak/>
        <w:t>Alt.3: apply the RRC based SCell configuration framework</w:t>
      </w:r>
    </w:p>
    <w:p w14:paraId="24BA048D" w14:textId="77777777" w:rsidR="00EB19FF" w:rsidRPr="00B37C9D" w:rsidRDefault="00EB19FF" w:rsidP="00EB19FF">
      <w:pPr>
        <w:pStyle w:val="B3"/>
        <w:spacing w:after="0"/>
      </w:pPr>
      <w:r w:rsidRPr="00B37C9D">
        <w:t>-</w:t>
      </w:r>
      <w:r w:rsidRPr="00B37C9D">
        <w:tab/>
        <w:t>Only Alt.3 is applicable to SA FR2+FR2 CA or NSA LTE+FR2+FR2 DC scenarios</w:t>
      </w:r>
    </w:p>
    <w:p w14:paraId="4CC9A0C7" w14:textId="77777777" w:rsidR="00EB19FF" w:rsidRDefault="00EB19FF" w:rsidP="00DB7B55"/>
    <w:p w14:paraId="39765982" w14:textId="51AF9355" w:rsidR="00EB19FF" w:rsidRDefault="00EB19FF" w:rsidP="00DB7B55">
      <w:r>
        <w:t xml:space="preserve">From </w:t>
      </w:r>
      <w:r w:rsidR="000253F9">
        <w:t xml:space="preserve">switching delay perspective, BWP switch framework is obviously better than SCell activation and configuration frameworks. However, it is still important to investigate the feasible to extend BWP switch framework to NSU. If NSU does not concern PCell, Alt.2 should be feasible to enable NSU. Nevertheless, further study is required to make sure the related SCell activation/deactivation delay can fit into NSU time frame. Alt.3 will result in even longer switching delay. This can make NSU less efficient. However, the potential benefit of Alt.3 can be the power consumption. </w:t>
      </w:r>
    </w:p>
    <w:p w14:paraId="6F044738" w14:textId="77777777" w:rsidR="000253F9" w:rsidRDefault="000253F9" w:rsidP="00DB7B55"/>
    <w:p w14:paraId="1B61904A" w14:textId="0592774A" w:rsidR="00721C9C" w:rsidRPr="00404A8D" w:rsidRDefault="000253F9" w:rsidP="00721C9C">
      <w:pPr>
        <w:rPr>
          <w:b/>
          <w:bCs/>
          <w:lang w:val="en-GB"/>
        </w:rPr>
      </w:pPr>
      <w:r w:rsidRPr="00404A8D">
        <w:rPr>
          <w:b/>
          <w:bCs/>
          <w:lang w:val="en-GB"/>
        </w:rPr>
        <w:t>Observation 1: BWP switching framework is more efficient in terms of switching delay. However the feasible is subject to further study.</w:t>
      </w:r>
    </w:p>
    <w:p w14:paraId="564435DC" w14:textId="27DA658B" w:rsidR="000253F9" w:rsidRPr="00404A8D" w:rsidRDefault="000253F9" w:rsidP="00721C9C">
      <w:pPr>
        <w:rPr>
          <w:b/>
          <w:bCs/>
          <w:lang w:val="en-GB"/>
        </w:rPr>
      </w:pPr>
    </w:p>
    <w:p w14:paraId="4AF2D721" w14:textId="77777777" w:rsidR="000253F9" w:rsidRPr="00404A8D" w:rsidRDefault="000253F9" w:rsidP="00721C9C">
      <w:pPr>
        <w:rPr>
          <w:b/>
          <w:bCs/>
          <w:lang w:val="en-GB"/>
        </w:rPr>
      </w:pPr>
      <w:r w:rsidRPr="00404A8D">
        <w:rPr>
          <w:b/>
          <w:bCs/>
          <w:lang w:val="en-GB"/>
        </w:rPr>
        <w:t>Observation 2: SCell activation framework should be feasible to enable NSU.  The related activation/deactivation delay should be further investigated.</w:t>
      </w:r>
    </w:p>
    <w:p w14:paraId="37AF633E" w14:textId="77777777" w:rsidR="000253F9" w:rsidRPr="00404A8D" w:rsidRDefault="000253F9" w:rsidP="00721C9C">
      <w:pPr>
        <w:rPr>
          <w:b/>
          <w:bCs/>
          <w:lang w:val="en-GB"/>
        </w:rPr>
      </w:pPr>
    </w:p>
    <w:p w14:paraId="00765932" w14:textId="2FA07895" w:rsidR="000253F9" w:rsidRDefault="000253F9" w:rsidP="00721C9C">
      <w:pPr>
        <w:rPr>
          <w:b/>
          <w:bCs/>
          <w:lang w:val="en-GB"/>
        </w:rPr>
      </w:pPr>
      <w:r w:rsidRPr="00404A8D">
        <w:rPr>
          <w:b/>
          <w:bCs/>
          <w:lang w:val="en-GB"/>
        </w:rPr>
        <w:t xml:space="preserve">Observation 3: SCell configuration framework will result in long switching delay to make NSU less efficient in terms of switching delay. However, compared to Alt. 2, Alt. 3 can be more power efficient.  </w:t>
      </w:r>
    </w:p>
    <w:p w14:paraId="3A3EC046" w14:textId="6B0F7EB5" w:rsidR="000253F9" w:rsidRDefault="000253F9" w:rsidP="00721C9C">
      <w:pPr>
        <w:rPr>
          <w:b/>
          <w:bCs/>
          <w:lang w:val="en-GB"/>
        </w:rPr>
      </w:pPr>
    </w:p>
    <w:p w14:paraId="4C7CD1E0" w14:textId="0E471F0B" w:rsidR="000253F9" w:rsidRDefault="000253F9" w:rsidP="00721C9C">
      <w:pPr>
        <w:rPr>
          <w:lang w:val="en-GB"/>
        </w:rPr>
      </w:pPr>
      <w:r>
        <w:rPr>
          <w:lang w:val="en-GB"/>
        </w:rPr>
        <w:t xml:space="preserve">With this, it is proposed </w:t>
      </w:r>
    </w:p>
    <w:p w14:paraId="597E9654" w14:textId="166414C7" w:rsidR="000253F9" w:rsidRDefault="000253F9" w:rsidP="00721C9C">
      <w:pPr>
        <w:rPr>
          <w:lang w:val="en-GB"/>
        </w:rPr>
      </w:pPr>
    </w:p>
    <w:p w14:paraId="187DD0F7" w14:textId="4D07E62C" w:rsidR="000253F9" w:rsidRDefault="000253F9" w:rsidP="00721C9C">
      <w:pPr>
        <w:rPr>
          <w:b/>
          <w:bCs/>
          <w:lang w:val="en-GB"/>
        </w:rPr>
      </w:pPr>
      <w:r>
        <w:rPr>
          <w:b/>
          <w:bCs/>
          <w:lang w:val="en-GB"/>
        </w:rPr>
        <w:t>Proposal: RRM related work should be kicked off to investigate</w:t>
      </w:r>
    </w:p>
    <w:p w14:paraId="50F3AF76" w14:textId="77777777" w:rsidR="000253F9" w:rsidRDefault="000253F9" w:rsidP="00721C9C">
      <w:pPr>
        <w:rPr>
          <w:b/>
          <w:bCs/>
          <w:lang w:val="en-GB"/>
        </w:rPr>
      </w:pPr>
    </w:p>
    <w:p w14:paraId="7C54879F" w14:textId="7FA3E151" w:rsidR="000253F9" w:rsidRDefault="000253F9" w:rsidP="000253F9">
      <w:pPr>
        <w:pStyle w:val="ListParagraph"/>
        <w:numPr>
          <w:ilvl w:val="0"/>
          <w:numId w:val="9"/>
        </w:numPr>
        <w:rPr>
          <w:b/>
          <w:bCs/>
          <w:lang w:val="en-GB"/>
        </w:rPr>
      </w:pPr>
      <w:r w:rsidRPr="00404A8D">
        <w:rPr>
          <w:b/>
          <w:bCs/>
          <w:lang w:val="en-GB"/>
        </w:rPr>
        <w:t>the feasibility of extending BWP switching framework to NSU</w:t>
      </w:r>
    </w:p>
    <w:p w14:paraId="3308482A" w14:textId="73BD951C" w:rsidR="000253F9" w:rsidRPr="00404A8D" w:rsidRDefault="000253F9" w:rsidP="00404A8D">
      <w:pPr>
        <w:pStyle w:val="ListParagraph"/>
        <w:numPr>
          <w:ilvl w:val="0"/>
          <w:numId w:val="9"/>
        </w:numPr>
        <w:rPr>
          <w:b/>
          <w:bCs/>
          <w:lang w:val="en-GB"/>
        </w:rPr>
      </w:pPr>
      <w:r>
        <w:rPr>
          <w:b/>
          <w:bCs/>
          <w:lang w:val="en-GB"/>
        </w:rPr>
        <w:t>the SCell activation framework based NSU switching delay and how to fit it into NSU time frame.</w:t>
      </w:r>
    </w:p>
    <w:p w14:paraId="34C99636" w14:textId="77777777" w:rsidR="008E7986" w:rsidRDefault="008E7986" w:rsidP="008E7986">
      <w:pPr>
        <w:pStyle w:val="Heading1"/>
      </w:pPr>
      <w:r>
        <w:t>3</w:t>
      </w:r>
      <w:r>
        <w:tab/>
        <w:t>Conclusions</w:t>
      </w:r>
    </w:p>
    <w:p w14:paraId="371F8D31" w14:textId="55CEB89D" w:rsidR="00FF0621" w:rsidRDefault="00FF0621" w:rsidP="00FF0621">
      <w:r>
        <w:t xml:space="preserve">This contribution </w:t>
      </w:r>
      <w:r w:rsidR="000253F9">
        <w:t xml:space="preserve">outlines the existing progress and agreement s on non-simultaneous UL transmission in RAN4.  To enable this feature, three RRM related alternative solutions have been identified. The observations can be summarized as </w:t>
      </w:r>
    </w:p>
    <w:p w14:paraId="59640771" w14:textId="6FB45F40" w:rsidR="000253F9" w:rsidRDefault="000253F9" w:rsidP="00FF0621"/>
    <w:p w14:paraId="305CAA77" w14:textId="77777777" w:rsidR="000253F9" w:rsidRPr="00404A8D" w:rsidRDefault="000253F9" w:rsidP="000253F9">
      <w:pPr>
        <w:rPr>
          <w:b/>
          <w:bCs/>
          <w:lang w:val="en-GB"/>
        </w:rPr>
      </w:pPr>
      <w:r w:rsidRPr="00404A8D">
        <w:rPr>
          <w:b/>
          <w:bCs/>
          <w:lang w:val="en-GB"/>
        </w:rPr>
        <w:t>Observation 1: BWP switching framework is more efficient in terms of switching delay. However the feasible is subject to further study.</w:t>
      </w:r>
    </w:p>
    <w:p w14:paraId="6E04527F" w14:textId="77777777" w:rsidR="000253F9" w:rsidRPr="00404A8D" w:rsidRDefault="000253F9" w:rsidP="000253F9">
      <w:pPr>
        <w:rPr>
          <w:b/>
          <w:bCs/>
          <w:lang w:val="en-GB"/>
        </w:rPr>
      </w:pPr>
    </w:p>
    <w:p w14:paraId="36DDC5FA" w14:textId="77777777" w:rsidR="000253F9" w:rsidRPr="00404A8D" w:rsidRDefault="000253F9" w:rsidP="000253F9">
      <w:pPr>
        <w:rPr>
          <w:b/>
          <w:bCs/>
          <w:lang w:val="en-GB"/>
        </w:rPr>
      </w:pPr>
      <w:r w:rsidRPr="00404A8D">
        <w:rPr>
          <w:b/>
          <w:bCs/>
          <w:lang w:val="en-GB"/>
        </w:rPr>
        <w:t>Observation 2: SCell activation framework should be feasible to enable NSU.  The related activation/deactivation delay should be further investigated.</w:t>
      </w:r>
    </w:p>
    <w:p w14:paraId="7500DAC3" w14:textId="77777777" w:rsidR="000253F9" w:rsidRPr="00404A8D" w:rsidRDefault="000253F9" w:rsidP="000253F9">
      <w:pPr>
        <w:rPr>
          <w:b/>
          <w:bCs/>
          <w:lang w:val="en-GB"/>
        </w:rPr>
      </w:pPr>
    </w:p>
    <w:p w14:paraId="3CD56DF7" w14:textId="77777777" w:rsidR="000253F9" w:rsidRPr="00404A8D" w:rsidRDefault="000253F9" w:rsidP="000253F9">
      <w:pPr>
        <w:rPr>
          <w:b/>
          <w:bCs/>
          <w:lang w:val="en-GB"/>
        </w:rPr>
      </w:pPr>
      <w:r w:rsidRPr="00404A8D">
        <w:rPr>
          <w:b/>
          <w:bCs/>
          <w:lang w:val="en-GB"/>
        </w:rPr>
        <w:t xml:space="preserve">Observation 3: SCell configuration framework will result in long switching delay to make NSU less efficient in terms of switching delay. However, compared to Alt. 2, Alt. 3 can be more power efficient.  </w:t>
      </w:r>
    </w:p>
    <w:p w14:paraId="75B709BE" w14:textId="77777777" w:rsidR="000253F9" w:rsidRDefault="000253F9" w:rsidP="00FF0621"/>
    <w:p w14:paraId="1CDF7EA2" w14:textId="0226BE40" w:rsidR="000253F9" w:rsidRDefault="000253F9" w:rsidP="00FF0621">
      <w:r>
        <w:t xml:space="preserve">As a result, it is proposed that </w:t>
      </w:r>
    </w:p>
    <w:p w14:paraId="05852EE1" w14:textId="77777777" w:rsidR="000253F9" w:rsidRDefault="000253F9" w:rsidP="000253F9">
      <w:pPr>
        <w:rPr>
          <w:b/>
          <w:bCs/>
          <w:lang w:val="en-GB"/>
        </w:rPr>
      </w:pPr>
    </w:p>
    <w:p w14:paraId="5CB43BBE" w14:textId="77777777" w:rsidR="000253F9" w:rsidRDefault="000253F9" w:rsidP="000253F9">
      <w:pPr>
        <w:rPr>
          <w:b/>
          <w:bCs/>
          <w:lang w:val="en-GB"/>
        </w:rPr>
      </w:pPr>
      <w:r>
        <w:rPr>
          <w:b/>
          <w:bCs/>
          <w:lang w:val="en-GB"/>
        </w:rPr>
        <w:t>Proposal: RRM related work should be kicked off to investigate</w:t>
      </w:r>
    </w:p>
    <w:p w14:paraId="0964DB31" w14:textId="77777777" w:rsidR="000253F9" w:rsidRDefault="000253F9" w:rsidP="000253F9">
      <w:pPr>
        <w:rPr>
          <w:b/>
          <w:bCs/>
          <w:lang w:val="en-GB"/>
        </w:rPr>
      </w:pPr>
    </w:p>
    <w:p w14:paraId="7D39A13E" w14:textId="77777777" w:rsidR="000253F9" w:rsidRDefault="000253F9" w:rsidP="000253F9">
      <w:pPr>
        <w:pStyle w:val="ListParagraph"/>
        <w:numPr>
          <w:ilvl w:val="0"/>
          <w:numId w:val="9"/>
        </w:numPr>
        <w:rPr>
          <w:b/>
          <w:bCs/>
          <w:lang w:val="en-GB"/>
        </w:rPr>
      </w:pPr>
      <w:r w:rsidRPr="001926DA">
        <w:rPr>
          <w:b/>
          <w:bCs/>
          <w:lang w:val="en-GB"/>
        </w:rPr>
        <w:t>the feasibility of extending BWP switching framework to NSU</w:t>
      </w:r>
    </w:p>
    <w:p w14:paraId="26EBBB70" w14:textId="77777777" w:rsidR="000253F9" w:rsidRPr="001926DA" w:rsidRDefault="000253F9" w:rsidP="000253F9">
      <w:pPr>
        <w:pStyle w:val="ListParagraph"/>
        <w:numPr>
          <w:ilvl w:val="0"/>
          <w:numId w:val="9"/>
        </w:numPr>
        <w:rPr>
          <w:b/>
          <w:bCs/>
          <w:lang w:val="en-GB"/>
        </w:rPr>
      </w:pPr>
      <w:r>
        <w:rPr>
          <w:b/>
          <w:bCs/>
          <w:lang w:val="en-GB"/>
        </w:rPr>
        <w:t>the SCell activation framework based NSU switching delay and how to fit it into NSU time frame.</w:t>
      </w:r>
    </w:p>
    <w:p w14:paraId="235D5AEB" w14:textId="77777777" w:rsidR="000253F9" w:rsidRDefault="000253F9" w:rsidP="00FF0621"/>
    <w:p w14:paraId="769CC3B8" w14:textId="2394F1FF" w:rsidR="0062595A" w:rsidRDefault="0062595A" w:rsidP="00E72324"/>
    <w:p w14:paraId="5D2DDC34" w14:textId="77777777" w:rsidR="005E69AE" w:rsidRDefault="005E69AE" w:rsidP="005E69AE">
      <w:pPr>
        <w:pStyle w:val="Heading1"/>
      </w:pPr>
      <w:r>
        <w:t>4</w:t>
      </w:r>
      <w:r>
        <w:tab/>
        <w:t>References</w:t>
      </w:r>
    </w:p>
    <w:p w14:paraId="6AAA4C93" w14:textId="77777777" w:rsidR="00CB4975" w:rsidRDefault="00CB4975" w:rsidP="00CB4975">
      <w:pPr>
        <w:pStyle w:val="EX"/>
        <w:numPr>
          <w:ilvl w:val="0"/>
          <w:numId w:val="5"/>
        </w:numPr>
      </w:pPr>
      <w:bookmarkStart w:id="2" w:name="_Ref16575941"/>
      <w:bookmarkStart w:id="3" w:name="_Ref16557425"/>
      <w:r w:rsidRPr="008E2E1C">
        <w:t>RP-190761</w:t>
      </w:r>
      <w:r>
        <w:t>, “</w:t>
      </w:r>
      <w:r w:rsidRPr="008E2E1C">
        <w:t>NR RF requirements for FR2</w:t>
      </w:r>
      <w:r>
        <w:t>”</w:t>
      </w:r>
      <w:bookmarkEnd w:id="2"/>
    </w:p>
    <w:p w14:paraId="6B7EBFB2" w14:textId="3A474688" w:rsidR="00CB4975" w:rsidRDefault="00CB4975" w:rsidP="00CB4975">
      <w:pPr>
        <w:pStyle w:val="EX"/>
        <w:numPr>
          <w:ilvl w:val="0"/>
          <w:numId w:val="5"/>
        </w:numPr>
      </w:pPr>
      <w:bookmarkStart w:id="4" w:name="_Ref16576366"/>
      <w:r w:rsidRPr="004B351C">
        <w:t>3GPP TS38.101-2, “NR; User Equipment (UE) radio transmission and reception; Part 2: Range 2 Standalone”</w:t>
      </w:r>
      <w:bookmarkEnd w:id="3"/>
      <w:bookmarkEnd w:id="4"/>
    </w:p>
    <w:p w14:paraId="41818856" w14:textId="3E1CDDA0" w:rsidR="006E7AE7" w:rsidRDefault="00E93A86" w:rsidP="00CB4975">
      <w:pPr>
        <w:pStyle w:val="EX"/>
        <w:numPr>
          <w:ilvl w:val="0"/>
          <w:numId w:val="5"/>
        </w:numPr>
      </w:pPr>
      <w:bookmarkStart w:id="5" w:name="_Ref24083416"/>
      <w:r w:rsidRPr="00E93A86">
        <w:t>R4-1913055</w:t>
      </w:r>
      <w:r>
        <w:t>, “</w:t>
      </w:r>
      <w:r w:rsidRPr="00E93A86">
        <w:t>WF on non-contiguous UL CA in FR2</w:t>
      </w:r>
      <w:r>
        <w:t>,” Apple Inc., 3GPP RAN4 #92bis, October 2019</w:t>
      </w:r>
      <w:bookmarkEnd w:id="5"/>
    </w:p>
    <w:bookmarkEnd w:id="0"/>
    <w:p w14:paraId="2C7BC95E" w14:textId="77777777" w:rsidR="00080512" w:rsidRDefault="00080512"/>
    <w:p w14:paraId="556A4E6D" w14:textId="77777777" w:rsidR="00FF0621" w:rsidRDefault="00FF0621"/>
    <w:sectPr w:rsidR="00FF0621"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D5AA4" w14:textId="77777777" w:rsidR="00557793" w:rsidRDefault="00557793">
      <w:r>
        <w:separator/>
      </w:r>
    </w:p>
  </w:endnote>
  <w:endnote w:type="continuationSeparator" w:id="0">
    <w:p w14:paraId="29497270" w14:textId="77777777" w:rsidR="00557793" w:rsidRDefault="00557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171D2" w14:textId="77777777" w:rsidR="00557793" w:rsidRDefault="00557793">
      <w:r>
        <w:separator/>
      </w:r>
    </w:p>
  </w:footnote>
  <w:footnote w:type="continuationSeparator" w:id="0">
    <w:p w14:paraId="50BB9654" w14:textId="77777777" w:rsidR="00557793" w:rsidRDefault="00557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3D7EAF"/>
    <w:multiLevelType w:val="hybridMultilevel"/>
    <w:tmpl w:val="91DE8C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AB24ACA"/>
    <w:multiLevelType w:val="hybridMultilevel"/>
    <w:tmpl w:val="BC2EC966"/>
    <w:lvl w:ilvl="0" w:tplc="A2C6163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8A"/>
    <w:rsid w:val="00007CF0"/>
    <w:rsid w:val="000253F9"/>
    <w:rsid w:val="00033397"/>
    <w:rsid w:val="00040095"/>
    <w:rsid w:val="00041868"/>
    <w:rsid w:val="00051834"/>
    <w:rsid w:val="00054A22"/>
    <w:rsid w:val="00062023"/>
    <w:rsid w:val="000627F8"/>
    <w:rsid w:val="000655A6"/>
    <w:rsid w:val="00077792"/>
    <w:rsid w:val="00080512"/>
    <w:rsid w:val="000A0944"/>
    <w:rsid w:val="000A365D"/>
    <w:rsid w:val="000A68F3"/>
    <w:rsid w:val="000C47C3"/>
    <w:rsid w:val="000D58AB"/>
    <w:rsid w:val="000F7D32"/>
    <w:rsid w:val="00104BC6"/>
    <w:rsid w:val="001133A5"/>
    <w:rsid w:val="00114E2C"/>
    <w:rsid w:val="0012619A"/>
    <w:rsid w:val="00133525"/>
    <w:rsid w:val="00166117"/>
    <w:rsid w:val="001A4C42"/>
    <w:rsid w:val="001C21C3"/>
    <w:rsid w:val="001D02C2"/>
    <w:rsid w:val="001F0C1D"/>
    <w:rsid w:val="001F1132"/>
    <w:rsid w:val="001F168B"/>
    <w:rsid w:val="001F5A79"/>
    <w:rsid w:val="001F63FD"/>
    <w:rsid w:val="002347A2"/>
    <w:rsid w:val="00247926"/>
    <w:rsid w:val="002675F0"/>
    <w:rsid w:val="00271644"/>
    <w:rsid w:val="0027462C"/>
    <w:rsid w:val="00276EE4"/>
    <w:rsid w:val="00277665"/>
    <w:rsid w:val="00284BC8"/>
    <w:rsid w:val="00285732"/>
    <w:rsid w:val="00286DCB"/>
    <w:rsid w:val="00286F1A"/>
    <w:rsid w:val="00290BFF"/>
    <w:rsid w:val="002B6339"/>
    <w:rsid w:val="002E00EE"/>
    <w:rsid w:val="002F2612"/>
    <w:rsid w:val="003172DC"/>
    <w:rsid w:val="00337522"/>
    <w:rsid w:val="0034052F"/>
    <w:rsid w:val="0035462D"/>
    <w:rsid w:val="00375192"/>
    <w:rsid w:val="003765B8"/>
    <w:rsid w:val="003A0483"/>
    <w:rsid w:val="003B772E"/>
    <w:rsid w:val="003C3971"/>
    <w:rsid w:val="003C69F6"/>
    <w:rsid w:val="003E62EA"/>
    <w:rsid w:val="003E7753"/>
    <w:rsid w:val="00404A8D"/>
    <w:rsid w:val="004169CB"/>
    <w:rsid w:val="004171E8"/>
    <w:rsid w:val="00423334"/>
    <w:rsid w:val="004345EC"/>
    <w:rsid w:val="004826A9"/>
    <w:rsid w:val="004C1601"/>
    <w:rsid w:val="004D3578"/>
    <w:rsid w:val="004E213A"/>
    <w:rsid w:val="004E3D44"/>
    <w:rsid w:val="004E7150"/>
    <w:rsid w:val="004F0988"/>
    <w:rsid w:val="004F3340"/>
    <w:rsid w:val="004F3E3D"/>
    <w:rsid w:val="0053388B"/>
    <w:rsid w:val="00534ABA"/>
    <w:rsid w:val="00535773"/>
    <w:rsid w:val="00543E6C"/>
    <w:rsid w:val="00557793"/>
    <w:rsid w:val="00565087"/>
    <w:rsid w:val="00572E14"/>
    <w:rsid w:val="005973BE"/>
    <w:rsid w:val="005A5986"/>
    <w:rsid w:val="005D2E01"/>
    <w:rsid w:val="005D7526"/>
    <w:rsid w:val="005E69AE"/>
    <w:rsid w:val="005F134F"/>
    <w:rsid w:val="00602AEA"/>
    <w:rsid w:val="00607E3C"/>
    <w:rsid w:val="00614FDF"/>
    <w:rsid w:val="006246A7"/>
    <w:rsid w:val="0062595A"/>
    <w:rsid w:val="0063543D"/>
    <w:rsid w:val="00643A16"/>
    <w:rsid w:val="00647114"/>
    <w:rsid w:val="0065410B"/>
    <w:rsid w:val="006A323F"/>
    <w:rsid w:val="006B30D0"/>
    <w:rsid w:val="006C3D95"/>
    <w:rsid w:val="006E5C86"/>
    <w:rsid w:val="006E7AE7"/>
    <w:rsid w:val="00702213"/>
    <w:rsid w:val="00713C44"/>
    <w:rsid w:val="00714E1A"/>
    <w:rsid w:val="00721C9C"/>
    <w:rsid w:val="00734A5B"/>
    <w:rsid w:val="0074026F"/>
    <w:rsid w:val="007429F6"/>
    <w:rsid w:val="00744E76"/>
    <w:rsid w:val="00752198"/>
    <w:rsid w:val="00753881"/>
    <w:rsid w:val="00774DA4"/>
    <w:rsid w:val="00781F0F"/>
    <w:rsid w:val="007B600E"/>
    <w:rsid w:val="007B670C"/>
    <w:rsid w:val="007F0F4A"/>
    <w:rsid w:val="008028A4"/>
    <w:rsid w:val="00820B25"/>
    <w:rsid w:val="00820F7F"/>
    <w:rsid w:val="008255BF"/>
    <w:rsid w:val="00830747"/>
    <w:rsid w:val="00864CBC"/>
    <w:rsid w:val="008768CA"/>
    <w:rsid w:val="00885567"/>
    <w:rsid w:val="008B5D3A"/>
    <w:rsid w:val="008C32C8"/>
    <w:rsid w:val="008C384C"/>
    <w:rsid w:val="008D1418"/>
    <w:rsid w:val="008E7986"/>
    <w:rsid w:val="008F543B"/>
    <w:rsid w:val="00900C1A"/>
    <w:rsid w:val="0090271F"/>
    <w:rsid w:val="00902E23"/>
    <w:rsid w:val="009114D7"/>
    <w:rsid w:val="0091348E"/>
    <w:rsid w:val="00917CCB"/>
    <w:rsid w:val="00942EC2"/>
    <w:rsid w:val="00977B18"/>
    <w:rsid w:val="00990AA5"/>
    <w:rsid w:val="009F37B7"/>
    <w:rsid w:val="009F5E43"/>
    <w:rsid w:val="00A00460"/>
    <w:rsid w:val="00A10F02"/>
    <w:rsid w:val="00A164B4"/>
    <w:rsid w:val="00A205DD"/>
    <w:rsid w:val="00A26956"/>
    <w:rsid w:val="00A368D7"/>
    <w:rsid w:val="00A53724"/>
    <w:rsid w:val="00A66660"/>
    <w:rsid w:val="00A70191"/>
    <w:rsid w:val="00A73129"/>
    <w:rsid w:val="00A82346"/>
    <w:rsid w:val="00A92BA1"/>
    <w:rsid w:val="00AC6BC6"/>
    <w:rsid w:val="00AE2616"/>
    <w:rsid w:val="00AE3797"/>
    <w:rsid w:val="00AE6C72"/>
    <w:rsid w:val="00B022E6"/>
    <w:rsid w:val="00B02A63"/>
    <w:rsid w:val="00B070F5"/>
    <w:rsid w:val="00B15449"/>
    <w:rsid w:val="00B36C4A"/>
    <w:rsid w:val="00B37C9D"/>
    <w:rsid w:val="00B93086"/>
    <w:rsid w:val="00BA19ED"/>
    <w:rsid w:val="00BA300B"/>
    <w:rsid w:val="00BA4B8D"/>
    <w:rsid w:val="00BB3C4F"/>
    <w:rsid w:val="00BC0F7D"/>
    <w:rsid w:val="00BC3468"/>
    <w:rsid w:val="00BD6E43"/>
    <w:rsid w:val="00BE3255"/>
    <w:rsid w:val="00BF128E"/>
    <w:rsid w:val="00C02984"/>
    <w:rsid w:val="00C1496A"/>
    <w:rsid w:val="00C2666C"/>
    <w:rsid w:val="00C33079"/>
    <w:rsid w:val="00C36229"/>
    <w:rsid w:val="00C45231"/>
    <w:rsid w:val="00C72833"/>
    <w:rsid w:val="00C80F1D"/>
    <w:rsid w:val="00C91CE0"/>
    <w:rsid w:val="00C93F40"/>
    <w:rsid w:val="00CA261A"/>
    <w:rsid w:val="00CA3D0C"/>
    <w:rsid w:val="00CA7253"/>
    <w:rsid w:val="00CB4975"/>
    <w:rsid w:val="00CE00B0"/>
    <w:rsid w:val="00CE4E6F"/>
    <w:rsid w:val="00CF20E3"/>
    <w:rsid w:val="00D12062"/>
    <w:rsid w:val="00D309CC"/>
    <w:rsid w:val="00D46431"/>
    <w:rsid w:val="00D56A52"/>
    <w:rsid w:val="00D57972"/>
    <w:rsid w:val="00D675A9"/>
    <w:rsid w:val="00D738D6"/>
    <w:rsid w:val="00D75169"/>
    <w:rsid w:val="00D755EB"/>
    <w:rsid w:val="00D87E00"/>
    <w:rsid w:val="00D9134D"/>
    <w:rsid w:val="00DA7A03"/>
    <w:rsid w:val="00DB1818"/>
    <w:rsid w:val="00DB7B55"/>
    <w:rsid w:val="00DC0C0D"/>
    <w:rsid w:val="00DC309B"/>
    <w:rsid w:val="00DC4DA2"/>
    <w:rsid w:val="00DD4C17"/>
    <w:rsid w:val="00DE4DA7"/>
    <w:rsid w:val="00DF2B1F"/>
    <w:rsid w:val="00DF3064"/>
    <w:rsid w:val="00DF3F59"/>
    <w:rsid w:val="00DF6189"/>
    <w:rsid w:val="00DF62CD"/>
    <w:rsid w:val="00E15E09"/>
    <w:rsid w:val="00E16509"/>
    <w:rsid w:val="00E354F7"/>
    <w:rsid w:val="00E44582"/>
    <w:rsid w:val="00E52814"/>
    <w:rsid w:val="00E66799"/>
    <w:rsid w:val="00E72324"/>
    <w:rsid w:val="00E72ABE"/>
    <w:rsid w:val="00E77645"/>
    <w:rsid w:val="00E93A86"/>
    <w:rsid w:val="00EB19FF"/>
    <w:rsid w:val="00EC4A25"/>
    <w:rsid w:val="00ED770E"/>
    <w:rsid w:val="00EE5AA7"/>
    <w:rsid w:val="00F025A2"/>
    <w:rsid w:val="00F02A6C"/>
    <w:rsid w:val="00F04712"/>
    <w:rsid w:val="00F21311"/>
    <w:rsid w:val="00F22EC7"/>
    <w:rsid w:val="00F31F9E"/>
    <w:rsid w:val="00F325C8"/>
    <w:rsid w:val="00F555C2"/>
    <w:rsid w:val="00F62AEB"/>
    <w:rsid w:val="00F653B8"/>
    <w:rsid w:val="00F70647"/>
    <w:rsid w:val="00F70E65"/>
    <w:rsid w:val="00F73394"/>
    <w:rsid w:val="00FA1266"/>
    <w:rsid w:val="00FC1192"/>
    <w:rsid w:val="00FD6E82"/>
    <w:rsid w:val="00FF06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07CF0"/>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Cs w:val="20"/>
      <w:lang w:val="en-GB"/>
    </w:rPr>
  </w:style>
  <w:style w:type="paragraph" w:customStyle="1" w:styleId="FP">
    <w:name w:val="FP"/>
    <w:basedOn w:val="Normal"/>
    <w:rPr>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after="180"/>
      <w:jc w:val="center"/>
    </w:pPr>
    <w:rPr>
      <w:rFonts w:ascii="Arial" w:hAnsi="Arial"/>
      <w:b/>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Cs w:val="20"/>
      <w:lang w:val="en-GB"/>
    </w:rPr>
  </w:style>
  <w:style w:type="paragraph" w:customStyle="1" w:styleId="B3">
    <w:name w:val="B3"/>
    <w:basedOn w:val="Normal"/>
    <w:pPr>
      <w:spacing w:after="180"/>
      <w:ind w:left="1135" w:hanging="284"/>
    </w:pPr>
    <w:rPr>
      <w:szCs w:val="20"/>
      <w:lang w:val="en-GB"/>
    </w:rPr>
  </w:style>
  <w:style w:type="paragraph" w:customStyle="1" w:styleId="B4">
    <w:name w:val="B4"/>
    <w:basedOn w:val="Normal"/>
    <w:pPr>
      <w:spacing w:after="180"/>
      <w:ind w:left="1418" w:hanging="284"/>
    </w:pPr>
    <w:rPr>
      <w:szCs w:val="20"/>
      <w:lang w:val="en-GB"/>
    </w:rPr>
  </w:style>
  <w:style w:type="paragraph" w:customStyle="1" w:styleId="B5">
    <w:name w:val="B5"/>
    <w:basedOn w:val="Normal"/>
    <w:pPr>
      <w:spacing w:after="180"/>
      <w:ind w:left="1702" w:hanging="284"/>
    </w:pPr>
    <w:rPr>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Cs w:val="20"/>
      <w:lang w:val="en-GB"/>
    </w:rPr>
  </w:style>
  <w:style w:type="paragraph" w:customStyle="1" w:styleId="Proposal">
    <w:name w:val="Proposal"/>
    <w:basedOn w:val="Normal"/>
    <w:rsid w:val="003E7753"/>
    <w:pPr>
      <w:tabs>
        <w:tab w:val="left" w:pos="1701"/>
      </w:tabs>
      <w:spacing w:after="180"/>
      <w:ind w:left="1701" w:hanging="1701"/>
    </w:pPr>
    <w:rPr>
      <w:b/>
      <w:szCs w:val="20"/>
      <w:lang w:val="en-GB"/>
    </w:rPr>
  </w:style>
  <w:style w:type="paragraph" w:styleId="NormalWeb">
    <w:name w:val="Normal (Web)"/>
    <w:basedOn w:val="Normal"/>
    <w:uiPriority w:val="99"/>
    <w:unhideWhenUsed/>
    <w:rsid w:val="00A205DD"/>
    <w:pPr>
      <w:spacing w:before="100" w:beforeAutospacing="1" w:after="100" w:afterAutospacing="1"/>
    </w:pPr>
  </w:style>
  <w:style w:type="character" w:customStyle="1" w:styleId="apple-tab-span">
    <w:name w:val="apple-tab-span"/>
    <w:basedOn w:val="DefaultParagraphFont"/>
    <w:rsid w:val="00F70E65"/>
  </w:style>
  <w:style w:type="paragraph" w:styleId="Caption">
    <w:name w:val="caption"/>
    <w:basedOn w:val="Normal"/>
    <w:next w:val="Normal"/>
    <w:unhideWhenUsed/>
    <w:qFormat/>
    <w:rsid w:val="00714E1A"/>
    <w:pPr>
      <w:spacing w:after="200"/>
    </w:pPr>
    <w:rPr>
      <w:i/>
      <w:iCs/>
      <w:color w:val="44546A" w:themeColor="text2"/>
      <w:sz w:val="18"/>
      <w:szCs w:val="18"/>
    </w:rPr>
  </w:style>
  <w:style w:type="paragraph" w:styleId="ListParagraph">
    <w:name w:val="List Paragraph"/>
    <w:basedOn w:val="Normal"/>
    <w:uiPriority w:val="34"/>
    <w:qFormat/>
    <w:rsid w:val="000253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694272">
      <w:bodyDiv w:val="1"/>
      <w:marLeft w:val="0"/>
      <w:marRight w:val="0"/>
      <w:marTop w:val="0"/>
      <w:marBottom w:val="0"/>
      <w:divBdr>
        <w:top w:val="none" w:sz="0" w:space="0" w:color="auto"/>
        <w:left w:val="none" w:sz="0" w:space="0" w:color="auto"/>
        <w:bottom w:val="none" w:sz="0" w:space="0" w:color="auto"/>
        <w:right w:val="none" w:sz="0" w:space="0" w:color="auto"/>
      </w:divBdr>
    </w:div>
    <w:div w:id="531577794">
      <w:bodyDiv w:val="1"/>
      <w:marLeft w:val="0"/>
      <w:marRight w:val="0"/>
      <w:marTop w:val="0"/>
      <w:marBottom w:val="0"/>
      <w:divBdr>
        <w:top w:val="none" w:sz="0" w:space="0" w:color="auto"/>
        <w:left w:val="none" w:sz="0" w:space="0" w:color="auto"/>
        <w:bottom w:val="none" w:sz="0" w:space="0" w:color="auto"/>
        <w:right w:val="none" w:sz="0" w:space="0" w:color="auto"/>
      </w:divBdr>
    </w:div>
    <w:div w:id="688600205">
      <w:bodyDiv w:val="1"/>
      <w:marLeft w:val="0"/>
      <w:marRight w:val="0"/>
      <w:marTop w:val="0"/>
      <w:marBottom w:val="0"/>
      <w:divBdr>
        <w:top w:val="none" w:sz="0" w:space="0" w:color="auto"/>
        <w:left w:val="none" w:sz="0" w:space="0" w:color="auto"/>
        <w:bottom w:val="none" w:sz="0" w:space="0" w:color="auto"/>
        <w:right w:val="none" w:sz="0" w:space="0" w:color="auto"/>
      </w:divBdr>
      <w:divsChild>
        <w:div w:id="1824933337">
          <w:marLeft w:val="0"/>
          <w:marRight w:val="0"/>
          <w:marTop w:val="0"/>
          <w:marBottom w:val="0"/>
          <w:divBdr>
            <w:top w:val="none" w:sz="0" w:space="0" w:color="auto"/>
            <w:left w:val="none" w:sz="0" w:space="0" w:color="auto"/>
            <w:bottom w:val="none" w:sz="0" w:space="0" w:color="auto"/>
            <w:right w:val="none" w:sz="0" w:space="0" w:color="auto"/>
          </w:divBdr>
          <w:divsChild>
            <w:div w:id="139809967">
              <w:marLeft w:val="0"/>
              <w:marRight w:val="0"/>
              <w:marTop w:val="0"/>
              <w:marBottom w:val="0"/>
              <w:divBdr>
                <w:top w:val="none" w:sz="0" w:space="0" w:color="auto"/>
                <w:left w:val="none" w:sz="0" w:space="0" w:color="auto"/>
                <w:bottom w:val="none" w:sz="0" w:space="0" w:color="auto"/>
                <w:right w:val="none" w:sz="0" w:space="0" w:color="auto"/>
              </w:divBdr>
              <w:divsChild>
                <w:div w:id="157065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536279">
      <w:bodyDiv w:val="1"/>
      <w:marLeft w:val="0"/>
      <w:marRight w:val="0"/>
      <w:marTop w:val="0"/>
      <w:marBottom w:val="0"/>
      <w:divBdr>
        <w:top w:val="none" w:sz="0" w:space="0" w:color="auto"/>
        <w:left w:val="none" w:sz="0" w:space="0" w:color="auto"/>
        <w:bottom w:val="none" w:sz="0" w:space="0" w:color="auto"/>
        <w:right w:val="none" w:sz="0" w:space="0" w:color="auto"/>
      </w:divBdr>
    </w:div>
    <w:div w:id="205365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BAEA5-08DE-4100-8100-86BF1CD13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1014</Words>
  <Characters>5782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CR0181</cp:lastModifiedBy>
  <cp:revision>3</cp:revision>
  <cp:lastPrinted>2020-02-14T13:46:00Z</cp:lastPrinted>
  <dcterms:created xsi:type="dcterms:W3CDTF">2020-02-14T23:51:00Z</dcterms:created>
  <dcterms:modified xsi:type="dcterms:W3CDTF">2020-02-15T08:16:00Z</dcterms:modified>
  <cp:category/>
</cp:coreProperties>
</file>