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8F6A2" w14:textId="3597574F" w:rsidR="001F4B45" w:rsidRPr="00DB3907" w:rsidRDefault="001F4B45" w:rsidP="001F4B45">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257D01">
        <w:rPr>
          <w:rFonts w:cs="Arial"/>
          <w:sz w:val="24"/>
          <w:szCs w:val="24"/>
          <w:lang w:val="de-DE"/>
        </w:rPr>
        <w:t>4</w:t>
      </w:r>
      <w:r w:rsidR="00D60B2E">
        <w:rPr>
          <w:rFonts w:cs="Arial"/>
          <w:sz w:val="24"/>
          <w:szCs w:val="24"/>
          <w:lang w:val="de-DE"/>
        </w:rPr>
        <w:t>-e</w:t>
      </w:r>
      <w:r w:rsidRPr="00DB3907">
        <w:rPr>
          <w:rFonts w:cs="Arial"/>
          <w:sz w:val="24"/>
          <w:szCs w:val="24"/>
          <w:lang w:val="de-DE"/>
        </w:rPr>
        <w:tab/>
        <w:t>R4-</w:t>
      </w:r>
      <w:r w:rsidR="00257D01">
        <w:rPr>
          <w:rFonts w:cs="Arial"/>
          <w:sz w:val="24"/>
          <w:szCs w:val="24"/>
          <w:lang w:val="de-DE"/>
        </w:rPr>
        <w:t>200</w:t>
      </w:r>
      <w:r w:rsidR="00EE7512">
        <w:rPr>
          <w:rFonts w:cs="Arial"/>
          <w:sz w:val="24"/>
          <w:szCs w:val="24"/>
          <w:lang w:val="de-DE"/>
        </w:rPr>
        <w:t>2097</w:t>
      </w:r>
    </w:p>
    <w:p w14:paraId="434A8CB4" w14:textId="0969A282" w:rsidR="001F4B45" w:rsidRPr="00DB3907" w:rsidRDefault="00257D01" w:rsidP="001F4B45">
      <w:pPr>
        <w:pStyle w:val="Header"/>
        <w:tabs>
          <w:tab w:val="left" w:pos="6521"/>
        </w:tabs>
        <w:rPr>
          <w:rFonts w:cs="Arial"/>
          <w:sz w:val="24"/>
          <w:szCs w:val="24"/>
        </w:rPr>
      </w:pPr>
      <w:r>
        <w:rPr>
          <w:rFonts w:cs="Arial"/>
          <w:sz w:val="24"/>
          <w:szCs w:val="24"/>
        </w:rPr>
        <w:t>February</w:t>
      </w:r>
      <w:r w:rsidR="001F4B45">
        <w:rPr>
          <w:rFonts w:cs="Arial"/>
          <w:sz w:val="24"/>
          <w:szCs w:val="24"/>
        </w:rPr>
        <w:t xml:space="preserve"> </w:t>
      </w:r>
      <w:r>
        <w:rPr>
          <w:rFonts w:cs="Arial"/>
          <w:sz w:val="24"/>
          <w:szCs w:val="24"/>
        </w:rPr>
        <w:t>24</w:t>
      </w:r>
      <w:r w:rsidR="001F4B45">
        <w:rPr>
          <w:rFonts w:cs="Arial"/>
          <w:sz w:val="24"/>
          <w:szCs w:val="24"/>
          <w:vertAlign w:val="superscript"/>
        </w:rPr>
        <w:t>th</w:t>
      </w:r>
      <w:r w:rsidR="001F4B45">
        <w:rPr>
          <w:rFonts w:cs="Arial"/>
          <w:sz w:val="24"/>
          <w:szCs w:val="24"/>
        </w:rPr>
        <w:t xml:space="preserve"> ‒ </w:t>
      </w:r>
      <w:r w:rsidR="00D60B2E">
        <w:rPr>
          <w:rFonts w:cs="Arial"/>
          <w:sz w:val="24"/>
          <w:szCs w:val="24"/>
        </w:rPr>
        <w:t>March 6</w:t>
      </w:r>
      <w:r>
        <w:rPr>
          <w:rFonts w:cs="Arial"/>
          <w:sz w:val="24"/>
          <w:szCs w:val="24"/>
          <w:vertAlign w:val="superscript"/>
        </w:rPr>
        <w:t>th</w:t>
      </w:r>
      <w:r w:rsidR="001F4B45">
        <w:rPr>
          <w:rFonts w:cs="Arial"/>
          <w:sz w:val="24"/>
          <w:szCs w:val="24"/>
        </w:rPr>
        <w:t>, 20</w:t>
      </w:r>
      <w:r>
        <w:rPr>
          <w:rFonts w:cs="Arial"/>
          <w:sz w:val="24"/>
          <w:szCs w:val="24"/>
        </w:rPr>
        <w:t>20</w:t>
      </w:r>
    </w:p>
    <w:p w14:paraId="1E04A5CB" w14:textId="7A1CFFBC" w:rsidR="001F4B45" w:rsidRPr="00DB3907" w:rsidRDefault="00D60B2E" w:rsidP="001F4B45">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BF4A02B"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EE7512">
        <w:rPr>
          <w:rFonts w:ascii="Arial" w:hAnsi="Arial"/>
          <w:sz w:val="24"/>
          <w:lang w:val="en-US"/>
        </w:rPr>
        <w:t>9.15.2</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2093A977"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3320">
        <w:rPr>
          <w:rFonts w:ascii="Arial" w:hAnsi="Arial"/>
          <w:sz w:val="24"/>
          <w:lang w:val="en-US"/>
        </w:rPr>
        <w:t xml:space="preserve">Power class </w:t>
      </w:r>
      <w:r w:rsidR="00032237">
        <w:rPr>
          <w:rFonts w:ascii="Arial" w:hAnsi="Arial"/>
          <w:sz w:val="24"/>
          <w:lang w:val="en-US"/>
        </w:rPr>
        <w:t xml:space="preserve">and configured power for PC2 </w:t>
      </w:r>
      <w:r w:rsidR="00373320">
        <w:rPr>
          <w:rFonts w:ascii="Arial" w:hAnsi="Arial"/>
          <w:sz w:val="24"/>
          <w:lang w:val="en-US"/>
        </w:rPr>
        <w:t>FDD-TDD EN-DC</w:t>
      </w:r>
    </w:p>
    <w:p w14:paraId="013F978F" w14:textId="215AD56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A0DA3">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2AED683B" w14:textId="45EF6DA6" w:rsidR="00251AE9" w:rsidRPr="00417B99" w:rsidRDefault="00FC48EB" w:rsidP="00E12531">
      <w:pPr>
        <w:rPr>
          <w:color w:val="FF0000"/>
          <w:lang w:val="en-US"/>
        </w:rPr>
      </w:pPr>
      <w:r>
        <w:rPr>
          <w:lang w:val="en-US"/>
        </w:rPr>
        <w:t xml:space="preserve">One of the challenges for UE support of higher transmit power classes is the compliance with SAR.  Recognizing that UE-based approaches based on P-MPR are always available, the investigation of network-based approaches to assist the UE in meeting SAR have also been extensively discussed.  The conventional network-based approach for SA TDD and TDD-TDD EN-DC has been to leverage the inherent uplink restriction imposed by the TDD duty cycle.  However, for FDD-TDD EN-DC, other approaches have been studied </w:t>
      </w:r>
      <w:proofErr w:type="gramStart"/>
      <w:r>
        <w:rPr>
          <w:lang w:val="en-US"/>
        </w:rPr>
        <w:t>during the course of</w:t>
      </w:r>
      <w:proofErr w:type="gramEnd"/>
      <w:r>
        <w:rPr>
          <w:lang w:val="en-US"/>
        </w:rPr>
        <w:t xml:space="preserve"> the study item [</w:t>
      </w:r>
      <w:r w:rsidR="00C365E8">
        <w:rPr>
          <w:lang w:val="en-US"/>
        </w:rPr>
        <w:t>1</w:t>
      </w:r>
      <w:r>
        <w:rPr>
          <w:lang w:val="en-US"/>
        </w:rPr>
        <w:t xml:space="preserve">].  </w:t>
      </w:r>
      <w:r w:rsidR="00032237">
        <w:rPr>
          <w:lang w:val="en-US"/>
        </w:rPr>
        <w:t>This contribution discusses how the approaches based on feedback of UE capability and in the absence of UE reporting, network configuration can be combined into a cohesive solution.</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04D37F85" w14:textId="44AA9883" w:rsidR="00A61140" w:rsidRDefault="00373320" w:rsidP="00A0551F">
      <w:pPr>
        <w:rPr>
          <w:lang w:val="en-US"/>
        </w:rPr>
      </w:pPr>
      <w:r>
        <w:rPr>
          <w:lang w:val="en-US"/>
        </w:rPr>
        <w:t xml:space="preserve">At the conclusion of the study item, </w:t>
      </w:r>
      <w:r w:rsidR="00AE10CF">
        <w:rPr>
          <w:lang w:val="en-US"/>
        </w:rPr>
        <w:t xml:space="preserve">the so-called “scheme 2” UE capability reporting solution was identified to facilitate UE SAR compliance for PC2 FDD-TDD EN-DC.  Scheme 2 consists of a UE capability report on its upper limit of UL duty cycle for the NR TDD carrier for a fixed (set of two) LTE FDD uplink duty cycle assuming full power transmission on the LTE cell group.  </w:t>
      </w:r>
      <w:r w:rsidR="00A61140">
        <w:rPr>
          <w:lang w:val="en-US"/>
        </w:rPr>
        <w:t xml:space="preserve">The expectation is that the </w:t>
      </w:r>
      <w:proofErr w:type="spellStart"/>
      <w:r w:rsidR="00A61140">
        <w:rPr>
          <w:lang w:val="en-US"/>
        </w:rPr>
        <w:t>basestation</w:t>
      </w:r>
      <w:proofErr w:type="spellEnd"/>
      <w:r w:rsidR="00A61140">
        <w:rPr>
          <w:lang w:val="en-US"/>
        </w:rPr>
        <w:t xml:space="preserve"> will schedule uplink grants to the UE according to this reported capability; </w:t>
      </w:r>
      <w:proofErr w:type="gramStart"/>
      <w:r w:rsidR="00A61140">
        <w:rPr>
          <w:lang w:val="en-US"/>
        </w:rPr>
        <w:t>in the event that</w:t>
      </w:r>
      <w:proofErr w:type="gramEnd"/>
      <w:r w:rsidR="00A61140">
        <w:rPr>
          <w:lang w:val="en-US"/>
        </w:rPr>
        <w:t xml:space="preserve"> the </w:t>
      </w:r>
      <w:proofErr w:type="spellStart"/>
      <w:r w:rsidR="00A61140">
        <w:rPr>
          <w:lang w:val="en-US"/>
        </w:rPr>
        <w:t>basestation</w:t>
      </w:r>
      <w:proofErr w:type="spellEnd"/>
      <w:r w:rsidR="00A61140">
        <w:rPr>
          <w:lang w:val="en-US"/>
        </w:rPr>
        <w:t xml:space="preserve"> schedule uplink grants in excess of the reported capability, the UE will </w:t>
      </w:r>
      <w:proofErr w:type="spellStart"/>
      <w:r w:rsidR="00A61140">
        <w:rPr>
          <w:lang w:val="en-US"/>
        </w:rPr>
        <w:t>fallback</w:t>
      </w:r>
      <w:proofErr w:type="spellEnd"/>
      <w:r w:rsidR="00A61140">
        <w:rPr>
          <w:lang w:val="en-US"/>
        </w:rPr>
        <w:t xml:space="preserve"> to PC3.  At the same time, another scheme by which the network permanently reduces maximum allowed transmit power on the LTE CG to reserve power for the NR CG was also identified.  In this scheme the power on the NR CG can be further increased by taking advantage of the SAR headroom offered by a configured uplink duty cycle on the NR CG by virtue of its TDD operation.  </w:t>
      </w:r>
    </w:p>
    <w:p w14:paraId="3C72BA3D" w14:textId="53BE4163" w:rsidR="00A61140" w:rsidRDefault="00A61140" w:rsidP="00A0551F">
      <w:pPr>
        <w:rPr>
          <w:lang w:val="en-US"/>
        </w:rPr>
      </w:pPr>
      <w:r>
        <w:rPr>
          <w:lang w:val="en-US"/>
        </w:rPr>
        <w:t>In the remainder of the paper, these two schemes are referred to as “</w:t>
      </w:r>
      <w:r w:rsidR="00F52E7A">
        <w:rPr>
          <w:lang w:val="en-US"/>
        </w:rPr>
        <w:t>feedback-based</w:t>
      </w:r>
      <w:r>
        <w:rPr>
          <w:lang w:val="en-US"/>
        </w:rPr>
        <w:t>” and “</w:t>
      </w:r>
      <w:r w:rsidR="00F52E7A">
        <w:rPr>
          <w:lang w:val="en-US"/>
        </w:rPr>
        <w:t>blind</w:t>
      </w:r>
      <w:r>
        <w:rPr>
          <w:lang w:val="en-US"/>
        </w:rPr>
        <w:t xml:space="preserve">”.  </w:t>
      </w:r>
      <w:r w:rsidR="00F52E7A">
        <w:rPr>
          <w:lang w:val="en-US"/>
        </w:rPr>
        <w:t xml:space="preserve">The first scheme denoted as “feedback-based” takes advantage of UE capability reporting so the </w:t>
      </w:r>
      <w:proofErr w:type="spellStart"/>
      <w:r w:rsidR="00F52E7A">
        <w:rPr>
          <w:lang w:val="en-US"/>
        </w:rPr>
        <w:t>basestation</w:t>
      </w:r>
      <w:proofErr w:type="spellEnd"/>
      <w:r w:rsidR="00F52E7A">
        <w:rPr>
          <w:lang w:val="en-US"/>
        </w:rPr>
        <w:t xml:space="preserve"> has </w:t>
      </w:r>
      <w:r w:rsidR="00F52E7A" w:rsidRPr="00F52E7A">
        <w:rPr>
          <w:i/>
          <w:iCs/>
          <w:lang w:val="en-US"/>
        </w:rPr>
        <w:t>a priori</w:t>
      </w:r>
      <w:r w:rsidR="00F52E7A">
        <w:rPr>
          <w:lang w:val="en-US"/>
        </w:rPr>
        <w:t xml:space="preserve"> knowledge</w:t>
      </w:r>
      <w:r w:rsidR="00C47E63">
        <w:rPr>
          <w:lang w:val="en-US"/>
        </w:rPr>
        <w:t xml:space="preserve"> to optimize scheduling for the UE</w:t>
      </w:r>
      <w:r w:rsidR="00F52E7A">
        <w:rPr>
          <w:lang w:val="en-US"/>
        </w:rPr>
        <w:t xml:space="preserve">, while the second scheme does not require or utilize any UE feedback so the </w:t>
      </w:r>
      <w:proofErr w:type="spellStart"/>
      <w:r w:rsidR="00F52E7A">
        <w:rPr>
          <w:lang w:val="en-US"/>
        </w:rPr>
        <w:t>basestation</w:t>
      </w:r>
      <w:proofErr w:type="spellEnd"/>
      <w:r w:rsidR="00F52E7A">
        <w:rPr>
          <w:lang w:val="en-US"/>
        </w:rPr>
        <w:t xml:space="preserve"> does not have </w:t>
      </w:r>
      <w:r w:rsidR="00F52E7A" w:rsidRPr="00F52E7A">
        <w:rPr>
          <w:i/>
          <w:iCs/>
          <w:lang w:val="en-US"/>
        </w:rPr>
        <w:t>a priori</w:t>
      </w:r>
      <w:r w:rsidR="00F52E7A">
        <w:rPr>
          <w:lang w:val="en-US"/>
        </w:rPr>
        <w:t xml:space="preserve"> knowledge but must schedule blindly relying only on its own knowledge of </w:t>
      </w:r>
      <w:r w:rsidR="00603C17">
        <w:rPr>
          <w:lang w:val="en-US"/>
        </w:rPr>
        <w:t>its</w:t>
      </w:r>
      <w:r w:rsidR="00F52E7A">
        <w:rPr>
          <w:lang w:val="en-US"/>
        </w:rPr>
        <w:t xml:space="preserve"> P</w:t>
      </w:r>
      <w:r w:rsidR="00F52E7A" w:rsidRPr="00F52E7A">
        <w:rPr>
          <w:vertAlign w:val="subscript"/>
          <w:lang w:val="en-US"/>
        </w:rPr>
        <w:t>LTE</w:t>
      </w:r>
      <w:r w:rsidR="00F52E7A">
        <w:rPr>
          <w:lang w:val="en-US"/>
        </w:rPr>
        <w:t xml:space="preserve"> </w:t>
      </w:r>
      <w:r w:rsidR="00603C17">
        <w:rPr>
          <w:lang w:val="en-US"/>
        </w:rPr>
        <w:t xml:space="preserve">imposed </w:t>
      </w:r>
      <w:r w:rsidR="00F52E7A">
        <w:rPr>
          <w:lang w:val="en-US"/>
        </w:rPr>
        <w:t xml:space="preserve">power cap and NR configured uplink duty cycle.  </w:t>
      </w:r>
    </w:p>
    <w:p w14:paraId="1C963B17" w14:textId="3A0CA03F" w:rsidR="00373320" w:rsidRDefault="00C47E63" w:rsidP="00A0551F">
      <w:pPr>
        <w:rPr>
          <w:lang w:val="en-US"/>
        </w:rPr>
      </w:pPr>
      <w:r>
        <w:rPr>
          <w:lang w:val="en-US"/>
        </w:rPr>
        <w:t xml:space="preserve">It is well understood that any system with more information, i.e., feedback-based, compared to a system with less information, i.e., blind, has the potential to perform better.  Of course, whether performance gain is </w:t>
      </w:r>
      <w:proofErr w:type="gramStart"/>
      <w:r>
        <w:rPr>
          <w:lang w:val="en-US"/>
        </w:rPr>
        <w:t>actually realized</w:t>
      </w:r>
      <w:proofErr w:type="gramEnd"/>
      <w:r>
        <w:rPr>
          <w:lang w:val="en-US"/>
        </w:rPr>
        <w:t xml:space="preserve"> depends on whether the information is correct, timely, and used appropriately, but the potential is there. </w:t>
      </w:r>
      <w:r w:rsidR="00091708">
        <w:rPr>
          <w:lang w:val="en-US"/>
        </w:rPr>
        <w:t xml:space="preserve"> In this case, the following disadvantages of the “blind” scheme are listed</w:t>
      </w:r>
    </w:p>
    <w:p w14:paraId="766ADFC7" w14:textId="77777777" w:rsidR="00387B4B" w:rsidRPr="00832059" w:rsidRDefault="00387B4B" w:rsidP="00832059">
      <w:pPr>
        <w:pStyle w:val="ListParagraph"/>
        <w:numPr>
          <w:ilvl w:val="0"/>
          <w:numId w:val="19"/>
        </w:numPr>
        <w:rPr>
          <w:lang w:val="en-US"/>
        </w:rPr>
      </w:pPr>
      <w:r w:rsidRPr="00832059">
        <w:rPr>
          <w:lang w:val="en-US"/>
        </w:rPr>
        <w:t xml:space="preserve">LTE power is permanently reduced so the EN-DC coverage is permanently sacrificed, even for the slots in which no NR uplink is </w:t>
      </w:r>
      <w:proofErr w:type="gramStart"/>
      <w:r w:rsidRPr="00832059">
        <w:rPr>
          <w:lang w:val="en-US"/>
        </w:rPr>
        <w:t>actually scheduled</w:t>
      </w:r>
      <w:proofErr w:type="gramEnd"/>
      <w:r w:rsidRPr="00832059">
        <w:rPr>
          <w:lang w:val="en-US"/>
        </w:rPr>
        <w:t>.</w:t>
      </w:r>
    </w:p>
    <w:p w14:paraId="423DD33A" w14:textId="7C7C8922" w:rsidR="00387B4B" w:rsidRDefault="00387B4B" w:rsidP="00832059">
      <w:pPr>
        <w:pStyle w:val="ListParagraph"/>
        <w:numPr>
          <w:ilvl w:val="0"/>
          <w:numId w:val="19"/>
        </w:numPr>
        <w:rPr>
          <w:lang w:val="en-US"/>
        </w:rPr>
      </w:pPr>
      <w:r w:rsidRPr="00832059">
        <w:rPr>
          <w:lang w:val="en-US"/>
        </w:rPr>
        <w:t>Configured uplink duty cycle for NR TDD is used to scale the output power.  The configured uplink duty cycle</w:t>
      </w:r>
      <w:r w:rsidR="00832059" w:rsidRPr="00832059">
        <w:rPr>
          <w:lang w:val="en-US"/>
        </w:rPr>
        <w:t xml:space="preserve"> is used as a cap 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EN-DC</m:t>
            </m:r>
          </m:sup>
        </m:sSubSup>
      </m:oMath>
      <w:r w:rsidR="00832059" w:rsidRPr="00832059">
        <w:rPr>
          <w:lang w:val="en-US"/>
        </w:rPr>
        <w:t xml:space="preserve">, but if </w:t>
      </w:r>
      <w:proofErr w:type="gramStart"/>
      <w:r w:rsidR="00832059" w:rsidRPr="00832059">
        <w:rPr>
          <w:lang w:val="en-US"/>
        </w:rPr>
        <w:t>not</w:t>
      </w:r>
      <w:proofErr w:type="gramEnd"/>
      <w:r w:rsidR="00832059" w:rsidRPr="00832059">
        <w:rPr>
          <w:lang w:val="en-US"/>
        </w:rPr>
        <w:t xml:space="preserve"> all available uplink slots are actually scheduled for the UE, available power is left </w:t>
      </w:r>
      <w:r w:rsidR="00ED1B40">
        <w:rPr>
          <w:lang w:val="en-US"/>
        </w:rPr>
        <w:t>unused</w:t>
      </w:r>
      <w:r w:rsidR="00832059" w:rsidRPr="00832059">
        <w:rPr>
          <w:lang w:val="en-US"/>
        </w:rPr>
        <w:t xml:space="preserve">.  </w:t>
      </w:r>
    </w:p>
    <w:p w14:paraId="4DF2493E" w14:textId="03B11D8D" w:rsidR="00091708" w:rsidRDefault="00091708" w:rsidP="00091708">
      <w:pPr>
        <w:pStyle w:val="ListParagraph"/>
        <w:numPr>
          <w:ilvl w:val="0"/>
          <w:numId w:val="19"/>
        </w:numPr>
        <w:rPr>
          <w:lang w:val="en-US"/>
        </w:rPr>
      </w:pPr>
      <w:r>
        <w:rPr>
          <w:lang w:val="en-US"/>
        </w:rPr>
        <w:t xml:space="preserve">The </w:t>
      </w:r>
      <w:proofErr w:type="spellStart"/>
      <w:r>
        <w:rPr>
          <w:lang w:val="en-US"/>
        </w:rPr>
        <w:t>basestation</w:t>
      </w:r>
      <w:proofErr w:type="spellEnd"/>
      <w:r>
        <w:rPr>
          <w:lang w:val="en-US"/>
        </w:rPr>
        <w:t xml:space="preserve"> does not have any knowledge about the capability of the UE.  It doesn’t know if the UE is a handset, tablet, or other form factor.  It doesn’t know if the UE has a superior SAR budget</w:t>
      </w:r>
      <w:r w:rsidR="00ED1B40">
        <w:rPr>
          <w:lang w:val="en-US"/>
        </w:rPr>
        <w:t xml:space="preserve"> by design and what the antennas are available on the UE, which communication systems are sharing the same antenna, etc.</w:t>
      </w:r>
      <w:r>
        <w:rPr>
          <w:lang w:val="en-US"/>
        </w:rPr>
        <w:t xml:space="preserve">  These are factors that can influence the SAR capability of the device and are only known by the UE.  If not reported via SAR capability to the </w:t>
      </w:r>
      <w:proofErr w:type="spellStart"/>
      <w:r>
        <w:rPr>
          <w:lang w:val="en-US"/>
        </w:rPr>
        <w:t>basestation</w:t>
      </w:r>
      <w:proofErr w:type="spellEnd"/>
      <w:r>
        <w:rPr>
          <w:lang w:val="en-US"/>
        </w:rPr>
        <w:t xml:space="preserve">, the </w:t>
      </w:r>
      <w:proofErr w:type="spellStart"/>
      <w:r>
        <w:rPr>
          <w:lang w:val="en-US"/>
        </w:rPr>
        <w:t>basestation</w:t>
      </w:r>
      <w:proofErr w:type="spellEnd"/>
      <w:r>
        <w:rPr>
          <w:lang w:val="en-US"/>
        </w:rPr>
        <w:t xml:space="preserve"> scheduler can only make a general assumption about the UE and treat all UE’s in the cell identically as such.  </w:t>
      </w:r>
    </w:p>
    <w:p w14:paraId="384FAF51" w14:textId="636705A6" w:rsidR="00091708" w:rsidRDefault="00091708" w:rsidP="00091708">
      <w:pPr>
        <w:rPr>
          <w:lang w:val="en-US"/>
        </w:rPr>
      </w:pPr>
      <w:r>
        <w:rPr>
          <w:lang w:val="en-US"/>
        </w:rPr>
        <w:t xml:space="preserve">For these reasons, a feedback-based scheme is preferred.  </w:t>
      </w:r>
    </w:p>
    <w:p w14:paraId="0250A5E6" w14:textId="2565B7C7" w:rsidR="00091708" w:rsidRPr="00091708" w:rsidRDefault="00091708" w:rsidP="00091708">
      <w:pPr>
        <w:rPr>
          <w:b/>
          <w:bCs/>
          <w:lang w:val="en-US"/>
        </w:rPr>
      </w:pPr>
      <w:r w:rsidRPr="00091708">
        <w:rPr>
          <w:b/>
          <w:bCs/>
          <w:lang w:val="en-US"/>
        </w:rPr>
        <w:lastRenderedPageBreak/>
        <w:t>Proposal</w:t>
      </w:r>
      <w:r w:rsidR="007A0DA3">
        <w:rPr>
          <w:b/>
          <w:bCs/>
          <w:lang w:val="en-US"/>
        </w:rPr>
        <w:t xml:space="preserve"> 1</w:t>
      </w:r>
      <w:r w:rsidRPr="00091708">
        <w:rPr>
          <w:b/>
          <w:bCs/>
          <w:lang w:val="en-US"/>
        </w:rPr>
        <w:t>:  The “scheme 2” feedback-based method is preferred to enable the potential for higher performance</w:t>
      </w:r>
      <w:r w:rsidR="00B4615C">
        <w:rPr>
          <w:b/>
          <w:bCs/>
          <w:lang w:val="en-US"/>
        </w:rPr>
        <w:t xml:space="preserve"> for PC2 FDD-TDD EN-DC networks</w:t>
      </w:r>
      <w:r w:rsidRPr="00091708">
        <w:rPr>
          <w:b/>
          <w:bCs/>
          <w:lang w:val="en-US"/>
        </w:rPr>
        <w:t>.</w:t>
      </w:r>
    </w:p>
    <w:p w14:paraId="067026AC" w14:textId="2CEF86CB" w:rsidR="00091708" w:rsidRPr="00091708" w:rsidRDefault="00091708" w:rsidP="00091708">
      <w:pPr>
        <w:rPr>
          <w:lang w:val="en-US"/>
        </w:rPr>
      </w:pPr>
      <w:r>
        <w:rPr>
          <w:lang w:val="en-US"/>
        </w:rPr>
        <w:t xml:space="preserve">However, </w:t>
      </w:r>
      <w:proofErr w:type="gramStart"/>
      <w:r>
        <w:rPr>
          <w:lang w:val="en-US"/>
        </w:rPr>
        <w:t>in the event that</w:t>
      </w:r>
      <w:proofErr w:type="gramEnd"/>
      <w:r>
        <w:rPr>
          <w:lang w:val="en-US"/>
        </w:rPr>
        <w:t xml:space="preserve"> the feedback-based scheme is not available, a default behavior should be defined and here, at least some aspects of the blind scheme can be considered.</w:t>
      </w:r>
      <w:r w:rsidR="00D36C4F">
        <w:rPr>
          <w:lang w:val="en-US"/>
        </w:rPr>
        <w:t xml:space="preserve">  What is being discussed here is the expected behavior and associated requirements </w:t>
      </w:r>
      <w:proofErr w:type="gramStart"/>
      <w:r w:rsidR="00D36C4F">
        <w:rPr>
          <w:lang w:val="en-US"/>
        </w:rPr>
        <w:t>in the event that</w:t>
      </w:r>
      <w:proofErr w:type="gramEnd"/>
      <w:r w:rsidR="00D36C4F">
        <w:rPr>
          <w:lang w:val="en-US"/>
        </w:rPr>
        <w:t xml:space="preserve"> the UE does not signal a SAR capability report.  In this case, the </w:t>
      </w:r>
      <w:proofErr w:type="spellStart"/>
      <w:r w:rsidR="00D36C4F">
        <w:rPr>
          <w:lang w:val="en-US"/>
        </w:rPr>
        <w:t>basestation</w:t>
      </w:r>
      <w:proofErr w:type="spellEnd"/>
      <w:r w:rsidR="00D36C4F">
        <w:rPr>
          <w:lang w:val="en-US"/>
        </w:rPr>
        <w:t xml:space="preserve"> does not have the information to make optimal scheduling decisions.  For PC2 SA NR TDD</w:t>
      </w:r>
      <w:r w:rsidR="000853A6">
        <w:rPr>
          <w:lang w:val="en-US"/>
        </w:rPr>
        <w:t>, the maximum output power requirements in 38.101-1 states</w:t>
      </w:r>
    </w:p>
    <w:p w14:paraId="05421845" w14:textId="6DFFFE2F" w:rsidR="000853A6" w:rsidRPr="000853A6" w:rsidRDefault="000853A6" w:rsidP="000853A6">
      <w:pPr>
        <w:pStyle w:val="B10"/>
        <w:rPr>
          <w:sz w:val="16"/>
          <w:szCs w:val="16"/>
        </w:rPr>
      </w:pPr>
      <w:r w:rsidRPr="000853A6">
        <w:rPr>
          <w:sz w:val="16"/>
          <w:szCs w:val="16"/>
        </w:rPr>
        <w:t>-</w:t>
      </w:r>
      <w:r w:rsidRPr="000853A6">
        <w:rPr>
          <w:sz w:val="16"/>
          <w:szCs w:val="16"/>
        </w:rPr>
        <w:tab/>
        <w:t xml:space="preserve">if the field of UE capability </w:t>
      </w:r>
      <w:proofErr w:type="spellStart"/>
      <w:r w:rsidRPr="000853A6">
        <w:rPr>
          <w:sz w:val="16"/>
          <w:szCs w:val="16"/>
        </w:rPr>
        <w:t>maxUplinkDutyCycle</w:t>
      </w:r>
      <w:proofErr w:type="spellEnd"/>
      <w:r w:rsidRPr="000853A6">
        <w:rPr>
          <w:sz w:val="16"/>
          <w:szCs w:val="16"/>
        </w:rPr>
        <w:t xml:space="preserve"> is absent and the percentage of uplink symbols transmitted in a certain evaluation period is larger than 50% (The exact evaluation period is no less than one radio frame); or</w:t>
      </w:r>
    </w:p>
    <w:p w14:paraId="10C7515B" w14:textId="7C6A14F4" w:rsidR="000853A6" w:rsidRPr="000853A6" w:rsidRDefault="000853A6" w:rsidP="000853A6">
      <w:pPr>
        <w:pStyle w:val="B10"/>
        <w:ind w:left="0" w:firstLine="284"/>
        <w:rPr>
          <w:sz w:val="16"/>
          <w:szCs w:val="16"/>
        </w:rPr>
      </w:pPr>
      <w:r w:rsidRPr="000853A6">
        <w:rPr>
          <w:sz w:val="16"/>
          <w:szCs w:val="16"/>
        </w:rPr>
        <w:t>…</w:t>
      </w:r>
    </w:p>
    <w:p w14:paraId="39A4F144" w14:textId="77777777" w:rsidR="000853A6" w:rsidRPr="000853A6" w:rsidRDefault="000853A6" w:rsidP="000853A6">
      <w:pPr>
        <w:pStyle w:val="B2"/>
        <w:ind w:left="568"/>
        <w:rPr>
          <w:sz w:val="16"/>
          <w:szCs w:val="16"/>
        </w:rPr>
      </w:pPr>
      <w:r w:rsidRPr="000853A6">
        <w:rPr>
          <w:sz w:val="16"/>
          <w:szCs w:val="16"/>
        </w:rPr>
        <w:t>-</w:t>
      </w:r>
      <w:r w:rsidRPr="000853A6">
        <w:rPr>
          <w:sz w:val="16"/>
          <w:szCs w:val="16"/>
        </w:rPr>
        <w:tab/>
        <w:t>shall apply all requirements for the default power class to the supported power class and set the configured transmitted power as specified in clause 6.2.4;</w:t>
      </w:r>
    </w:p>
    <w:p w14:paraId="428BB8EC" w14:textId="02E42961" w:rsidR="000853A6" w:rsidRDefault="000853A6" w:rsidP="00A0551F">
      <w:pPr>
        <w:rPr>
          <w:lang w:val="en-US"/>
        </w:rPr>
      </w:pPr>
      <w:r>
        <w:rPr>
          <w:lang w:val="en-US"/>
        </w:rPr>
        <w:t>while for PC2 TDD-TDD EN-DC, the maximum output power requirement in 38.101-3 states</w:t>
      </w:r>
    </w:p>
    <w:p w14:paraId="316DD99B" w14:textId="77777777" w:rsidR="000853A6" w:rsidRPr="000853A6" w:rsidRDefault="000853A6" w:rsidP="000853A6">
      <w:pPr>
        <w:pStyle w:val="B2"/>
        <w:ind w:leftChars="100" w:left="520" w:hangingChars="200" w:hanging="320"/>
        <w:rPr>
          <w:sz w:val="16"/>
          <w:szCs w:val="16"/>
        </w:rPr>
      </w:pPr>
      <w:r w:rsidRPr="000853A6">
        <w:rPr>
          <w:sz w:val="16"/>
          <w:szCs w:val="16"/>
        </w:rPr>
        <w:t>–</w:t>
      </w:r>
      <w:r w:rsidRPr="000853A6">
        <w:rPr>
          <w:rFonts w:hint="eastAsia"/>
          <w:sz w:val="16"/>
          <w:szCs w:val="16"/>
        </w:rPr>
        <w:tab/>
      </w:r>
      <w:r w:rsidRPr="000853A6">
        <w:rPr>
          <w:rFonts w:hint="eastAsia"/>
          <w:sz w:val="16"/>
          <w:szCs w:val="16"/>
          <w:lang w:eastAsia="zh-CN"/>
        </w:rPr>
        <w:t>i</w:t>
      </w:r>
      <w:r w:rsidRPr="000853A6">
        <w:rPr>
          <w:sz w:val="16"/>
          <w:szCs w:val="16"/>
        </w:rPr>
        <w:t xml:space="preserve">f the field of </w:t>
      </w:r>
      <w:r w:rsidRPr="000853A6">
        <w:rPr>
          <w:rFonts w:hint="eastAsia"/>
          <w:sz w:val="16"/>
          <w:szCs w:val="16"/>
          <w:lang w:eastAsia="zh-CN"/>
        </w:rPr>
        <w:t>UE</w:t>
      </w:r>
      <w:r w:rsidRPr="000853A6">
        <w:rPr>
          <w:rFonts w:hint="eastAsia"/>
          <w:sz w:val="16"/>
          <w:szCs w:val="16"/>
        </w:rPr>
        <w:t xml:space="preserve"> </w:t>
      </w:r>
      <w:r w:rsidRPr="000853A6">
        <w:rPr>
          <w:sz w:val="16"/>
          <w:szCs w:val="16"/>
        </w:rPr>
        <w:t xml:space="preserve">capability </w:t>
      </w:r>
      <w:proofErr w:type="spellStart"/>
      <w:r w:rsidRPr="000853A6">
        <w:rPr>
          <w:i/>
          <w:sz w:val="16"/>
          <w:szCs w:val="16"/>
        </w:rPr>
        <w:t>maxUplinkDutyCycle</w:t>
      </w:r>
      <w:proofErr w:type="spellEnd"/>
      <w:r w:rsidRPr="000853A6">
        <w:rPr>
          <w:rFonts w:hint="eastAsia"/>
          <w:i/>
          <w:sz w:val="16"/>
          <w:szCs w:val="16"/>
          <w:lang w:eastAsia="zh-CN"/>
        </w:rPr>
        <w:t>-EN-DC</w:t>
      </w:r>
      <w:r w:rsidRPr="000853A6">
        <w:rPr>
          <w:sz w:val="16"/>
          <w:szCs w:val="16"/>
        </w:rPr>
        <w:t xml:space="preserve"> is absent and the percentage of </w:t>
      </w:r>
      <w:r w:rsidRPr="000853A6">
        <w:rPr>
          <w:rFonts w:hint="eastAsia"/>
          <w:sz w:val="16"/>
          <w:szCs w:val="16"/>
        </w:rPr>
        <w:t xml:space="preserve">NR </w:t>
      </w:r>
      <w:r w:rsidRPr="000853A6">
        <w:rPr>
          <w:sz w:val="16"/>
          <w:szCs w:val="16"/>
        </w:rPr>
        <w:t xml:space="preserve">uplink symbols transmitted in a certain evaluation period is larger than </w:t>
      </w:r>
      <w:r w:rsidRPr="000853A6">
        <w:rPr>
          <w:rFonts w:hint="eastAsia"/>
          <w:sz w:val="16"/>
          <w:szCs w:val="16"/>
          <w:lang w:eastAsia="zh-CN"/>
        </w:rPr>
        <w:t>3</w:t>
      </w:r>
      <w:r w:rsidRPr="000853A6">
        <w:rPr>
          <w:sz w:val="16"/>
          <w:szCs w:val="16"/>
        </w:rPr>
        <w:t>0% (The exact evaluation period is no less than one radio frame); or</w:t>
      </w:r>
    </w:p>
    <w:p w14:paraId="061411E8" w14:textId="006101F5" w:rsidR="000853A6" w:rsidRPr="000853A6" w:rsidRDefault="000853A6" w:rsidP="00A0551F">
      <w:pPr>
        <w:rPr>
          <w:sz w:val="16"/>
          <w:szCs w:val="16"/>
          <w:lang w:val="en-US"/>
        </w:rPr>
      </w:pPr>
      <w:r w:rsidRPr="000853A6">
        <w:rPr>
          <w:sz w:val="16"/>
          <w:szCs w:val="16"/>
          <w:lang w:val="en-US"/>
        </w:rPr>
        <w:tab/>
        <w:t>…</w:t>
      </w:r>
    </w:p>
    <w:p w14:paraId="4AD7E23F" w14:textId="2E0C1FF5" w:rsidR="000853A6" w:rsidRPr="000853A6" w:rsidRDefault="000853A6" w:rsidP="000853A6">
      <w:pPr>
        <w:pStyle w:val="B2"/>
        <w:numPr>
          <w:ilvl w:val="0"/>
          <w:numId w:val="20"/>
        </w:numPr>
        <w:rPr>
          <w:sz w:val="16"/>
          <w:szCs w:val="16"/>
        </w:rPr>
      </w:pPr>
      <w:r w:rsidRPr="000853A6">
        <w:rPr>
          <w:sz w:val="16"/>
          <w:szCs w:val="16"/>
        </w:rPr>
        <w:t>shall apply all requirements for the default power class to the supported power class and set the configured transmitted power as specified in clause 6.2.4;</w:t>
      </w:r>
    </w:p>
    <w:p w14:paraId="2494CF6D" w14:textId="2B667BBB" w:rsidR="000853A6" w:rsidRDefault="000853A6" w:rsidP="00A0551F">
      <w:pPr>
        <w:rPr>
          <w:lang w:val="en-US"/>
        </w:rPr>
      </w:pPr>
      <w:r>
        <w:rPr>
          <w:lang w:val="en-US"/>
        </w:rPr>
        <w:t xml:space="preserve">In other words, when the capability report is not sent by the UE, the network must assume a fixed scheduling restriction (50% for SA, 30% for TDD-TDD NSA).  If the </w:t>
      </w:r>
      <w:proofErr w:type="spellStart"/>
      <w:r>
        <w:rPr>
          <w:lang w:val="en-US"/>
        </w:rPr>
        <w:t>basestation</w:t>
      </w:r>
      <w:proofErr w:type="spellEnd"/>
      <w:r>
        <w:rPr>
          <w:lang w:val="en-US"/>
        </w:rPr>
        <w:t xml:space="preserve"> does not abide by this assumed scheduling restriction, the UE shall fall back to PC3.  This is essential</w:t>
      </w:r>
      <w:r w:rsidR="00713431">
        <w:rPr>
          <w:lang w:val="en-US"/>
        </w:rPr>
        <w:t>ly</w:t>
      </w:r>
      <w:r>
        <w:rPr>
          <w:lang w:val="en-US"/>
        </w:rPr>
        <w:t xml:space="preserve"> a “blind” scheme </w:t>
      </w:r>
      <w:proofErr w:type="gramStart"/>
      <w:r>
        <w:rPr>
          <w:lang w:val="en-US"/>
        </w:rPr>
        <w:t>in the event that</w:t>
      </w:r>
      <w:proofErr w:type="gramEnd"/>
      <w:r>
        <w:rPr>
          <w:lang w:val="en-US"/>
        </w:rPr>
        <w:t xml:space="preserve"> the UE does not send its capability report.</w:t>
      </w:r>
    </w:p>
    <w:p w14:paraId="53154AA6" w14:textId="77777777" w:rsidR="008B6B7E" w:rsidRDefault="000853A6" w:rsidP="00A0551F">
      <w:pPr>
        <w:rPr>
          <w:lang w:val="en-US"/>
        </w:rPr>
      </w:pPr>
      <w:r>
        <w:rPr>
          <w:lang w:val="en-US"/>
        </w:rPr>
        <w:t xml:space="preserve">This can be adopted to the FDD-TDD situation as follows </w:t>
      </w:r>
    </w:p>
    <w:p w14:paraId="4D6A9EF2" w14:textId="31898AC5" w:rsidR="008B6B7E" w:rsidRDefault="00FC48EB" w:rsidP="008B6B7E">
      <w:pPr>
        <w:keepNext/>
      </w:pPr>
      <w:r w:rsidRPr="00FC48EB">
        <w:rPr>
          <w:noProof/>
        </w:rPr>
        <w:lastRenderedPageBreak/>
        <w:drawing>
          <wp:inline distT="0" distB="0" distL="0" distR="0" wp14:anchorId="0AB7A093" wp14:editId="5B0A3469">
            <wp:extent cx="6115685" cy="5794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5794375"/>
                    </a:xfrm>
                    <a:prstGeom prst="rect">
                      <a:avLst/>
                    </a:prstGeom>
                    <a:noFill/>
                    <a:ln>
                      <a:noFill/>
                    </a:ln>
                  </pic:spPr>
                </pic:pic>
              </a:graphicData>
            </a:graphic>
          </wp:inline>
        </w:drawing>
      </w:r>
    </w:p>
    <w:p w14:paraId="3CDB50AC" w14:textId="6B0D0B08" w:rsidR="008B6B7E" w:rsidRDefault="008B6B7E" w:rsidP="008B6B7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Power class and configured power decision tree</w:t>
      </w:r>
    </w:p>
    <w:p w14:paraId="51CADF3C" w14:textId="4378629A" w:rsidR="00DB7E78" w:rsidRDefault="008B6B7E" w:rsidP="00A0551F">
      <w:pPr>
        <w:rPr>
          <w:lang w:val="en-US"/>
        </w:rPr>
      </w:pPr>
      <w:r>
        <w:rPr>
          <w:lang w:val="en-US"/>
        </w:rPr>
        <w:t>In effect, this proposal incorporates both the “feedback-based” and “blind” schemes.  When feedback is available, i.e., the UE signals a capability, the feedback-based scheme is used</w:t>
      </w:r>
      <w:r w:rsidR="00713431">
        <w:rPr>
          <w:lang w:val="en-US"/>
        </w:rPr>
        <w:t xml:space="preserve"> since it is preferred</w:t>
      </w:r>
      <w:r>
        <w:rPr>
          <w:lang w:val="en-US"/>
        </w:rPr>
        <w:t xml:space="preserve">, but when feedback is not available, i.e., not capability is signaled, the blind scheme is used.  In this case, the blind scheme is more complex than has been specified in the past for SA and for TDD-TDD EN-DC by modifying the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EN-DC</m:t>
            </m:r>
          </m:sup>
        </m:sSubSup>
      </m:oMath>
      <w:r>
        <w:rPr>
          <w:lang w:val="en-US"/>
        </w:rPr>
        <w:t xml:space="preserve"> according to configured </w:t>
      </w:r>
      <w:r w:rsidR="00DB7E78">
        <w:rPr>
          <w:lang w:val="en-US"/>
        </w:rPr>
        <w:t xml:space="preserve">EN-DC parameters.  However, one drawback of this blind scheme is that it relies on configured parameters, i.e., P_LTE and configured TDD duty cycle, to modify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EN-DC</m:t>
            </m:r>
          </m:sup>
        </m:sSubSup>
      </m:oMath>
      <w:r w:rsidR="00DB7E78">
        <w:rPr>
          <w:lang w:val="en-US"/>
        </w:rPr>
        <w:t xml:space="preserve">.  While configured parameters can serve as a bound, it is the </w:t>
      </w:r>
      <w:r w:rsidR="00DB7E78" w:rsidRPr="00DB7E78">
        <w:rPr>
          <w:i/>
          <w:iCs/>
          <w:lang w:val="en-US"/>
        </w:rPr>
        <w:t>actual</w:t>
      </w:r>
      <w:r w:rsidR="00DB7E78">
        <w:rPr>
          <w:lang w:val="en-US"/>
        </w:rPr>
        <w:t xml:space="preserve"> transmitted power and transmitted duty cycle, not the configured values, that determine the SAR margin.  The SA and TDD-TDD blind schemes rely on actual transmitted symbols; i.e., “</w:t>
      </w:r>
      <w:r w:rsidR="00DB7E78" w:rsidRPr="00DB7E78">
        <w:rPr>
          <w:lang w:val="en-US"/>
        </w:rPr>
        <w:t>the percentage of uplink symbols transmitted in a certain evaluation period</w:t>
      </w:r>
      <w:r w:rsidR="00DB7E78">
        <w:rPr>
          <w:lang w:val="en-US"/>
        </w:rPr>
        <w:t>”.</w:t>
      </w:r>
    </w:p>
    <w:p w14:paraId="6EE2DBFB" w14:textId="7867FA57" w:rsidR="00DB7E78" w:rsidRPr="00091708" w:rsidRDefault="00DB7E78" w:rsidP="00DB7E78">
      <w:pPr>
        <w:rPr>
          <w:b/>
          <w:bCs/>
          <w:lang w:val="en-US"/>
        </w:rPr>
      </w:pPr>
      <w:r w:rsidRPr="00091708">
        <w:rPr>
          <w:b/>
          <w:bCs/>
          <w:lang w:val="en-US"/>
        </w:rPr>
        <w:t>Proposal</w:t>
      </w:r>
      <w:r w:rsidR="007A0DA3">
        <w:rPr>
          <w:b/>
          <w:bCs/>
          <w:lang w:val="en-US"/>
        </w:rPr>
        <w:t xml:space="preserve"> 2</w:t>
      </w:r>
      <w:r w:rsidRPr="00091708">
        <w:rPr>
          <w:b/>
          <w:bCs/>
          <w:lang w:val="en-US"/>
        </w:rPr>
        <w:t xml:space="preserve">:  </w:t>
      </w:r>
      <w:r>
        <w:rPr>
          <w:b/>
          <w:bCs/>
          <w:lang w:val="en-US"/>
        </w:rPr>
        <w:t>The “scheme 2” feedback-based scheme shall be used if the UE signals a capability.  If no capability is signaled, then a blind scheme can be used</w:t>
      </w:r>
      <w:r w:rsidRPr="00091708">
        <w:rPr>
          <w:b/>
          <w:bCs/>
          <w:lang w:val="en-US"/>
        </w:rPr>
        <w:t>.</w:t>
      </w:r>
      <w:r>
        <w:rPr>
          <w:b/>
          <w:bCs/>
          <w:lang w:val="en-US"/>
        </w:rPr>
        <w:t xml:space="preserve">  The scheme to modify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EN-DC</m:t>
            </m:r>
          </m:sup>
        </m:sSubSup>
      </m:oMath>
      <w:r>
        <w:rPr>
          <w:b/>
          <w:bCs/>
          <w:lang w:val="en-US"/>
        </w:rPr>
        <w:t>based on network configured parameters is one such blin</w:t>
      </w:r>
      <w:r w:rsidR="007A0DA3">
        <w:rPr>
          <w:b/>
          <w:bCs/>
          <w:lang w:val="en-US"/>
        </w:rPr>
        <w:t>d</w:t>
      </w:r>
      <w:r>
        <w:rPr>
          <w:b/>
          <w:bCs/>
          <w:lang w:val="en-US"/>
        </w:rPr>
        <w:t xml:space="preserve"> scheme that can be considered.  Another blind scheme based on actual transmitted symbols </w:t>
      </w:r>
      <w:proofErr w:type="gramStart"/>
      <w:r>
        <w:rPr>
          <w:b/>
          <w:bCs/>
          <w:lang w:val="en-US"/>
        </w:rPr>
        <w:t>similar to</w:t>
      </w:r>
      <w:proofErr w:type="gramEnd"/>
      <w:r>
        <w:rPr>
          <w:b/>
          <w:bCs/>
          <w:lang w:val="en-US"/>
        </w:rPr>
        <w:t xml:space="preserve"> SA and </w:t>
      </w:r>
      <w:r w:rsidR="00FC48EB">
        <w:rPr>
          <w:b/>
          <w:bCs/>
          <w:lang w:val="en-US"/>
        </w:rPr>
        <w:t>TDD-TDD EN-DC can also be considered.</w:t>
      </w:r>
    </w:p>
    <w:p w14:paraId="18FFD254" w14:textId="060A1B74" w:rsidR="001C65DF" w:rsidRDefault="001C65DF" w:rsidP="001C65DF">
      <w:pPr>
        <w:pStyle w:val="Heading1"/>
        <w:tabs>
          <w:tab w:val="clear" w:pos="432"/>
          <w:tab w:val="num" w:pos="522"/>
        </w:tabs>
        <w:ind w:left="522" w:hanging="522"/>
        <w:rPr>
          <w:lang w:val="en-US"/>
        </w:rPr>
      </w:pPr>
      <w:r>
        <w:rPr>
          <w:lang w:val="en-US"/>
        </w:rPr>
        <w:t>Conclusion</w:t>
      </w:r>
    </w:p>
    <w:p w14:paraId="5909E30C" w14:textId="19D1F0E3" w:rsidR="00832059" w:rsidRDefault="007A0DA3" w:rsidP="00A0551F">
      <w:pPr>
        <w:rPr>
          <w:lang w:val="en-US"/>
        </w:rPr>
      </w:pPr>
      <w:r>
        <w:rPr>
          <w:lang w:val="en-US"/>
        </w:rPr>
        <w:t xml:space="preserve">This contribution discusses two schemes for facilitating SAR compliance by the UE.  A feedback-based scheme whereby the UE signals its capability to the network provides the potential for greatest performance and optimal </w:t>
      </w:r>
      <w:r>
        <w:rPr>
          <w:lang w:val="en-US"/>
        </w:rPr>
        <w:lastRenderedPageBreak/>
        <w:t xml:space="preserve">network scheduling subject to the known restrictions of the UE.  Therefore, this is the preferred scheme.  However, </w:t>
      </w:r>
      <w:proofErr w:type="gramStart"/>
      <w:r>
        <w:rPr>
          <w:lang w:val="en-US"/>
        </w:rPr>
        <w:t>in the event that</w:t>
      </w:r>
      <w:proofErr w:type="gramEnd"/>
      <w:r>
        <w:rPr>
          <w:lang w:val="en-US"/>
        </w:rPr>
        <w:t xml:space="preserve"> the UE does not provide this capability, network scheduling must be based on a relatively blind scheme where the network must infer UE capability as best as possible.  Among the blind schemes there is also discussion on whether network scheduling should be based on configured parameters which the UE must follow or whether UE power class fallback should be allowed based on actual transmitted symbols </w:t>
      </w:r>
      <w:proofErr w:type="gramStart"/>
      <w:r>
        <w:rPr>
          <w:lang w:val="en-US"/>
        </w:rPr>
        <w:t>similar to</w:t>
      </w:r>
      <w:proofErr w:type="gramEnd"/>
      <w:r>
        <w:rPr>
          <w:lang w:val="en-US"/>
        </w:rPr>
        <w:t xml:space="preserve"> SA and TDD-TDD EN-DC.  In either case, the paper proposes how the feedback and blind schemes can be integrated together.  The proposals in this contribution are reiterated</w:t>
      </w:r>
    </w:p>
    <w:p w14:paraId="6F406AC1" w14:textId="52B989FF" w:rsidR="007A0DA3" w:rsidRPr="00091708" w:rsidRDefault="007A0DA3" w:rsidP="007A0DA3">
      <w:pPr>
        <w:rPr>
          <w:b/>
          <w:bCs/>
          <w:lang w:val="en-US"/>
        </w:rPr>
      </w:pPr>
      <w:r w:rsidRPr="00091708">
        <w:rPr>
          <w:b/>
          <w:bCs/>
          <w:lang w:val="en-US"/>
        </w:rPr>
        <w:t>Proposal</w:t>
      </w:r>
      <w:r>
        <w:rPr>
          <w:b/>
          <w:bCs/>
          <w:lang w:val="en-US"/>
        </w:rPr>
        <w:t xml:space="preserve"> 1</w:t>
      </w:r>
      <w:r w:rsidRPr="00091708">
        <w:rPr>
          <w:b/>
          <w:bCs/>
          <w:lang w:val="en-US"/>
        </w:rPr>
        <w:t>:  The “scheme 2” feedback-based method is preferred to enable the potential for higher performance</w:t>
      </w:r>
      <w:r>
        <w:rPr>
          <w:b/>
          <w:bCs/>
          <w:lang w:val="en-US"/>
        </w:rPr>
        <w:t xml:space="preserve"> for PC2 FDD-TDD EN-DC networks</w:t>
      </w:r>
      <w:r w:rsidRPr="00091708">
        <w:rPr>
          <w:b/>
          <w:bCs/>
          <w:lang w:val="en-US"/>
        </w:rPr>
        <w:t>.</w:t>
      </w:r>
    </w:p>
    <w:p w14:paraId="75E37F7F" w14:textId="7B48E60B" w:rsidR="007A0DA3" w:rsidRPr="00091708" w:rsidRDefault="007A0DA3" w:rsidP="007A0DA3">
      <w:pPr>
        <w:rPr>
          <w:b/>
          <w:bCs/>
          <w:lang w:val="en-US"/>
        </w:rPr>
      </w:pPr>
      <w:r w:rsidRPr="00091708">
        <w:rPr>
          <w:b/>
          <w:bCs/>
          <w:lang w:val="en-US"/>
        </w:rPr>
        <w:t>Proposal</w:t>
      </w:r>
      <w:r>
        <w:rPr>
          <w:b/>
          <w:bCs/>
          <w:lang w:val="en-US"/>
        </w:rPr>
        <w:t xml:space="preserve"> 2</w:t>
      </w:r>
      <w:r w:rsidRPr="00091708">
        <w:rPr>
          <w:b/>
          <w:bCs/>
          <w:lang w:val="en-US"/>
        </w:rPr>
        <w:t xml:space="preserve">:  </w:t>
      </w:r>
      <w:r>
        <w:rPr>
          <w:b/>
          <w:bCs/>
          <w:lang w:val="en-US"/>
        </w:rPr>
        <w:t>The “scheme 2” feedback-based scheme shall be used if the UE signals a capability.  If no capability is signaled, then a blind scheme can be used</w:t>
      </w:r>
      <w:r w:rsidRPr="00091708">
        <w:rPr>
          <w:b/>
          <w:bCs/>
          <w:lang w:val="en-US"/>
        </w:rPr>
        <w:t>.</w:t>
      </w:r>
      <w:r>
        <w:rPr>
          <w:b/>
          <w:bCs/>
          <w:lang w:val="en-US"/>
        </w:rPr>
        <w:t xml:space="preserve">  The scheme to modify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EN-DC</m:t>
            </m:r>
          </m:sup>
        </m:sSubSup>
      </m:oMath>
      <w:r>
        <w:rPr>
          <w:b/>
          <w:bCs/>
          <w:lang w:val="en-US"/>
        </w:rPr>
        <w:t xml:space="preserve">based on network configured parameters is one such blind scheme that can be considered.  Another blind scheme based on actual transmitted symbols </w:t>
      </w:r>
      <w:proofErr w:type="gramStart"/>
      <w:r>
        <w:rPr>
          <w:b/>
          <w:bCs/>
          <w:lang w:val="en-US"/>
        </w:rPr>
        <w:t>similar to</w:t>
      </w:r>
      <w:proofErr w:type="gramEnd"/>
      <w:r>
        <w:rPr>
          <w:b/>
          <w:bCs/>
          <w:lang w:val="en-US"/>
        </w:rPr>
        <w:t xml:space="preserve"> SA and TDD-TDD EN-DC can also be considered.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444394C" w14:textId="5334CC90" w:rsidR="00CB6D97" w:rsidRDefault="00763BC3" w:rsidP="001219FC">
      <w:pPr>
        <w:numPr>
          <w:ilvl w:val="0"/>
          <w:numId w:val="2"/>
        </w:numPr>
        <w:tabs>
          <w:tab w:val="left" w:pos="1080"/>
        </w:tabs>
        <w:rPr>
          <w:lang w:val="en-US" w:eastAsia="x-none"/>
        </w:rPr>
      </w:pPr>
      <w:bookmarkStart w:id="1" w:name="_Hlk859252"/>
      <w:r>
        <w:rPr>
          <w:lang w:val="en-US" w:eastAsia="x-none"/>
        </w:rPr>
        <w:t>TR 37.815 v16.0.0</w:t>
      </w:r>
      <w:bookmarkEnd w:id="1"/>
    </w:p>
    <w:sectPr w:rsidR="00CB6D97"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AC9BF" w14:textId="77777777" w:rsidR="000B7680" w:rsidRDefault="000B7680">
      <w:r>
        <w:separator/>
      </w:r>
    </w:p>
  </w:endnote>
  <w:endnote w:type="continuationSeparator" w:id="0">
    <w:p w14:paraId="722933EF" w14:textId="77777777" w:rsidR="000B7680" w:rsidRDefault="000B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4E22B" w14:textId="77777777" w:rsidR="000B7680" w:rsidRDefault="000B7680">
      <w:r>
        <w:separator/>
      </w:r>
    </w:p>
  </w:footnote>
  <w:footnote w:type="continuationSeparator" w:id="0">
    <w:p w14:paraId="09BA6FBB" w14:textId="77777777" w:rsidR="000B7680" w:rsidRDefault="000B7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26567"/>
    <w:multiLevelType w:val="hybridMultilevel"/>
    <w:tmpl w:val="AAA4EF7E"/>
    <w:lvl w:ilvl="0" w:tplc="A7BC5A6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1F45F6"/>
    <w:multiLevelType w:val="hybridMultilevel"/>
    <w:tmpl w:val="597EB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6"/>
  </w:num>
  <w:num w:numId="4">
    <w:abstractNumId w:val="17"/>
  </w:num>
  <w:num w:numId="5">
    <w:abstractNumId w:val="13"/>
  </w:num>
  <w:num w:numId="6">
    <w:abstractNumId w:val="5"/>
  </w:num>
  <w:num w:numId="7">
    <w:abstractNumId w:val="1"/>
  </w:num>
  <w:num w:numId="8">
    <w:abstractNumId w:val="15"/>
  </w:num>
  <w:num w:numId="9">
    <w:abstractNumId w:val="6"/>
  </w:num>
  <w:num w:numId="10">
    <w:abstractNumId w:val="12"/>
  </w:num>
  <w:num w:numId="11">
    <w:abstractNumId w:val="19"/>
  </w:num>
  <w:num w:numId="12">
    <w:abstractNumId w:val="3"/>
  </w:num>
  <w:num w:numId="13">
    <w:abstractNumId w:val="10"/>
  </w:num>
  <w:num w:numId="14">
    <w:abstractNumId w:val="2"/>
  </w:num>
  <w:num w:numId="15">
    <w:abstractNumId w:val="9"/>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11"/>
  </w:num>
  <w:num w:numId="2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ABC"/>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23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3A6"/>
    <w:rsid w:val="0008544F"/>
    <w:rsid w:val="00085C24"/>
    <w:rsid w:val="00085DB7"/>
    <w:rsid w:val="0008682B"/>
    <w:rsid w:val="00086D93"/>
    <w:rsid w:val="00090BB8"/>
    <w:rsid w:val="0009170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680"/>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2B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5DF"/>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0449"/>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AE9"/>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D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320"/>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4B"/>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3C17"/>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8BC"/>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431"/>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3BC3"/>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A3"/>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059"/>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6B7E"/>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140"/>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0CF"/>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15C"/>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E8"/>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47E63"/>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1BFA"/>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C4F"/>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B2E"/>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E78"/>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B40"/>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512"/>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2E7A"/>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CC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48EB"/>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PlaceholderText">
    <w:name w:val="Placeholder Text"/>
    <w:basedOn w:val="DefaultParagraphFont"/>
    <w:uiPriority w:val="99"/>
    <w:semiHidden/>
    <w:rsid w:val="00ED1B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0552B-ABFE-4FE4-AC3F-2534E3BEF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2020-02-14T20:52:00Z</dcterms:created>
  <dcterms:modified xsi:type="dcterms:W3CDTF">2020-02-14T20:52:00Z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