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4EF" w:rsidRPr="00134D09" w:rsidRDefault="009D64EF" w:rsidP="009D64EF">
      <w:pPr>
        <w:pStyle w:val="a3"/>
        <w:rPr>
          <w:rFonts w:cs="Arial"/>
          <w:noProof w:val="0"/>
          <w:sz w:val="24"/>
          <w:szCs w:val="24"/>
        </w:rPr>
      </w:pPr>
      <w:bookmarkStart w:id="0" w:name="OLE_LINK3"/>
      <w:bookmarkStart w:id="1" w:name="OLE_LINK4"/>
      <w:r w:rsidRPr="00134D09">
        <w:rPr>
          <w:rFonts w:cs="Arial"/>
          <w:noProof w:val="0"/>
          <w:sz w:val="24"/>
          <w:szCs w:val="24"/>
        </w:rPr>
        <w:t xml:space="preserve">3GPP RAN WG4 Meeting #94-e                                       </w:t>
      </w:r>
      <w:r w:rsidR="00D96BC7" w:rsidRPr="00D96BC7">
        <w:rPr>
          <w:rFonts w:cs="Arial"/>
          <w:noProof w:val="0"/>
          <w:sz w:val="24"/>
          <w:szCs w:val="24"/>
        </w:rPr>
        <w:t>R4-2001561</w:t>
      </w:r>
      <w:bookmarkStart w:id="2" w:name="_GoBack"/>
      <w:bookmarkEnd w:id="2"/>
      <w:r w:rsidRPr="00134D09">
        <w:rPr>
          <w:rFonts w:cs="Arial"/>
          <w:noProof w:val="0"/>
          <w:sz w:val="24"/>
          <w:szCs w:val="24"/>
        </w:rPr>
        <w:t xml:space="preserve">                                             </w:t>
      </w:r>
    </w:p>
    <w:p w:rsidR="009D64EF" w:rsidRPr="00134D09" w:rsidRDefault="009D64EF" w:rsidP="009D64EF">
      <w:pPr>
        <w:pStyle w:val="a3"/>
        <w:rPr>
          <w:noProof w:val="0"/>
          <w:lang w:val="en-GB"/>
        </w:rPr>
      </w:pPr>
      <w:r w:rsidRPr="00134D09">
        <w:rPr>
          <w:rFonts w:cs="Arial"/>
          <w:noProof w:val="0"/>
          <w:sz w:val="24"/>
          <w:szCs w:val="24"/>
        </w:rPr>
        <w:t>Online, 24th February – 6th March 2020</w:t>
      </w:r>
    </w:p>
    <w:p w:rsidR="00A1597D" w:rsidRPr="009D64EF" w:rsidRDefault="00A1597D" w:rsidP="00A1597D">
      <w:pPr>
        <w:pStyle w:val="3GPPHeader"/>
        <w:rPr>
          <w:lang w:val="en-GB"/>
        </w:rPr>
      </w:pPr>
    </w:p>
    <w:bookmarkEnd w:id="0"/>
    <w:bookmarkEnd w:id="1"/>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D16579">
        <w:rPr>
          <w:rFonts w:ascii="Arial" w:hAnsi="Arial"/>
          <w:sz w:val="24"/>
          <w:lang w:val="en-US"/>
        </w:rPr>
        <w:t>.1.4.</w:t>
      </w:r>
      <w:r w:rsidR="005273CC">
        <w:rPr>
          <w:rFonts w:ascii="Arial" w:hAnsi="Arial"/>
          <w:sz w:val="24"/>
          <w:lang w:val="en-US"/>
        </w:rPr>
        <w:t>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 xml:space="preserve">Discussion on </w:t>
      </w:r>
      <w:r w:rsidR="007E063C" w:rsidRPr="007E063C">
        <w:rPr>
          <w:rFonts w:ascii="Arial" w:hAnsi="Arial" w:hint="eastAsia"/>
          <w:sz w:val="24"/>
          <w:lang w:val="en-US"/>
        </w:rPr>
        <w:t>RLM</w:t>
      </w:r>
      <w:r w:rsidR="007E063C">
        <w:rPr>
          <w:rFonts w:ascii="Arial" w:hAnsi="Arial"/>
          <w:sz w:val="24"/>
          <w:lang w:val="en-US"/>
        </w:rPr>
        <w:t xml:space="preserve"> and link recovery</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7E063C" w:rsidRPr="007E063C">
        <w:rPr>
          <w:rFonts w:eastAsiaTheme="minorEastAsia"/>
          <w:lang w:val="en-US" w:eastAsia="zh-CN"/>
        </w:rPr>
        <w:t>RLM and link recovery</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about</w:t>
      </w:r>
      <w:r w:rsidR="00083DF0">
        <w:rPr>
          <w:rFonts w:eastAsiaTheme="minorEastAsia"/>
          <w:lang w:val="en-US" w:eastAsia="zh-CN"/>
        </w:rPr>
        <w:t xml:space="preserve"> </w:t>
      </w:r>
      <w:r w:rsidR="007E063C" w:rsidRPr="007E063C">
        <w:rPr>
          <w:rFonts w:eastAsiaTheme="minorEastAsia"/>
          <w:lang w:val="en-US" w:eastAsia="zh-CN"/>
        </w:rPr>
        <w:t>RLM and link recovery</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A66CB9" w:rsidRDefault="00A66CB9" w:rsidP="009E676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has taken several meetings to discuss the RLM and link recovery requirement in NR-U, few agreements have been reached especially for the Out-of-sync case. The most controversial point is whether UE is able to distinguish the unavailable RS due to in low SNR. The related parts in the WF of the last RAN4 </w:t>
      </w:r>
      <w:r w:rsidR="004E1EA4">
        <w:rPr>
          <w:rFonts w:eastAsiaTheme="minorEastAsia"/>
          <w:lang w:val="en-US" w:eastAsia="zh-CN"/>
        </w:rPr>
        <w:t xml:space="preserve">93 </w:t>
      </w:r>
      <w:r>
        <w:rPr>
          <w:rFonts w:eastAsiaTheme="minorEastAsia"/>
          <w:lang w:val="en-US" w:eastAsia="zh-CN"/>
        </w:rPr>
        <w:t>meeting are as follows:</w:t>
      </w:r>
    </w:p>
    <w:tbl>
      <w:tblPr>
        <w:tblStyle w:val="a7"/>
        <w:tblW w:w="0" w:type="auto"/>
        <w:tblLook w:val="04A0" w:firstRow="1" w:lastRow="0" w:firstColumn="1" w:lastColumn="0" w:noHBand="0" w:noVBand="1"/>
      </w:tblPr>
      <w:tblGrid>
        <w:gridCol w:w="9562"/>
      </w:tblGrid>
      <w:tr w:rsidR="00AC2C97" w:rsidTr="00AC2C97">
        <w:tc>
          <w:tcPr>
            <w:tcW w:w="9562" w:type="dxa"/>
          </w:tcPr>
          <w:p w:rsidR="006574F4" w:rsidRDefault="006574F4" w:rsidP="006574F4">
            <w:pPr>
              <w:rPr>
                <w:u w:val="single"/>
                <w:lang w:eastAsia="ja-JP"/>
              </w:rPr>
            </w:pPr>
            <w:r w:rsidRPr="00372DF4">
              <w:rPr>
                <w:highlight w:val="green"/>
                <w:u w:val="single"/>
                <w:lang w:eastAsia="ja-JP"/>
              </w:rPr>
              <w:t>Agreements in RAN</w:t>
            </w:r>
            <w:r>
              <w:rPr>
                <w:highlight w:val="green"/>
                <w:u w:val="single"/>
                <w:lang w:eastAsia="ja-JP"/>
              </w:rPr>
              <w:t>4</w:t>
            </w:r>
            <w:r w:rsidRPr="00372DF4">
              <w:rPr>
                <w:highlight w:val="green"/>
                <w:u w:val="single"/>
                <w:lang w:eastAsia="ja-JP"/>
              </w:rPr>
              <w:t xml:space="preserve"> #</w:t>
            </w:r>
            <w:r w:rsidRPr="006574F4">
              <w:rPr>
                <w:highlight w:val="green"/>
                <w:u w:val="single"/>
                <w:lang w:eastAsia="ja-JP"/>
              </w:rPr>
              <w:t>93</w:t>
            </w:r>
          </w:p>
          <w:p w:rsidR="004E1EA4" w:rsidRDefault="004E1EA4" w:rsidP="006574F4">
            <w:pPr>
              <w:rPr>
                <w:u w:val="single"/>
                <w:lang w:eastAsia="ja-JP"/>
              </w:rPr>
            </w:pPr>
            <w:r w:rsidRPr="004E1EA4">
              <w:rPr>
                <w:noProof/>
                <w:u w:val="single"/>
                <w:lang w:val="en-US" w:eastAsia="zh-CN"/>
              </w:rPr>
              <w:drawing>
                <wp:inline distT="0" distB="0" distL="0" distR="0" wp14:anchorId="7716A2FB" wp14:editId="2999C9C3">
                  <wp:extent cx="4615112" cy="2595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25034" cy="2601461"/>
                          </a:xfrm>
                          <a:prstGeom prst="rect">
                            <a:avLst/>
                          </a:prstGeom>
                        </pic:spPr>
                      </pic:pic>
                    </a:graphicData>
                  </a:graphic>
                </wp:inline>
              </w:drawing>
            </w:r>
          </w:p>
          <w:p w:rsidR="00AC2C97" w:rsidRPr="004E1EA4" w:rsidRDefault="004E1EA4" w:rsidP="00A66CB9">
            <w:pPr>
              <w:rPr>
                <w:u w:val="single"/>
                <w:lang w:eastAsia="ja-JP"/>
              </w:rPr>
            </w:pPr>
            <w:r w:rsidRPr="004E1EA4">
              <w:rPr>
                <w:noProof/>
                <w:u w:val="single"/>
                <w:lang w:val="en-US" w:eastAsia="zh-CN"/>
              </w:rPr>
              <w:lastRenderedPageBreak/>
              <w:drawing>
                <wp:inline distT="0" distB="0" distL="0" distR="0" wp14:anchorId="4344F2F5" wp14:editId="32589468">
                  <wp:extent cx="4691380" cy="2638779"/>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5119" cy="2646507"/>
                          </a:xfrm>
                          <a:prstGeom prst="rect">
                            <a:avLst/>
                          </a:prstGeom>
                        </pic:spPr>
                      </pic:pic>
                    </a:graphicData>
                  </a:graphic>
                </wp:inline>
              </w:drawing>
            </w:r>
          </w:p>
        </w:tc>
      </w:tr>
    </w:tbl>
    <w:p w:rsidR="00AC2C97" w:rsidRDefault="00AC2C97" w:rsidP="009E6763">
      <w:pPr>
        <w:jc w:val="both"/>
        <w:rPr>
          <w:rFonts w:eastAsiaTheme="minorEastAsia"/>
          <w:lang w:val="en-US" w:eastAsia="zh-CN"/>
        </w:rPr>
      </w:pPr>
    </w:p>
    <w:p w:rsidR="00A32652" w:rsidRDefault="007148D1" w:rsidP="009E6763">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ased on the discussion from the last meeting. Two options are presented</w:t>
      </w:r>
      <w:r w:rsidR="00A756ED">
        <w:rPr>
          <w:rFonts w:eastAsiaTheme="minorEastAsia"/>
          <w:lang w:val="en-US" w:eastAsia="zh-CN"/>
        </w:rPr>
        <w:t xml:space="preserve"> about how to extend the out-of-sync evaluation period in RLM. Option 1 is to scale the existing evaluation period by a fixed factor which is based on the understanding that UE is not able to identify the unavailable SSBs due to LBT. The other Option is to extend the period the same way as other measurement in NR-U. From our understanding, without assistant information, UE is not able to identify whether the low SNR results is due to LBT failure.</w:t>
      </w:r>
    </w:p>
    <w:p w:rsidR="00A756ED" w:rsidRPr="007B52A5" w:rsidRDefault="00A756ED" w:rsidP="00A756ED">
      <w:pPr>
        <w:jc w:val="both"/>
        <w:rPr>
          <w:rFonts w:eastAsiaTheme="minorEastAsia"/>
          <w:b/>
          <w:lang w:val="en-US" w:eastAsia="zh-CN"/>
        </w:rPr>
      </w:pPr>
      <w:r w:rsidRPr="007B52A5">
        <w:rPr>
          <w:rFonts w:eastAsiaTheme="minorEastAsia"/>
          <w:b/>
          <w:lang w:val="en-US" w:eastAsia="zh-CN"/>
        </w:rPr>
        <w:t>Observation 1: UE is not able to identify whether the low SNR results is due to LBT failure without additional assistant information.</w:t>
      </w:r>
    </w:p>
    <w:p w:rsidR="00A756ED" w:rsidRDefault="00111AB4" w:rsidP="00A756ED">
      <w:pPr>
        <w:jc w:val="both"/>
        <w:rPr>
          <w:rFonts w:eastAsiaTheme="minorEastAsia"/>
          <w:lang w:val="en-US" w:eastAsia="zh-CN"/>
        </w:rPr>
      </w:pPr>
      <w:r>
        <w:rPr>
          <w:rFonts w:eastAsiaTheme="minorEastAsia" w:hint="eastAsia"/>
          <w:lang w:val="en-US" w:eastAsia="zh-CN"/>
        </w:rPr>
        <w:t>D</w:t>
      </w:r>
      <w:r>
        <w:rPr>
          <w:rFonts w:eastAsiaTheme="minorEastAsia"/>
          <w:lang w:val="en-US" w:eastAsia="zh-CN"/>
        </w:rPr>
        <w:t>uring the last meeting, some companies proposed to use the COT in the RLM requirements. The COT information is introduced in RAN1 to indicate the remaining channel occupation time from the slot that the UE detects the indication. The COT information is signaled in DCI 2_0 as shown in the follows [3]:</w:t>
      </w:r>
    </w:p>
    <w:tbl>
      <w:tblPr>
        <w:tblStyle w:val="a7"/>
        <w:tblW w:w="0" w:type="auto"/>
        <w:tblLook w:val="04A0" w:firstRow="1" w:lastRow="0" w:firstColumn="1" w:lastColumn="0" w:noHBand="0" w:noVBand="1"/>
      </w:tblPr>
      <w:tblGrid>
        <w:gridCol w:w="9562"/>
      </w:tblGrid>
      <w:tr w:rsidR="00111AB4" w:rsidTr="00111AB4">
        <w:tc>
          <w:tcPr>
            <w:tcW w:w="9562" w:type="dxa"/>
          </w:tcPr>
          <w:p w:rsidR="00111AB4" w:rsidRPr="002625EB" w:rsidRDefault="00111AB4" w:rsidP="00111AB4">
            <w:pPr>
              <w:pStyle w:val="5"/>
              <w:rPr>
                <w:lang w:eastAsia="zh-CN"/>
              </w:rPr>
            </w:pPr>
            <w:bookmarkStart w:id="3" w:name="_Toc19798781"/>
            <w:bookmarkStart w:id="4" w:name="_Toc26467252"/>
            <w:bookmarkStart w:id="5" w:name="_Toc29326615"/>
            <w:bookmarkStart w:id="6" w:name="_Toc29327765"/>
            <w:r w:rsidRPr="002625EB">
              <w:rPr>
                <w:rFonts w:hint="eastAsia"/>
                <w:lang w:eastAsia="zh-CN"/>
              </w:rPr>
              <w:t>7.3.1.3.1</w:t>
            </w:r>
            <w:r w:rsidRPr="002625EB">
              <w:rPr>
                <w:rFonts w:hint="eastAsia"/>
                <w:lang w:eastAsia="zh-CN"/>
              </w:rPr>
              <w:tab/>
              <w:t>Format 2_0</w:t>
            </w:r>
            <w:bookmarkEnd w:id="3"/>
            <w:bookmarkEnd w:id="4"/>
            <w:bookmarkEnd w:id="5"/>
            <w:bookmarkEnd w:id="6"/>
          </w:p>
          <w:p w:rsidR="00111AB4" w:rsidRPr="002625EB" w:rsidRDefault="00111AB4" w:rsidP="00111AB4">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r>
              <w:rPr>
                <w:lang w:eastAsia="zh-CN"/>
              </w:rPr>
              <w:t>, COT duration, available RB set, and search space group switching</w:t>
            </w:r>
            <w:r w:rsidRPr="002625EB">
              <w:t xml:space="preserve">. </w:t>
            </w:r>
          </w:p>
          <w:p w:rsidR="00111AB4" w:rsidRPr="002625EB" w:rsidRDefault="00111AB4" w:rsidP="00111AB4">
            <w:pPr>
              <w:rPr>
                <w:lang w:eastAsia="zh-CN"/>
              </w:rPr>
            </w:pPr>
            <w:r w:rsidRPr="002625EB">
              <w:t xml:space="preserve">The following information is transmitted by means of the DCI format </w:t>
            </w:r>
            <w:r w:rsidRPr="002625EB">
              <w:rPr>
                <w:rFonts w:hint="eastAsia"/>
                <w:lang w:eastAsia="zh-CN"/>
              </w:rPr>
              <w:t xml:space="preserve">2_0 with CRC </w:t>
            </w:r>
            <w:r w:rsidRPr="002625EB">
              <w:rPr>
                <w:lang w:eastAsia="zh-CN"/>
              </w:rPr>
              <w:t>scrambled</w:t>
            </w:r>
            <w:r w:rsidRPr="002625EB">
              <w:rPr>
                <w:rFonts w:hint="eastAsia"/>
                <w:lang w:eastAsia="zh-CN"/>
              </w:rPr>
              <w:t xml:space="preserve"> by SFI-RNTI</w:t>
            </w:r>
            <w:r w:rsidRPr="002625EB">
              <w:t>:</w:t>
            </w:r>
          </w:p>
          <w:p w:rsidR="00111AB4" w:rsidRPr="002625EB" w:rsidRDefault="00111AB4" w:rsidP="00111AB4">
            <w:pPr>
              <w:pStyle w:val="B1"/>
              <w:rPr>
                <w:lang w:eastAsia="zh-CN"/>
              </w:rPr>
            </w:pPr>
            <w:r w:rsidRPr="002625EB">
              <w:t>-</w:t>
            </w:r>
            <w:r w:rsidRPr="002625EB">
              <w:tab/>
            </w:r>
            <w:r w:rsidRPr="002625EB">
              <w:rPr>
                <w:rFonts w:hint="eastAsia"/>
                <w:lang w:eastAsia="zh-CN"/>
              </w:rPr>
              <w:t xml:space="preserve">Slot format indicator 1, Slot format indicator 2, </w:t>
            </w:r>
            <w:r w:rsidRPr="002625EB">
              <w:rPr>
                <w:lang w:eastAsia="zh-CN"/>
              </w:rPr>
              <w:t>…</w:t>
            </w:r>
            <w:r w:rsidRPr="002625EB">
              <w:rPr>
                <w:rFonts w:hint="eastAsia"/>
                <w:lang w:eastAsia="zh-CN"/>
              </w:rPr>
              <w:t xml:space="preserve">, Slot format indicator </w:t>
            </w:r>
            <w:r w:rsidRPr="002625EB">
              <w:rPr>
                <w:rFonts w:hint="eastAsia"/>
                <w:i/>
                <w:lang w:eastAsia="zh-CN"/>
              </w:rPr>
              <w:t>N</w:t>
            </w:r>
            <w:r w:rsidRPr="002625EB">
              <w:t>.</w:t>
            </w:r>
          </w:p>
          <w:p w:rsidR="00111AB4" w:rsidRDefault="00111AB4" w:rsidP="00111AB4">
            <w:pPr>
              <w:pStyle w:val="B1"/>
            </w:pPr>
            <w:r>
              <w:t>-</w:t>
            </w:r>
            <w:r>
              <w:tab/>
            </w:r>
            <w:r w:rsidRPr="00DF564F">
              <w:t xml:space="preserve">If </w:t>
            </w:r>
            <w:r>
              <w:rPr>
                <w:lang w:eastAsia="zh-CN"/>
              </w:rPr>
              <w:t xml:space="preserve">the higher layer parameter </w:t>
            </w:r>
            <w:r w:rsidRPr="00BD741C">
              <w:rPr>
                <w:i/>
              </w:rPr>
              <w:t>availableRB-SetPerCell-r16</w:t>
            </w:r>
            <w:r>
              <w:rPr>
                <w:i/>
              </w:rPr>
              <w:t xml:space="preserve"> </w:t>
            </w:r>
            <w:r w:rsidRPr="00CD7DD5">
              <w:t>is configured,</w:t>
            </w:r>
            <w:r>
              <w:rPr>
                <w:rFonts w:ascii="Calibri" w:hAnsi="Calibri" w:cs="Calibri"/>
              </w:rPr>
              <w:t xml:space="preserve"> </w:t>
            </w:r>
          </w:p>
          <w:p w:rsidR="00111AB4" w:rsidRDefault="00111AB4" w:rsidP="00111AB4">
            <w:pPr>
              <w:pStyle w:val="B2"/>
            </w:pPr>
            <w:r>
              <w:t>-</w:t>
            </w:r>
            <w:r>
              <w:tab/>
              <w:t xml:space="preserve">Available RB set Indicator 1, Available RB set Indicator 2, …, Available RB set Indicator </w:t>
            </w:r>
            <w:r w:rsidRPr="00CD7DD5">
              <w:rPr>
                <w:i/>
              </w:rPr>
              <w:t>N</w:t>
            </w:r>
            <w:r>
              <w:rPr>
                <w:i/>
              </w:rPr>
              <w:t>1</w:t>
            </w:r>
            <w:r>
              <w:t xml:space="preserve">, </w:t>
            </w:r>
          </w:p>
          <w:p w:rsidR="00111AB4" w:rsidRDefault="00111AB4" w:rsidP="00111AB4">
            <w:pPr>
              <w:pStyle w:val="B1"/>
            </w:pPr>
            <w:r>
              <w:t>-</w:t>
            </w:r>
            <w:r>
              <w:tab/>
              <w:t xml:space="preserve">If </w:t>
            </w:r>
            <w:r>
              <w:rPr>
                <w:lang w:eastAsia="zh-CN"/>
              </w:rPr>
              <w:t xml:space="preserve">the higher layer parameter </w:t>
            </w:r>
            <w:r w:rsidRPr="00CD7DD5">
              <w:rPr>
                <w:i/>
              </w:rPr>
              <w:t>CO-DurationPerCell-r16</w:t>
            </w:r>
            <w:r>
              <w:t xml:space="preserve"> is configured</w:t>
            </w:r>
          </w:p>
          <w:p w:rsidR="00111AB4" w:rsidRDefault="00111AB4" w:rsidP="00111AB4">
            <w:pPr>
              <w:pStyle w:val="B2"/>
              <w:rPr>
                <w:i/>
              </w:rPr>
            </w:pPr>
            <w:r>
              <w:t>-</w:t>
            </w:r>
            <w:r>
              <w:tab/>
              <w:t>COT duration indicator 1, COT duration indicator 2</w:t>
            </w:r>
            <w:r>
              <w:rPr>
                <w:rFonts w:hint="eastAsia"/>
                <w:lang w:eastAsia="zh-CN"/>
              </w:rPr>
              <w:t>,</w:t>
            </w:r>
            <w:r>
              <w:rPr>
                <w:lang w:eastAsia="zh-CN"/>
              </w:rPr>
              <w:t xml:space="preserve"> …, </w:t>
            </w:r>
            <w:r>
              <w:t xml:space="preserve">COT duration indicator </w:t>
            </w:r>
            <w:r w:rsidRPr="001A5E1B">
              <w:rPr>
                <w:i/>
              </w:rPr>
              <w:t>N</w:t>
            </w:r>
            <w:r>
              <w:rPr>
                <w:i/>
              </w:rPr>
              <w:t>2.</w:t>
            </w:r>
          </w:p>
          <w:p w:rsidR="00111AB4" w:rsidRDefault="00111AB4" w:rsidP="00111AB4">
            <w:pPr>
              <w:pStyle w:val="B1"/>
            </w:pPr>
            <w:r>
              <w:t>-</w:t>
            </w:r>
            <w:r>
              <w:tab/>
              <w:t xml:space="preserve">If </w:t>
            </w:r>
            <w:r>
              <w:rPr>
                <w:lang w:eastAsia="zh-CN"/>
              </w:rPr>
              <w:t xml:space="preserve">the higher layer parameter </w:t>
            </w:r>
            <w:r w:rsidRPr="00D441C9">
              <w:rPr>
                <w:i/>
              </w:rPr>
              <w:t>searchSpaceSwitching-r16</w:t>
            </w:r>
            <w:r>
              <w:t xml:space="preserve"> = "</w:t>
            </w:r>
            <w:r w:rsidRPr="00D441C9">
              <w:rPr>
                <w:i/>
              </w:rPr>
              <w:t>explicit</w:t>
            </w:r>
            <w:r>
              <w:rPr>
                <w:i/>
              </w:rPr>
              <w:t>"</w:t>
            </w:r>
          </w:p>
          <w:p w:rsidR="00111AB4" w:rsidRPr="002643D5" w:rsidRDefault="00111AB4" w:rsidP="00111AB4">
            <w:pPr>
              <w:pStyle w:val="B2"/>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sidRPr="00D441C9">
              <w:rPr>
                <w:i/>
              </w:rPr>
              <w:t>M</w:t>
            </w:r>
            <w:r w:rsidRPr="00D441C9">
              <w:t>]</w:t>
            </w:r>
            <w:r>
              <w:rPr>
                <w:i/>
              </w:rPr>
              <w:t>.</w:t>
            </w:r>
          </w:p>
          <w:p w:rsidR="00111AB4" w:rsidRPr="00111AB4" w:rsidRDefault="00111AB4" w:rsidP="00111AB4">
            <w:pPr>
              <w:pStyle w:val="B1"/>
              <w:ind w:left="0" w:firstLine="0"/>
              <w:rPr>
                <w:lang w:eastAsia="zh-CN"/>
              </w:rPr>
            </w:pPr>
            <w:r w:rsidRPr="002625EB">
              <w:rPr>
                <w:rFonts w:hint="eastAsia"/>
                <w:lang w:eastAsia="zh-CN"/>
              </w:rPr>
              <w:t xml:space="preserve">The size of DCI format 2_0 is configurable by higher layers up to 128 bits, according to </w:t>
            </w:r>
            <w:r>
              <w:rPr>
                <w:rFonts w:hint="eastAsia"/>
                <w:lang w:eastAsia="zh-CN"/>
              </w:rPr>
              <w:t>Clause</w:t>
            </w:r>
            <w:r w:rsidRPr="002625EB">
              <w:rPr>
                <w:rFonts w:hint="eastAsia"/>
                <w:lang w:eastAsia="zh-CN"/>
              </w:rPr>
              <w:t xml:space="preserve"> 11.1.1 of [5, TS</w:t>
            </w:r>
            <w:r w:rsidRPr="002625EB">
              <w:rPr>
                <w:lang w:eastAsia="zh-CN"/>
              </w:rPr>
              <w:t xml:space="preserve"> </w:t>
            </w:r>
            <w:r w:rsidRPr="002625EB">
              <w:rPr>
                <w:rFonts w:hint="eastAsia"/>
                <w:lang w:eastAsia="zh-CN"/>
              </w:rPr>
              <w:t>38.213].</w:t>
            </w:r>
          </w:p>
        </w:tc>
      </w:tr>
    </w:tbl>
    <w:p w:rsidR="00111AB4" w:rsidRDefault="00111AB4" w:rsidP="00A756ED">
      <w:pPr>
        <w:jc w:val="both"/>
        <w:rPr>
          <w:rFonts w:eastAsiaTheme="minorEastAsia"/>
          <w:lang w:val="en-US" w:eastAsia="zh-CN"/>
        </w:rPr>
      </w:pPr>
    </w:p>
    <w:p w:rsidR="00A756ED" w:rsidRDefault="00111AB4" w:rsidP="009E6763">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understanding, </w:t>
      </w:r>
      <w:r w:rsidR="007B52A5">
        <w:rPr>
          <w:rFonts w:eastAsiaTheme="minorEastAsia"/>
          <w:lang w:val="en-US" w:eastAsia="zh-CN"/>
        </w:rPr>
        <w:t xml:space="preserve">if UE could decode the DCI successfully, the measured </w:t>
      </w:r>
      <w:r w:rsidR="007D43B5">
        <w:rPr>
          <w:rFonts w:eastAsiaTheme="minorEastAsia"/>
          <w:lang w:val="en-US" w:eastAsia="zh-CN"/>
        </w:rPr>
        <w:t>RLM-RS</w:t>
      </w:r>
      <w:r w:rsidR="007B52A5">
        <w:rPr>
          <w:rFonts w:eastAsiaTheme="minorEastAsia"/>
          <w:lang w:val="en-US" w:eastAsia="zh-CN"/>
        </w:rPr>
        <w:t xml:space="preserve"> located within the COT duration can be treated as available </w:t>
      </w:r>
      <w:r w:rsidR="007D43B5">
        <w:rPr>
          <w:rFonts w:eastAsiaTheme="minorEastAsia"/>
          <w:lang w:val="en-US" w:eastAsia="zh-CN"/>
        </w:rPr>
        <w:t>RLM-RS</w:t>
      </w:r>
      <w:r w:rsidR="007B52A5">
        <w:rPr>
          <w:rFonts w:eastAsiaTheme="minorEastAsia"/>
          <w:lang w:val="en-US" w:eastAsia="zh-CN"/>
        </w:rPr>
        <w:t xml:space="preserve"> even in the low SNR case.</w:t>
      </w:r>
    </w:p>
    <w:p w:rsidR="007B52A5" w:rsidRPr="007B52A5" w:rsidRDefault="007B52A5" w:rsidP="007B52A5">
      <w:pPr>
        <w:jc w:val="both"/>
        <w:rPr>
          <w:rFonts w:eastAsiaTheme="minorEastAsia"/>
          <w:b/>
          <w:lang w:val="en-US" w:eastAsia="zh-CN"/>
        </w:rPr>
      </w:pPr>
      <w:r w:rsidRPr="007B52A5">
        <w:rPr>
          <w:rFonts w:eastAsiaTheme="minorEastAsia"/>
          <w:b/>
          <w:lang w:val="en-US" w:eastAsia="zh-CN"/>
        </w:rPr>
        <w:lastRenderedPageBreak/>
        <w:t xml:space="preserve">Observation 2: If UE could decode the DCI successfully, the measured SSB located within the COT duration can be treated as available </w:t>
      </w:r>
      <w:r w:rsidR="007D43B5">
        <w:rPr>
          <w:rFonts w:eastAsiaTheme="minorEastAsia"/>
          <w:b/>
          <w:lang w:val="en-US" w:eastAsia="zh-CN"/>
        </w:rPr>
        <w:t>RLM-RS</w:t>
      </w:r>
      <w:r w:rsidRPr="007B52A5">
        <w:rPr>
          <w:rFonts w:eastAsiaTheme="minorEastAsia"/>
          <w:b/>
          <w:lang w:val="en-US" w:eastAsia="zh-CN"/>
        </w:rPr>
        <w:t xml:space="preserve"> even in the low SNR case.</w:t>
      </w:r>
    </w:p>
    <w:p w:rsidR="007B52A5" w:rsidRDefault="007B52A5" w:rsidP="007B52A5">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if the </w:t>
      </w:r>
      <w:r w:rsidR="007D43B5">
        <w:rPr>
          <w:rFonts w:eastAsiaTheme="minorEastAsia"/>
          <w:lang w:val="en-US" w:eastAsia="zh-CN"/>
        </w:rPr>
        <w:t>RLM-RS</w:t>
      </w:r>
      <w:r>
        <w:rPr>
          <w:rFonts w:eastAsiaTheme="minorEastAsia"/>
          <w:lang w:val="en-US" w:eastAsia="zh-CN"/>
        </w:rPr>
        <w:t xml:space="preserve">s for RLM are all located in the COT during, there is no need to extend the measurement period since all </w:t>
      </w:r>
      <w:r w:rsidR="007D43B5">
        <w:rPr>
          <w:rFonts w:eastAsiaTheme="minorEastAsia"/>
          <w:lang w:val="en-US" w:eastAsia="zh-CN"/>
        </w:rPr>
        <w:t>RLM-RS</w:t>
      </w:r>
      <w:r>
        <w:rPr>
          <w:rFonts w:eastAsiaTheme="minorEastAsia"/>
          <w:lang w:val="en-US" w:eastAsia="zh-CN"/>
        </w:rPr>
        <w:t xml:space="preserve"> are valid. However, in the extremely low SNR scenarios, UE cannot decode the DCI correctly. Though UE could get the COT information from the DCI 2_0 received from another cell, UE could only get partial COT information. Which means there still some </w:t>
      </w:r>
      <w:r w:rsidR="007D43B5">
        <w:rPr>
          <w:rFonts w:eastAsiaTheme="minorEastAsia"/>
          <w:lang w:val="en-US" w:eastAsia="zh-CN"/>
        </w:rPr>
        <w:t>RLM-RS</w:t>
      </w:r>
      <w:r>
        <w:rPr>
          <w:rFonts w:eastAsiaTheme="minorEastAsia"/>
          <w:lang w:val="en-US" w:eastAsia="zh-CN"/>
        </w:rPr>
        <w:t>s that UE cannot distinguish</w:t>
      </w:r>
      <w:r w:rsidR="007D43B5">
        <w:rPr>
          <w:rFonts w:eastAsiaTheme="minorEastAsia"/>
          <w:lang w:val="en-US" w:eastAsia="zh-CN"/>
        </w:rPr>
        <w:t xml:space="preserve"> whether they are dropped due to LBT failure.</w:t>
      </w:r>
    </w:p>
    <w:p w:rsidR="007D43B5" w:rsidRPr="00575426" w:rsidRDefault="007D43B5" w:rsidP="007B52A5">
      <w:pPr>
        <w:jc w:val="both"/>
        <w:rPr>
          <w:rFonts w:eastAsiaTheme="minorEastAsia"/>
          <w:b/>
          <w:lang w:val="en-US" w:eastAsia="zh-CN"/>
        </w:rPr>
      </w:pPr>
      <w:r w:rsidRPr="00575426">
        <w:rPr>
          <w:rFonts w:eastAsiaTheme="minorEastAsia"/>
          <w:b/>
          <w:lang w:val="en-US" w:eastAsia="zh-CN"/>
        </w:rPr>
        <w:t xml:space="preserve">Observation 3: UE could only distinguish partial RLM-RSs for RLM by the COT information. </w:t>
      </w:r>
    </w:p>
    <w:p w:rsidR="007D43B5" w:rsidRDefault="007D43B5" w:rsidP="007B52A5">
      <w:pPr>
        <w:jc w:val="both"/>
        <w:rPr>
          <w:rFonts w:eastAsiaTheme="minorEastAsia"/>
          <w:lang w:val="en-US" w:eastAsia="zh-CN"/>
        </w:rPr>
      </w:pPr>
      <w:r>
        <w:rPr>
          <w:rFonts w:eastAsiaTheme="minorEastAsia"/>
          <w:lang w:val="en-US" w:eastAsia="zh-CN"/>
        </w:rPr>
        <w:t xml:space="preserve">For the cases where the RLM-RS are not in the COT duration or UE cannot get the COT information, we insist that UE is difficult to distinguish whether a LBT failure happens.  Therefore, we should extend the measurement period based on the RLM-RSs that cannot be treated as available ones or not. For instance, </w:t>
      </w:r>
      <w:r w:rsidR="00CA4BBB">
        <w:rPr>
          <w:rFonts w:eastAsiaTheme="minorEastAsia"/>
          <w:lang w:val="en-US" w:eastAsia="zh-CN"/>
        </w:rPr>
        <w:t>if</w:t>
      </w:r>
      <w:r>
        <w:rPr>
          <w:rFonts w:eastAsiaTheme="minorEastAsia"/>
          <w:lang w:val="en-US" w:eastAsia="zh-CN"/>
        </w:rPr>
        <w:t xml:space="preserve"> all RLM-RS for OOS is with in COT, extend the evaluation period will lead to extra </w:t>
      </w:r>
      <w:r w:rsidR="00CA4BBB">
        <w:rPr>
          <w:rFonts w:eastAsiaTheme="minorEastAsia"/>
          <w:lang w:val="en-US" w:eastAsia="zh-CN"/>
        </w:rPr>
        <w:t>delay.</w:t>
      </w:r>
    </w:p>
    <w:p w:rsidR="00CA4BBB" w:rsidRPr="00575426" w:rsidRDefault="00CA4BBB" w:rsidP="007B52A5">
      <w:pPr>
        <w:jc w:val="both"/>
        <w:rPr>
          <w:rFonts w:eastAsiaTheme="minorEastAsia"/>
          <w:b/>
          <w:lang w:val="en-US" w:eastAsia="zh-CN"/>
        </w:rPr>
      </w:pPr>
      <w:r w:rsidRPr="00575426">
        <w:rPr>
          <w:rFonts w:eastAsiaTheme="minorEastAsia"/>
          <w:b/>
          <w:lang w:val="en-US" w:eastAsia="zh-CN"/>
        </w:rPr>
        <w:t>Proposal 1: The measurement period should be extended based on the RLM-RSs that cannot be treated as available ones.</w:t>
      </w:r>
    </w:p>
    <w:p w:rsidR="00CA4BBB" w:rsidRDefault="00CA4BBB" w:rsidP="007B52A5">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a compromised method since some companies think the evaluation period for OOS should not be too long. Thus, the option 1 in the WF seems more reasonable that the </w:t>
      </w:r>
      <w:r w:rsidR="00575426">
        <w:rPr>
          <w:rFonts w:eastAsiaTheme="minorEastAsia"/>
          <w:lang w:val="en-US" w:eastAsia="zh-CN"/>
        </w:rPr>
        <w:t>RLM-RS that that cannot be treated as available ones should be scaled by a fixed factors to extend the evaluation period.</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Proposal 2: The RLM-RS that that cannot be treated as available ones should be scaled by a fixed factors to extend the evaluation period, which is based on the option 1.</w:t>
      </w:r>
    </w:p>
    <w:p w:rsidR="00575426" w:rsidRDefault="00575426" w:rsidP="00575426">
      <w:pPr>
        <w:jc w:val="both"/>
        <w:rPr>
          <w:rFonts w:eastAsiaTheme="minorEastAsia"/>
          <w:lang w:val="en-US" w:eastAsia="zh-CN"/>
        </w:rPr>
      </w:pPr>
      <w:r>
        <w:rPr>
          <w:rFonts w:eastAsiaTheme="minorEastAsia"/>
          <w:lang w:val="en-US" w:eastAsia="zh-CN"/>
        </w:rPr>
        <w:t>For the Link recovery procedures (BFD), the same method should be adopted as RLM OOS.</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Proposal 3: For the Link recovery procedures (BFD), the same method should be adopted as RLM OOS.</w:t>
      </w:r>
    </w:p>
    <w:p w:rsidR="00DF0231" w:rsidRPr="002D2977" w:rsidRDefault="00DF0231" w:rsidP="00DF0231">
      <w:pPr>
        <w:pStyle w:val="1"/>
        <w:numPr>
          <w:ilvl w:val="0"/>
          <w:numId w:val="1"/>
        </w:numPr>
        <w:rPr>
          <w:lang w:val="en-US"/>
        </w:rPr>
      </w:pPr>
      <w:r w:rsidRPr="002D2977">
        <w:rPr>
          <w:lang w:val="en-US"/>
        </w:rPr>
        <w:t>Conclusions</w:t>
      </w:r>
    </w:p>
    <w:p w:rsidR="004A1455" w:rsidRDefault="00575426" w:rsidP="00575426">
      <w:pPr>
        <w:jc w:val="both"/>
        <w:rPr>
          <w:rFonts w:eastAsiaTheme="minorEastAsia"/>
          <w:b/>
          <w:lang w:val="en-US" w:eastAsia="zh-CN"/>
        </w:rPr>
      </w:pPr>
      <w:r w:rsidRPr="00575426">
        <w:rPr>
          <w:rFonts w:eastAsiaTheme="minorEastAsia"/>
          <w:b/>
          <w:lang w:val="en-US" w:eastAsia="zh-CN"/>
        </w:rPr>
        <w:t>Observation 1: UE is not able to identify whether the low SNR results is due to LBT failure without additional assistant information.</w:t>
      </w:r>
    </w:p>
    <w:p w:rsidR="00575426" w:rsidRPr="007B52A5" w:rsidRDefault="00575426" w:rsidP="00575426">
      <w:pPr>
        <w:jc w:val="both"/>
        <w:rPr>
          <w:rFonts w:eastAsiaTheme="minorEastAsia"/>
          <w:b/>
          <w:lang w:val="en-US" w:eastAsia="zh-CN"/>
        </w:rPr>
      </w:pPr>
      <w:r w:rsidRPr="007B52A5">
        <w:rPr>
          <w:rFonts w:eastAsiaTheme="minorEastAsia"/>
          <w:b/>
          <w:lang w:val="en-US" w:eastAsia="zh-CN"/>
        </w:rPr>
        <w:t xml:space="preserve">Observation 2: If UE could decode the DCI successfully, the measured SSB located within the COT duration can be treated as available </w:t>
      </w:r>
      <w:r>
        <w:rPr>
          <w:rFonts w:eastAsiaTheme="minorEastAsia"/>
          <w:b/>
          <w:lang w:val="en-US" w:eastAsia="zh-CN"/>
        </w:rPr>
        <w:t>RLM-RS</w:t>
      </w:r>
      <w:r w:rsidRPr="007B52A5">
        <w:rPr>
          <w:rFonts w:eastAsiaTheme="minorEastAsia"/>
          <w:b/>
          <w:lang w:val="en-US" w:eastAsia="zh-CN"/>
        </w:rPr>
        <w:t xml:space="preserve"> even in the low SNR case.</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 xml:space="preserve">Observation 3: UE could only distinguish partial RLM-RSs for RLM by the COT information. </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Proposal 1: The measurement period should be extended based on the RLM-RSs that cannot be treated as available ones.</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Proposal 2: The RLM-RS that that cannot be treated as available ones should be scaled by a fixed factors to extend the evaluation period, which is based on the option 1.</w:t>
      </w:r>
    </w:p>
    <w:p w:rsidR="00575426" w:rsidRPr="00575426" w:rsidRDefault="00575426" w:rsidP="00575426">
      <w:pPr>
        <w:jc w:val="both"/>
        <w:rPr>
          <w:rFonts w:eastAsiaTheme="minorEastAsia"/>
          <w:b/>
          <w:lang w:val="en-US" w:eastAsia="zh-CN"/>
        </w:rPr>
      </w:pPr>
      <w:r w:rsidRPr="00575426">
        <w:rPr>
          <w:rFonts w:eastAsiaTheme="minorEastAsia"/>
          <w:b/>
          <w:lang w:val="en-US" w:eastAsia="zh-CN"/>
        </w:rPr>
        <w:t>Proposal 3: For the Link recovery procedures (BFD), the same method should be adopted as RLM OOS</w:t>
      </w:r>
      <w:r>
        <w:rPr>
          <w:rFonts w:eastAsiaTheme="minorEastAsia"/>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Default="00AC2C97" w:rsidP="00DF0231">
      <w:pPr>
        <w:rPr>
          <w:lang w:val="en-US"/>
        </w:rPr>
      </w:pPr>
      <w:r>
        <w:rPr>
          <w:lang w:val="en-US"/>
        </w:rPr>
        <w:t>[2] TS 38.3</w:t>
      </w:r>
      <w:r w:rsidR="00530EB0">
        <w:rPr>
          <w:lang w:val="en-US"/>
        </w:rPr>
        <w:t>31</w:t>
      </w:r>
    </w:p>
    <w:p w:rsidR="00111AB4" w:rsidRPr="002D2977" w:rsidRDefault="00111AB4" w:rsidP="00DF0231">
      <w:pPr>
        <w:rPr>
          <w:lang w:val="en-US"/>
        </w:rPr>
      </w:pPr>
      <w:r>
        <w:rPr>
          <w:lang w:val="en-US"/>
        </w:rPr>
        <w:t>[3] TS 38.212</w:t>
      </w:r>
    </w:p>
    <w:p w:rsidR="007D0DF7" w:rsidRDefault="007D0DF7"/>
    <w:sectPr w:rsidR="007D0DF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BE3" w:rsidRDefault="00D67BE3">
      <w:pPr>
        <w:spacing w:after="0"/>
      </w:pPr>
      <w:r>
        <w:separator/>
      </w:r>
    </w:p>
  </w:endnote>
  <w:endnote w:type="continuationSeparator" w:id="0">
    <w:p w:rsidR="00D67BE3" w:rsidRDefault="00D67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A5" w:rsidRDefault="007B52A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B52A5" w:rsidRDefault="007B52A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2A5" w:rsidRDefault="007B52A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96BC7">
      <w:rPr>
        <w:rStyle w:val="a5"/>
      </w:rPr>
      <w:t>1</w:t>
    </w:r>
    <w:r>
      <w:rPr>
        <w:rStyle w:val="a5"/>
      </w:rPr>
      <w:fldChar w:fldCharType="end"/>
    </w:r>
  </w:p>
  <w:p w:rsidR="007B52A5" w:rsidRDefault="007B52A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BE3" w:rsidRDefault="00D67BE3">
      <w:pPr>
        <w:spacing w:after="0"/>
      </w:pPr>
      <w:r>
        <w:separator/>
      </w:r>
    </w:p>
  </w:footnote>
  <w:footnote w:type="continuationSeparator" w:id="0">
    <w:p w:rsidR="00D67BE3" w:rsidRDefault="00D67B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F3784C"/>
    <w:multiLevelType w:val="hybridMultilevel"/>
    <w:tmpl w:val="75CA2BF4"/>
    <w:lvl w:ilvl="0" w:tplc="7610A7CC">
      <w:start w:val="1"/>
      <w:numFmt w:val="bullet"/>
      <w:lvlText w:val="•"/>
      <w:lvlJc w:val="left"/>
      <w:pPr>
        <w:tabs>
          <w:tab w:val="num" w:pos="720"/>
        </w:tabs>
        <w:ind w:left="720" w:hanging="360"/>
      </w:pPr>
      <w:rPr>
        <w:rFonts w:ascii="Arial" w:hAnsi="Arial" w:hint="default"/>
      </w:rPr>
    </w:lvl>
    <w:lvl w:ilvl="1" w:tplc="C7B4D5E6">
      <w:numFmt w:val="bullet"/>
      <w:lvlText w:val="•"/>
      <w:lvlJc w:val="left"/>
      <w:pPr>
        <w:tabs>
          <w:tab w:val="num" w:pos="1440"/>
        </w:tabs>
        <w:ind w:left="1440" w:hanging="360"/>
      </w:pPr>
      <w:rPr>
        <w:rFonts w:ascii="Arial" w:hAnsi="Arial" w:hint="default"/>
      </w:rPr>
    </w:lvl>
    <w:lvl w:ilvl="2" w:tplc="98243CA6" w:tentative="1">
      <w:start w:val="1"/>
      <w:numFmt w:val="bullet"/>
      <w:lvlText w:val="•"/>
      <w:lvlJc w:val="left"/>
      <w:pPr>
        <w:tabs>
          <w:tab w:val="num" w:pos="2160"/>
        </w:tabs>
        <w:ind w:left="2160" w:hanging="360"/>
      </w:pPr>
      <w:rPr>
        <w:rFonts w:ascii="Arial" w:hAnsi="Arial" w:hint="default"/>
      </w:rPr>
    </w:lvl>
    <w:lvl w:ilvl="3" w:tplc="1FCC4834" w:tentative="1">
      <w:start w:val="1"/>
      <w:numFmt w:val="bullet"/>
      <w:lvlText w:val="•"/>
      <w:lvlJc w:val="left"/>
      <w:pPr>
        <w:tabs>
          <w:tab w:val="num" w:pos="2880"/>
        </w:tabs>
        <w:ind w:left="2880" w:hanging="360"/>
      </w:pPr>
      <w:rPr>
        <w:rFonts w:ascii="Arial" w:hAnsi="Arial" w:hint="default"/>
      </w:rPr>
    </w:lvl>
    <w:lvl w:ilvl="4" w:tplc="4EEE8FDA" w:tentative="1">
      <w:start w:val="1"/>
      <w:numFmt w:val="bullet"/>
      <w:lvlText w:val="•"/>
      <w:lvlJc w:val="left"/>
      <w:pPr>
        <w:tabs>
          <w:tab w:val="num" w:pos="3600"/>
        </w:tabs>
        <w:ind w:left="3600" w:hanging="360"/>
      </w:pPr>
      <w:rPr>
        <w:rFonts w:ascii="Arial" w:hAnsi="Arial" w:hint="default"/>
      </w:rPr>
    </w:lvl>
    <w:lvl w:ilvl="5" w:tplc="248A177A" w:tentative="1">
      <w:start w:val="1"/>
      <w:numFmt w:val="bullet"/>
      <w:lvlText w:val="•"/>
      <w:lvlJc w:val="left"/>
      <w:pPr>
        <w:tabs>
          <w:tab w:val="num" w:pos="4320"/>
        </w:tabs>
        <w:ind w:left="4320" w:hanging="360"/>
      </w:pPr>
      <w:rPr>
        <w:rFonts w:ascii="Arial" w:hAnsi="Arial" w:hint="default"/>
      </w:rPr>
    </w:lvl>
    <w:lvl w:ilvl="6" w:tplc="19A4118A" w:tentative="1">
      <w:start w:val="1"/>
      <w:numFmt w:val="bullet"/>
      <w:lvlText w:val="•"/>
      <w:lvlJc w:val="left"/>
      <w:pPr>
        <w:tabs>
          <w:tab w:val="num" w:pos="5040"/>
        </w:tabs>
        <w:ind w:left="5040" w:hanging="360"/>
      </w:pPr>
      <w:rPr>
        <w:rFonts w:ascii="Arial" w:hAnsi="Arial" w:hint="default"/>
      </w:rPr>
    </w:lvl>
    <w:lvl w:ilvl="7" w:tplc="1DAE009A" w:tentative="1">
      <w:start w:val="1"/>
      <w:numFmt w:val="bullet"/>
      <w:lvlText w:val="•"/>
      <w:lvlJc w:val="left"/>
      <w:pPr>
        <w:tabs>
          <w:tab w:val="num" w:pos="5760"/>
        </w:tabs>
        <w:ind w:left="5760" w:hanging="360"/>
      </w:pPr>
      <w:rPr>
        <w:rFonts w:ascii="Arial" w:hAnsi="Arial" w:hint="default"/>
      </w:rPr>
    </w:lvl>
    <w:lvl w:ilvl="8" w:tplc="585079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6"/>
  </w:num>
  <w:num w:numId="4">
    <w:abstractNumId w:val="7"/>
  </w:num>
  <w:num w:numId="5">
    <w:abstractNumId w:val="5"/>
  </w:num>
  <w:num w:numId="6">
    <w:abstractNumId w:val="1"/>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83DF0"/>
    <w:rsid w:val="000D2930"/>
    <w:rsid w:val="000E6049"/>
    <w:rsid w:val="00111AB4"/>
    <w:rsid w:val="00185C61"/>
    <w:rsid w:val="002221AC"/>
    <w:rsid w:val="002328DD"/>
    <w:rsid w:val="00254F38"/>
    <w:rsid w:val="002B45C3"/>
    <w:rsid w:val="002E668C"/>
    <w:rsid w:val="00356FB6"/>
    <w:rsid w:val="003664ED"/>
    <w:rsid w:val="00401C0E"/>
    <w:rsid w:val="00430F24"/>
    <w:rsid w:val="00435EBD"/>
    <w:rsid w:val="00466D02"/>
    <w:rsid w:val="00477263"/>
    <w:rsid w:val="004A1455"/>
    <w:rsid w:val="004A7CF2"/>
    <w:rsid w:val="004C4868"/>
    <w:rsid w:val="004E0E67"/>
    <w:rsid w:val="004E1EA4"/>
    <w:rsid w:val="005273CC"/>
    <w:rsid w:val="00530EB0"/>
    <w:rsid w:val="00545EC2"/>
    <w:rsid w:val="00575426"/>
    <w:rsid w:val="006574F4"/>
    <w:rsid w:val="00677C1C"/>
    <w:rsid w:val="00701598"/>
    <w:rsid w:val="007148D1"/>
    <w:rsid w:val="00715BA1"/>
    <w:rsid w:val="00736D84"/>
    <w:rsid w:val="00776376"/>
    <w:rsid w:val="007A37DA"/>
    <w:rsid w:val="007B52A5"/>
    <w:rsid w:val="007D0DF7"/>
    <w:rsid w:val="007D3409"/>
    <w:rsid w:val="007D43B5"/>
    <w:rsid w:val="007E063C"/>
    <w:rsid w:val="007E5F97"/>
    <w:rsid w:val="00804945"/>
    <w:rsid w:val="00855736"/>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D64EF"/>
    <w:rsid w:val="009E6763"/>
    <w:rsid w:val="009E6DC8"/>
    <w:rsid w:val="00A1597D"/>
    <w:rsid w:val="00A20D75"/>
    <w:rsid w:val="00A22790"/>
    <w:rsid w:val="00A32652"/>
    <w:rsid w:val="00A66CB9"/>
    <w:rsid w:val="00A756ED"/>
    <w:rsid w:val="00AC2C97"/>
    <w:rsid w:val="00AD69AA"/>
    <w:rsid w:val="00AF5966"/>
    <w:rsid w:val="00B41E6D"/>
    <w:rsid w:val="00B73A82"/>
    <w:rsid w:val="00BC47AB"/>
    <w:rsid w:val="00BE1FD4"/>
    <w:rsid w:val="00C338CA"/>
    <w:rsid w:val="00C50A0A"/>
    <w:rsid w:val="00CA1729"/>
    <w:rsid w:val="00CA4BBB"/>
    <w:rsid w:val="00CE0DA0"/>
    <w:rsid w:val="00CF12FE"/>
    <w:rsid w:val="00D16579"/>
    <w:rsid w:val="00D41D2D"/>
    <w:rsid w:val="00D67BE3"/>
    <w:rsid w:val="00D85BFF"/>
    <w:rsid w:val="00D96BC7"/>
    <w:rsid w:val="00DD1DFF"/>
    <w:rsid w:val="00DF0231"/>
    <w:rsid w:val="00E25499"/>
    <w:rsid w:val="00E577DD"/>
    <w:rsid w:val="00EA5149"/>
    <w:rsid w:val="00F0497C"/>
    <w:rsid w:val="00F076D1"/>
    <w:rsid w:val="00F303F4"/>
    <w:rsid w:val="00F413E7"/>
    <w:rsid w:val="00F7234D"/>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42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5">
    <w:name w:val="heading 5"/>
    <w:basedOn w:val="a"/>
    <w:next w:val="a"/>
    <w:link w:val="5Char"/>
    <w:uiPriority w:val="9"/>
    <w:semiHidden/>
    <w:unhideWhenUsed/>
    <w:qFormat/>
    <w:rsid w:val="00111AB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5Char">
    <w:name w:val="标题 5 Char"/>
    <w:basedOn w:val="a0"/>
    <w:link w:val="5"/>
    <w:uiPriority w:val="9"/>
    <w:semiHidden/>
    <w:rsid w:val="00111AB4"/>
    <w:rPr>
      <w:rFonts w:ascii="Times New Roman" w:eastAsia="MS Mincho" w:hAnsi="Times New Roman" w:cs="Times New Roman"/>
      <w:b/>
      <w:bCs/>
      <w:kern w:val="0"/>
      <w:sz w:val="28"/>
      <w:szCs w:val="28"/>
      <w:lang w:val="en-GB" w:eastAsia="en-US"/>
    </w:rPr>
  </w:style>
  <w:style w:type="paragraph" w:customStyle="1" w:styleId="B1">
    <w:name w:val="B1"/>
    <w:basedOn w:val="a"/>
    <w:link w:val="B1Char1"/>
    <w:qFormat/>
    <w:rsid w:val="00111AB4"/>
    <w:pPr>
      <w:ind w:left="568" w:hanging="284"/>
    </w:pPr>
    <w:rPr>
      <w:rFonts w:eastAsia="宋体"/>
    </w:rPr>
  </w:style>
  <w:style w:type="paragraph" w:customStyle="1" w:styleId="B2">
    <w:name w:val="B2"/>
    <w:basedOn w:val="a"/>
    <w:link w:val="B2Char"/>
    <w:qFormat/>
    <w:rsid w:val="00111AB4"/>
    <w:pPr>
      <w:ind w:left="851" w:hanging="284"/>
    </w:pPr>
    <w:rPr>
      <w:rFonts w:eastAsia="宋体"/>
    </w:rPr>
  </w:style>
  <w:style w:type="character" w:customStyle="1" w:styleId="B1Char1">
    <w:name w:val="B1 Char1"/>
    <w:link w:val="B1"/>
    <w:qFormat/>
    <w:rsid w:val="00111AB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111AB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367194">
      <w:bodyDiv w:val="1"/>
      <w:marLeft w:val="0"/>
      <w:marRight w:val="0"/>
      <w:marTop w:val="0"/>
      <w:marBottom w:val="0"/>
      <w:divBdr>
        <w:top w:val="none" w:sz="0" w:space="0" w:color="auto"/>
        <w:left w:val="none" w:sz="0" w:space="0" w:color="auto"/>
        <w:bottom w:val="none" w:sz="0" w:space="0" w:color="auto"/>
        <w:right w:val="none" w:sz="0" w:space="0" w:color="auto"/>
      </w:divBdr>
      <w:divsChild>
        <w:div w:id="1562594800">
          <w:marLeft w:val="360"/>
          <w:marRight w:val="0"/>
          <w:marTop w:val="200"/>
          <w:marBottom w:val="0"/>
          <w:divBdr>
            <w:top w:val="none" w:sz="0" w:space="0" w:color="auto"/>
            <w:left w:val="none" w:sz="0" w:space="0" w:color="auto"/>
            <w:bottom w:val="none" w:sz="0" w:space="0" w:color="auto"/>
            <w:right w:val="none" w:sz="0" w:space="0" w:color="auto"/>
          </w:divBdr>
        </w:div>
        <w:div w:id="761806132">
          <w:marLeft w:val="1080"/>
          <w:marRight w:val="0"/>
          <w:marTop w:val="100"/>
          <w:marBottom w:val="0"/>
          <w:divBdr>
            <w:top w:val="none" w:sz="0" w:space="0" w:color="auto"/>
            <w:left w:val="none" w:sz="0" w:space="0" w:color="auto"/>
            <w:bottom w:val="none" w:sz="0" w:space="0" w:color="auto"/>
            <w:right w:val="none" w:sz="0" w:space="0" w:color="auto"/>
          </w:divBdr>
        </w:div>
        <w:div w:id="724335593">
          <w:marLeft w:val="360"/>
          <w:marRight w:val="0"/>
          <w:marTop w:val="200"/>
          <w:marBottom w:val="0"/>
          <w:divBdr>
            <w:top w:val="none" w:sz="0" w:space="0" w:color="auto"/>
            <w:left w:val="none" w:sz="0" w:space="0" w:color="auto"/>
            <w:bottom w:val="none" w:sz="0" w:space="0" w:color="auto"/>
            <w:right w:val="none" w:sz="0" w:space="0" w:color="auto"/>
          </w:divBdr>
        </w:div>
        <w:div w:id="186796118">
          <w:marLeft w:val="1080"/>
          <w:marRight w:val="0"/>
          <w:marTop w:val="100"/>
          <w:marBottom w:val="0"/>
          <w:divBdr>
            <w:top w:val="none" w:sz="0" w:space="0" w:color="auto"/>
            <w:left w:val="none" w:sz="0" w:space="0" w:color="auto"/>
            <w:bottom w:val="none" w:sz="0" w:space="0" w:color="auto"/>
            <w:right w:val="none" w:sz="0" w:space="0" w:color="auto"/>
          </w:divBdr>
        </w:div>
        <w:div w:id="7564632">
          <w:marLeft w:val="360"/>
          <w:marRight w:val="0"/>
          <w:marTop w:val="200"/>
          <w:marBottom w:val="0"/>
          <w:divBdr>
            <w:top w:val="none" w:sz="0" w:space="0" w:color="auto"/>
            <w:left w:val="none" w:sz="0" w:space="0" w:color="auto"/>
            <w:bottom w:val="none" w:sz="0" w:space="0" w:color="auto"/>
            <w:right w:val="none" w:sz="0" w:space="0" w:color="auto"/>
          </w:divBdr>
        </w:div>
        <w:div w:id="794568253">
          <w:marLeft w:val="1080"/>
          <w:marRight w:val="0"/>
          <w:marTop w:val="100"/>
          <w:marBottom w:val="0"/>
          <w:divBdr>
            <w:top w:val="none" w:sz="0" w:space="0" w:color="auto"/>
            <w:left w:val="none" w:sz="0" w:space="0" w:color="auto"/>
            <w:bottom w:val="none" w:sz="0" w:space="0" w:color="auto"/>
            <w:right w:val="none" w:sz="0" w:space="0" w:color="auto"/>
          </w:divBdr>
        </w:div>
        <w:div w:id="404769792">
          <w:marLeft w:val="360"/>
          <w:marRight w:val="0"/>
          <w:marTop w:val="2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516191821">
      <w:bodyDiv w:val="1"/>
      <w:marLeft w:val="0"/>
      <w:marRight w:val="0"/>
      <w:marTop w:val="0"/>
      <w:marBottom w:val="0"/>
      <w:divBdr>
        <w:top w:val="none" w:sz="0" w:space="0" w:color="auto"/>
        <w:left w:val="none" w:sz="0" w:space="0" w:color="auto"/>
        <w:bottom w:val="none" w:sz="0" w:space="0" w:color="auto"/>
        <w:right w:val="none" w:sz="0" w:space="0" w:color="auto"/>
      </w:divBdr>
      <w:divsChild>
        <w:div w:id="717702234">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1</Pages>
  <Words>873</Words>
  <Characters>4979</Characters>
  <Application>Microsoft Office Word</Application>
  <DocSecurity>0</DocSecurity>
  <Lines>41</Lines>
  <Paragraphs>11</Paragraphs>
  <ScaleCrop>false</ScaleCrop>
  <Company>HUAWEI</Company>
  <LinksUpToDate>false</LinksUpToDate>
  <CharactersWithSpaces>5841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cp:revision>
  <dcterms:created xsi:type="dcterms:W3CDTF">2019-09-18T02:52:00Z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(3)kI7bij2IyU8uR4+YFFUEZbT0+7vYSkh/hxIWVSV6Q6dmYBvpxbHsvzKXkzS9aGh1F1PHKhG/
NtBLybWv7g67FYMs1kjeRctJkuzpTXKxSO7sT6yZlZ3hMr/LAaQCspwURFctn+/IpDu0sOsS
V9l9JHoQ+h1Qg8nGRhgKSg+f7fBfhhbyvms/AmBrPbBZ3Ep8+p4PbaDSsNHJUoAO5m4W5Xyc
cjZ/+HMot345oAdR+F</vt:lpwstr>
  </property>
  <property fmtid="{D5CDD505-2E9C-101B-9397-08002B2CF9AE}" pid="3" name="_2015_ms_pID_7253431">
    <vt:lpwstr>wXZT0fhPRboVM17ZUqf51ISZuHjkCmwwovuUzbDct6cKOcATT9e7X4
lpSG720qx+SU6kdH82J8m43kTMQLbZefwEuBmEM/MTWbc6+1tRPsm0wN61GA7NufTAxdWo3H
0ByI3YksndYEbqwtiv6IIuN32zysU10nREz2RlTovUejl1L79HzpLPjf85oX0+I55JYjhgeF
YOsrAgO5J24SRqx5o135zeVyJLuLpRaQO5T4</vt:lpwstr>
  </property>
  <property fmtid="{D5CDD505-2E9C-101B-9397-08002B2CF9AE}" pid="4" name="_2015_ms_pID_7253432">
    <vt:lpwstr>5hsT1Ig0B1SziiavUOh1R7s=</vt:lpwstr>
  </property>
</Properties>
</file>