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BC8975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9F1915">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CD7CC3" w:rsidRPr="00717E34">
        <w:rPr>
          <w:rFonts w:ascii="Arial" w:eastAsia="SimSun" w:hAnsi="Arial" w:cs="Times New Roman"/>
          <w:b/>
          <w:bCs/>
          <w:sz w:val="24"/>
          <w:szCs w:val="20"/>
          <w:lang w:val="en-GB" w:eastAsia="zh-CN"/>
        </w:rPr>
        <w:t>2001342</w:t>
      </w:r>
    </w:p>
    <w:p w14:paraId="3DEDC117" w14:textId="2595B6ED" w:rsidR="00841BCD" w:rsidRPr="00841BCD" w:rsidRDefault="009F191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00176671" w:rsidRPr="00001C9B">
        <w:rPr>
          <w:rFonts w:ascii="Arial" w:eastAsia="SimSun" w:hAnsi="Arial" w:cs="Times New Roman"/>
          <w:b/>
          <w:sz w:val="24"/>
          <w:szCs w:val="20"/>
          <w:vertAlign w:val="superscript"/>
          <w:lang w:val="en-GB"/>
        </w:rPr>
        <w:t>th</w:t>
      </w:r>
      <w:r w:rsidR="0009382C">
        <w:rPr>
          <w:rFonts w:ascii="Arial" w:eastAsia="SimSun" w:hAnsi="Arial" w:cs="Times New Roman"/>
          <w:b/>
          <w:sz w:val="24"/>
          <w:szCs w:val="20"/>
          <w:lang w:val="en-GB"/>
        </w:rPr>
        <w:t xml:space="preserve">, </w:t>
      </w:r>
      <w:bookmarkStart w:id="3" w:name="_GoBack"/>
      <w:bookmarkEnd w:id="3"/>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3067608" w:rsidR="00841BCD" w:rsidRPr="009F1915"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669D3" w:rsidRPr="009F1915">
        <w:rPr>
          <w:rFonts w:ascii="Arial" w:eastAsia="Calibri" w:hAnsi="Arial" w:cs="Arial"/>
          <w:b/>
          <w:bCs/>
          <w:sz w:val="24"/>
          <w:lang w:val="en-GB"/>
        </w:rPr>
        <w:t>UE Requirements for Dormancy</w:t>
      </w:r>
      <w:r w:rsidRPr="009F1915" w:rsidDel="000A742C">
        <w:rPr>
          <w:rFonts w:ascii="Arial" w:eastAsia="Calibri" w:hAnsi="Arial" w:cs="Arial"/>
          <w:b/>
          <w:bCs/>
          <w:sz w:val="24"/>
          <w:lang w:val="en-GB"/>
        </w:rPr>
        <w:t xml:space="preserve"> </w:t>
      </w:r>
      <w:r w:rsidR="009669D3" w:rsidRPr="009F1915">
        <w:rPr>
          <w:rFonts w:ascii="Arial" w:eastAsia="Calibri" w:hAnsi="Arial" w:cs="Arial"/>
          <w:b/>
          <w:bCs/>
          <w:sz w:val="24"/>
          <w:lang w:val="en-GB"/>
        </w:rPr>
        <w:t>SCell</w:t>
      </w:r>
    </w:p>
    <w:p w14:paraId="53921647" w14:textId="2EE5B270" w:rsidR="00841BCD" w:rsidRPr="009F1915" w:rsidRDefault="00841BCD" w:rsidP="00841BCD">
      <w:pPr>
        <w:tabs>
          <w:tab w:val="left" w:pos="1985"/>
        </w:tabs>
        <w:spacing w:after="120" w:line="240" w:lineRule="auto"/>
        <w:rPr>
          <w:rFonts w:ascii="Arial" w:eastAsia="MS Mincho" w:hAnsi="Arial" w:cs="Arial"/>
          <w:b/>
          <w:bCs/>
          <w:sz w:val="24"/>
          <w:szCs w:val="20"/>
          <w:lang w:val="en-GB"/>
        </w:rPr>
      </w:pPr>
      <w:r w:rsidRPr="009F1915">
        <w:rPr>
          <w:rFonts w:ascii="Arial" w:eastAsia="MS Mincho" w:hAnsi="Arial" w:cs="Arial"/>
          <w:b/>
          <w:bCs/>
          <w:sz w:val="24"/>
          <w:szCs w:val="20"/>
          <w:lang w:val="en-GB"/>
        </w:rPr>
        <w:t>Agenda item:</w:t>
      </w:r>
      <w:r w:rsidRPr="009F1915">
        <w:rPr>
          <w:rFonts w:ascii="Arial" w:eastAsia="MS Mincho" w:hAnsi="Arial" w:cs="Arial"/>
          <w:b/>
          <w:bCs/>
          <w:sz w:val="24"/>
          <w:szCs w:val="20"/>
          <w:lang w:val="en-GB"/>
        </w:rPr>
        <w:tab/>
      </w:r>
      <w:r w:rsidR="009F1915" w:rsidRPr="009F1915">
        <w:rPr>
          <w:rFonts w:ascii="Arial" w:eastAsia="MS Mincho" w:hAnsi="Arial" w:cs="Arial"/>
          <w:b/>
          <w:bCs/>
          <w:sz w:val="24"/>
          <w:szCs w:val="20"/>
          <w:lang w:val="en-GB"/>
        </w:rPr>
        <w:t>8.6.3.3.2</w:t>
      </w:r>
    </w:p>
    <w:p w14:paraId="266D763D" w14:textId="77777777" w:rsidR="00841BCD" w:rsidRPr="00841BCD" w:rsidRDefault="00841BCD" w:rsidP="00841BCD">
      <w:pPr>
        <w:tabs>
          <w:tab w:val="left" w:pos="1985"/>
        </w:tabs>
        <w:rPr>
          <w:rFonts w:ascii="Arial" w:eastAsia="Calibri" w:hAnsi="Arial" w:cs="Arial"/>
          <w:b/>
          <w:bCs/>
          <w:sz w:val="24"/>
          <w:lang w:val="en-GB"/>
        </w:rPr>
      </w:pPr>
      <w:r w:rsidRPr="009F1915">
        <w:rPr>
          <w:rFonts w:ascii="Arial" w:eastAsia="Calibri" w:hAnsi="Arial" w:cs="Arial"/>
          <w:b/>
          <w:bCs/>
          <w:sz w:val="24"/>
          <w:lang w:val="en-GB"/>
        </w:rPr>
        <w:t>Document for:</w:t>
      </w:r>
      <w:r w:rsidRPr="009F1915">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B6B82D1" w:rsidR="00A22B78" w:rsidRDefault="009669D3" w:rsidP="00841BCD">
      <w:pPr>
        <w:ind w:right="-22"/>
        <w:rPr>
          <w:rFonts w:eastAsia="Calibri" w:cs="Times New Roman"/>
          <w:szCs w:val="20"/>
          <w:lang w:val="en-GB"/>
        </w:rPr>
      </w:pPr>
      <w:r>
        <w:rPr>
          <w:rFonts w:eastAsia="Calibri" w:cs="Times New Roman"/>
          <w:szCs w:val="20"/>
          <w:lang w:val="en-GB"/>
        </w:rPr>
        <w:t xml:space="preserve">RAN1 and RAN2 has been working </w:t>
      </w:r>
      <w:r w:rsidR="001A4396">
        <w:rPr>
          <w:rFonts w:eastAsia="Calibri" w:cs="Times New Roman"/>
          <w:szCs w:val="20"/>
          <w:lang w:val="en-GB"/>
        </w:rPr>
        <w:t>SCell dormancy for some time and had reached a number of agreements enabling some initial discussions in RAN4</w:t>
      </w:r>
      <w:r w:rsidR="00DA2EF9">
        <w:rPr>
          <w:rFonts w:eastAsia="Calibri" w:cs="Times New Roman"/>
          <w:szCs w:val="20"/>
          <w:lang w:val="en-GB"/>
        </w:rPr>
        <w:t>.</w:t>
      </w:r>
      <w:r w:rsidR="001A4396">
        <w:rPr>
          <w:rFonts w:eastAsia="Calibri" w:cs="Times New Roman"/>
          <w:szCs w:val="20"/>
          <w:lang w:val="en-GB"/>
        </w:rPr>
        <w:t xml:space="preserve"> In this paper we take an initial look at the agreements and which UE requirements RAN4 would need to define.</w:t>
      </w:r>
    </w:p>
    <w:p w14:paraId="2FF6A72B" w14:textId="77777777" w:rsidR="003B659E" w:rsidRPr="00841BCD" w:rsidRDefault="003B659E" w:rsidP="00AE56B1">
      <w:pPr>
        <w:pStyle w:val="RAN4H1"/>
      </w:pPr>
      <w:r w:rsidRPr="00AE56B1">
        <w:t>Discussion</w:t>
      </w:r>
    </w:p>
    <w:p w14:paraId="75C1C649" w14:textId="3B83FC57" w:rsidR="00AD760A" w:rsidRDefault="00AD760A" w:rsidP="00EA17AC">
      <w:pPr>
        <w:ind w:right="-22"/>
        <w:rPr>
          <w:rFonts w:eastAsia="Calibri" w:cs="Times New Roman"/>
          <w:szCs w:val="20"/>
          <w:lang w:val="en-GB"/>
        </w:rPr>
      </w:pPr>
      <w:r>
        <w:rPr>
          <w:rFonts w:eastAsia="Calibri" w:cs="Times New Roman"/>
          <w:szCs w:val="20"/>
          <w:lang w:val="en-GB"/>
        </w:rPr>
        <w:t>SCell dormancy is realized by defining a specific 2</w:t>
      </w:r>
      <w:r w:rsidRPr="00AD760A">
        <w:rPr>
          <w:rFonts w:eastAsia="Calibri" w:cs="Times New Roman"/>
          <w:szCs w:val="20"/>
          <w:vertAlign w:val="superscript"/>
          <w:lang w:val="en-GB"/>
        </w:rPr>
        <w:t>nd</w:t>
      </w:r>
      <w:r>
        <w:rPr>
          <w:rFonts w:eastAsia="Calibri" w:cs="Times New Roman"/>
          <w:szCs w:val="20"/>
          <w:lang w:val="en-GB"/>
        </w:rPr>
        <w:t xml:space="preserve"> BWP on which the UE is not required to monitor the PDCCH. The UE always at least have 2 BWPs configured if configured with dormancy BWP – the other BWP is not a dormancy BWP.</w:t>
      </w:r>
    </w:p>
    <w:p w14:paraId="4FBB8B31" w14:textId="617BDA3E" w:rsidR="00E21659" w:rsidRDefault="00E21659" w:rsidP="00EA17AC">
      <w:pPr>
        <w:ind w:right="-22"/>
        <w:rPr>
          <w:rFonts w:eastAsia="Calibri" w:cs="Times New Roman"/>
          <w:szCs w:val="20"/>
          <w:lang w:val="en-GB"/>
        </w:rPr>
      </w:pPr>
      <w:r>
        <w:rPr>
          <w:rFonts w:eastAsia="Calibri" w:cs="Times New Roman"/>
          <w:szCs w:val="20"/>
          <w:lang w:val="en-GB"/>
        </w:rPr>
        <w:t>RAN2 has agreed following:</w:t>
      </w:r>
    </w:p>
    <w:tbl>
      <w:tblPr>
        <w:tblStyle w:val="TableGrid"/>
        <w:tblW w:w="0" w:type="auto"/>
        <w:jc w:val="center"/>
        <w:tblLook w:val="04A0" w:firstRow="1" w:lastRow="0" w:firstColumn="1" w:lastColumn="0" w:noHBand="0" w:noVBand="1"/>
      </w:tblPr>
      <w:tblGrid>
        <w:gridCol w:w="9617"/>
      </w:tblGrid>
      <w:tr w:rsidR="00E21659" w14:paraId="796CA576" w14:textId="77777777" w:rsidTr="00E21659">
        <w:trPr>
          <w:jc w:val="center"/>
        </w:trPr>
        <w:tc>
          <w:tcPr>
            <w:tcW w:w="9890" w:type="dxa"/>
          </w:tcPr>
          <w:p w14:paraId="576698E1" w14:textId="77777777" w:rsidR="00E21659" w:rsidRPr="00435C89" w:rsidRDefault="00E21659" w:rsidP="00425FBC">
            <w:pPr>
              <w:pStyle w:val="Agreement"/>
              <w:numPr>
                <w:ilvl w:val="0"/>
                <w:numId w:val="0"/>
              </w:numPr>
            </w:pPr>
            <w:r>
              <w:t>Agreements:</w:t>
            </w:r>
          </w:p>
          <w:p w14:paraId="1603D917" w14:textId="77777777" w:rsidR="00E21659" w:rsidRPr="00FF4E31" w:rsidRDefault="00E21659" w:rsidP="00E21659">
            <w:pPr>
              <w:pStyle w:val="Agreement"/>
              <w:numPr>
                <w:ilvl w:val="0"/>
                <w:numId w:val="22"/>
              </w:numPr>
              <w:tabs>
                <w:tab w:val="num" w:pos="1980"/>
              </w:tabs>
              <w:rPr>
                <w:b w:val="0"/>
                <w:lang w:eastAsia="zh-CN"/>
              </w:rPr>
            </w:pPr>
            <w:r w:rsidRPr="00267AD0">
              <w:rPr>
                <w:b w:val="0"/>
                <w:lang w:eastAsia="zh-CN"/>
              </w:rPr>
              <w:t xml:space="preserve">Based on RAN1/RAN4 </w:t>
            </w:r>
            <w:r w:rsidRPr="00FF4E31">
              <w:rPr>
                <w:b w:val="0"/>
                <w:lang w:eastAsia="zh-CN"/>
              </w:rPr>
              <w:t xml:space="preserve">reply LS, introduce ‘dormancy’ behaviour for NR SCell, i.e. the UE stops monitoring PDCCH on SCell but continue performing CSI measurements, AGC and beam management, if configured. </w:t>
            </w:r>
          </w:p>
          <w:p w14:paraId="2CAC09AB" w14:textId="77777777" w:rsidR="00E21659" w:rsidRPr="00267AD0" w:rsidRDefault="00E21659" w:rsidP="00E21659">
            <w:pPr>
              <w:pStyle w:val="Agreement"/>
              <w:numPr>
                <w:ilvl w:val="0"/>
                <w:numId w:val="22"/>
              </w:numPr>
              <w:tabs>
                <w:tab w:val="num" w:pos="1980"/>
              </w:tabs>
              <w:rPr>
                <w:b w:val="0"/>
                <w:lang w:eastAsia="zh-CN"/>
              </w:rPr>
            </w:pPr>
            <w:r w:rsidRPr="00FF4E31">
              <w:rPr>
                <w:b w:val="0"/>
                <w:lang w:eastAsia="zh-CN"/>
              </w:rPr>
              <w:t>RAN2 confirms that UE “dormancy” operation is part of SCell activated state (i.e. not</w:t>
            </w:r>
            <w:r w:rsidRPr="00267AD0">
              <w:rPr>
                <w:b w:val="0"/>
                <w:lang w:eastAsia="zh-CN"/>
              </w:rPr>
              <w:t xml:space="preserve"> as part of SCell deactivated state)</w:t>
            </w:r>
          </w:p>
          <w:p w14:paraId="5EFBB571" w14:textId="77777777" w:rsidR="00E21659" w:rsidRDefault="00E21659" w:rsidP="00E21659">
            <w:pPr>
              <w:pStyle w:val="Agreement"/>
              <w:numPr>
                <w:ilvl w:val="0"/>
                <w:numId w:val="22"/>
              </w:numPr>
              <w:tabs>
                <w:tab w:val="num" w:pos="1980"/>
              </w:tabs>
              <w:rPr>
                <w:lang w:eastAsia="zh-CN"/>
              </w:rPr>
            </w:pPr>
            <w:r w:rsidRPr="00267AD0">
              <w:rPr>
                <w:b w:val="0"/>
                <w:lang w:eastAsia="zh-CN"/>
              </w:rPr>
              <w:t>Chair: R2 will need to wait for R1 progress</w:t>
            </w:r>
          </w:p>
        </w:tc>
      </w:tr>
    </w:tbl>
    <w:p w14:paraId="6770741B" w14:textId="32ABDB0F" w:rsidR="00E21659" w:rsidRDefault="00E21659" w:rsidP="00EA17AC">
      <w:pPr>
        <w:ind w:right="-22"/>
        <w:rPr>
          <w:rFonts w:eastAsia="Calibri" w:cs="Times New Roman"/>
          <w:szCs w:val="20"/>
        </w:rPr>
      </w:pPr>
      <w:r>
        <w:rPr>
          <w:rFonts w:eastAsia="Calibri" w:cs="Times New Roman"/>
          <w:szCs w:val="20"/>
        </w:rPr>
        <w:t>and:</w:t>
      </w:r>
    </w:p>
    <w:p w14:paraId="7B398338" w14:textId="77777777" w:rsidR="00E21659" w:rsidRPr="00FF4E31" w:rsidRDefault="00E21659" w:rsidP="00E21659">
      <w:pPr>
        <w:pStyle w:val="Agreement"/>
        <w:tabs>
          <w:tab w:val="clear" w:pos="1619"/>
          <w:tab w:val="num" w:pos="360"/>
        </w:tabs>
        <w:ind w:left="360"/>
      </w:pPr>
      <w:r w:rsidRPr="00FF4E31">
        <w:t xml:space="preserve">We use BWP model as agreed/assumed in R1. </w:t>
      </w:r>
    </w:p>
    <w:p w14:paraId="686C0775" w14:textId="77777777" w:rsidR="00E21659" w:rsidRPr="00FF4E31" w:rsidRDefault="00E21659" w:rsidP="00E21659">
      <w:pPr>
        <w:pStyle w:val="Doc-text2"/>
        <w:ind w:left="0" w:firstLine="0"/>
        <w:rPr>
          <w:b/>
        </w:rPr>
      </w:pPr>
    </w:p>
    <w:p w14:paraId="1367071F" w14:textId="77777777" w:rsidR="00E21659" w:rsidRPr="00FF4E31" w:rsidRDefault="00E21659" w:rsidP="00E21659">
      <w:pPr>
        <w:pStyle w:val="Agreement"/>
        <w:tabs>
          <w:tab w:val="clear" w:pos="1619"/>
          <w:tab w:val="num" w:pos="360"/>
        </w:tabs>
        <w:ind w:left="360"/>
        <w:rPr>
          <w:lang w:val="sv-SE"/>
        </w:rPr>
      </w:pPr>
      <w:r w:rsidRPr="00FF4E31">
        <w:rPr>
          <w:lang w:val="sv-SE"/>
        </w:rPr>
        <w:t xml:space="preserve">R2 confirm that The dormant BWP is not configured with PDCCH monitoring, this is done by the IE pdcch-Config being absent in the BWP configuration. </w:t>
      </w:r>
    </w:p>
    <w:p w14:paraId="7288EE26" w14:textId="77777777" w:rsidR="00E21659" w:rsidRPr="00FF4E31" w:rsidRDefault="00E21659" w:rsidP="00E21659">
      <w:pPr>
        <w:pStyle w:val="Agreement"/>
        <w:tabs>
          <w:tab w:val="clear" w:pos="1619"/>
          <w:tab w:val="num" w:pos="360"/>
        </w:tabs>
        <w:ind w:left="360"/>
      </w:pPr>
      <w:r w:rsidRPr="00FF4E31">
        <w:t xml:space="preserve">The dormant BWP is configured only when the SCell is configured with at least one other UE-specific RRC configured BWP (i.e., a ‘regular BWP’). There can be only one configured dormant BWP for an SCell. </w:t>
      </w:r>
    </w:p>
    <w:p w14:paraId="0A25295C" w14:textId="77777777" w:rsidR="00E21659" w:rsidRPr="00FF4E31" w:rsidRDefault="00E21659" w:rsidP="00E21659">
      <w:pPr>
        <w:pStyle w:val="Agreement"/>
        <w:tabs>
          <w:tab w:val="clear" w:pos="1619"/>
          <w:tab w:val="num" w:pos="360"/>
        </w:tabs>
        <w:ind w:left="360"/>
      </w:pPr>
      <w:r w:rsidRPr="00FF4E31">
        <w:t>UE determines via RRC configuration, which DL BWP among the UE-specific RRC configured BWPs is the dormant BWP</w:t>
      </w:r>
    </w:p>
    <w:p w14:paraId="4EB06425" w14:textId="77777777" w:rsidR="00E21659" w:rsidRPr="00FF4E31" w:rsidRDefault="00E21659" w:rsidP="00E21659">
      <w:pPr>
        <w:pStyle w:val="Agreement"/>
        <w:tabs>
          <w:tab w:val="clear" w:pos="1619"/>
          <w:tab w:val="num" w:pos="360"/>
        </w:tabs>
        <w:ind w:left="360"/>
      </w:pPr>
      <w:r w:rsidRPr="00FF4E31">
        <w:t>Upon entering dormancy, the UE clears/suspends any uplink grants (type 1 and type2) associated with the SCell.</w:t>
      </w:r>
    </w:p>
    <w:p w14:paraId="5FFEC258" w14:textId="77777777" w:rsidR="00E21659" w:rsidRPr="00FF4E31" w:rsidRDefault="00E21659" w:rsidP="00E21659">
      <w:pPr>
        <w:pStyle w:val="Agreement"/>
        <w:tabs>
          <w:tab w:val="clear" w:pos="1619"/>
          <w:tab w:val="num" w:pos="360"/>
        </w:tabs>
        <w:ind w:left="360"/>
      </w:pPr>
      <w:r w:rsidRPr="00FF4E31">
        <w:t>In dormancy SCell, the UE doesn’t perform RACH.</w:t>
      </w:r>
    </w:p>
    <w:p w14:paraId="4B72A12E" w14:textId="77777777" w:rsidR="00E21659" w:rsidRPr="00FF4E31" w:rsidRDefault="00E21659" w:rsidP="00E21659">
      <w:pPr>
        <w:pStyle w:val="Agreement"/>
        <w:tabs>
          <w:tab w:val="clear" w:pos="1619"/>
          <w:tab w:val="num" w:pos="360"/>
        </w:tabs>
        <w:ind w:left="360"/>
      </w:pPr>
      <w:r w:rsidRPr="00FF4E31">
        <w:t>In dormancy SCell, aperiodic CSI/SRS via self-carrier scheduling is not allowed.</w:t>
      </w:r>
    </w:p>
    <w:p w14:paraId="079E3B2E" w14:textId="77777777" w:rsidR="00E21659" w:rsidRPr="00FF4E31" w:rsidRDefault="00E21659" w:rsidP="00E21659">
      <w:pPr>
        <w:pStyle w:val="Agreement"/>
        <w:tabs>
          <w:tab w:val="clear" w:pos="1619"/>
          <w:tab w:val="num" w:pos="360"/>
        </w:tabs>
        <w:ind w:left="360"/>
      </w:pPr>
      <w:r w:rsidRPr="00FF4E31">
        <w:t>WA: If in dormancy SCell, aperiodic CSI via cross-carrier scheduling is not allowed, FFS for SRS</w:t>
      </w:r>
    </w:p>
    <w:p w14:paraId="5C51028A" w14:textId="77777777" w:rsidR="00E21659" w:rsidRPr="00FF4E31" w:rsidRDefault="00E21659" w:rsidP="00E21659">
      <w:pPr>
        <w:pStyle w:val="Agreement"/>
        <w:tabs>
          <w:tab w:val="clear" w:pos="1619"/>
          <w:tab w:val="num" w:pos="360"/>
        </w:tabs>
        <w:ind w:left="360"/>
      </w:pPr>
      <w:r w:rsidRPr="00FF4E31">
        <w:t>As dormant state in LTE euCA, SCell dormancy is not applicable to the PUCCH SCell.</w:t>
      </w:r>
    </w:p>
    <w:p w14:paraId="2ADB5621" w14:textId="77777777" w:rsidR="00E21659" w:rsidRPr="00FF4E31" w:rsidRDefault="00E21659" w:rsidP="00E21659">
      <w:pPr>
        <w:pStyle w:val="Doc-text2"/>
        <w:ind w:left="0" w:firstLine="0"/>
      </w:pPr>
    </w:p>
    <w:p w14:paraId="05FFA718" w14:textId="00482951" w:rsidR="00E21659" w:rsidRDefault="00CD7CC3" w:rsidP="00EA17AC">
      <w:pPr>
        <w:ind w:right="-22"/>
        <w:rPr>
          <w:rFonts w:eastAsia="Calibri" w:cs="Times New Roman"/>
          <w:szCs w:val="20"/>
          <w:lang w:val="en-GB"/>
        </w:rPr>
      </w:pPr>
      <w:r>
        <w:rPr>
          <w:rFonts w:eastAsia="Calibri" w:cs="Times New Roman"/>
          <w:szCs w:val="20"/>
          <w:lang w:val="en-GB"/>
        </w:rPr>
        <w:t>There are a</w:t>
      </w:r>
      <w:r w:rsidR="00E21659" w:rsidRPr="00FF4E31">
        <w:rPr>
          <w:rFonts w:eastAsia="Calibri" w:cs="Times New Roman"/>
          <w:szCs w:val="20"/>
          <w:lang w:val="en-GB"/>
        </w:rPr>
        <w:t xml:space="preserve"> number of main aspects to take from the agreements that would impact the UE requirements:</w:t>
      </w:r>
    </w:p>
    <w:p w14:paraId="7C0BC89A" w14:textId="252AFC80" w:rsidR="00E21659" w:rsidRDefault="00E21659" w:rsidP="00E21659">
      <w:pPr>
        <w:pStyle w:val="ListParagraph"/>
        <w:numPr>
          <w:ilvl w:val="0"/>
          <w:numId w:val="23"/>
        </w:numPr>
        <w:ind w:right="-22"/>
        <w:rPr>
          <w:rFonts w:eastAsia="Calibri" w:cs="Times New Roman"/>
          <w:szCs w:val="20"/>
          <w:lang w:val="en-GB"/>
        </w:rPr>
      </w:pPr>
      <w:r>
        <w:rPr>
          <w:rFonts w:eastAsia="Calibri" w:cs="Times New Roman"/>
          <w:szCs w:val="20"/>
          <w:lang w:val="en-GB"/>
        </w:rPr>
        <w:t>Entering SCell dormancy is done by BWP switch</w:t>
      </w:r>
    </w:p>
    <w:p w14:paraId="4C5F444D" w14:textId="7D2574A4" w:rsidR="008146C5" w:rsidRDefault="008146C5" w:rsidP="008146C5">
      <w:pPr>
        <w:pStyle w:val="ListParagraph"/>
        <w:numPr>
          <w:ilvl w:val="1"/>
          <w:numId w:val="23"/>
        </w:numPr>
        <w:ind w:right="-22"/>
        <w:rPr>
          <w:rFonts w:eastAsia="Calibri" w:cs="Times New Roman"/>
          <w:szCs w:val="20"/>
          <w:lang w:val="en-GB"/>
        </w:rPr>
      </w:pPr>
      <w:r>
        <w:rPr>
          <w:rFonts w:eastAsia="Calibri" w:cs="Times New Roman"/>
          <w:szCs w:val="20"/>
          <w:lang w:val="en-GB"/>
        </w:rPr>
        <w:t xml:space="preserve">PDCCH (WUS or active time) </w:t>
      </w:r>
    </w:p>
    <w:p w14:paraId="122EB4E0" w14:textId="20F8B5FC" w:rsidR="008146C5" w:rsidRDefault="008146C5" w:rsidP="008146C5">
      <w:pPr>
        <w:pStyle w:val="ListParagraph"/>
        <w:numPr>
          <w:ilvl w:val="1"/>
          <w:numId w:val="23"/>
        </w:numPr>
        <w:ind w:right="-22"/>
        <w:rPr>
          <w:rFonts w:eastAsia="Calibri" w:cs="Times New Roman"/>
          <w:szCs w:val="20"/>
          <w:lang w:val="en-GB"/>
        </w:rPr>
      </w:pPr>
      <w:r>
        <w:rPr>
          <w:rFonts w:eastAsia="Calibri" w:cs="Times New Roman"/>
          <w:szCs w:val="20"/>
          <w:lang w:val="en-GB"/>
        </w:rPr>
        <w:t>PDCCH dormancy commands are received on PCell</w:t>
      </w:r>
      <w:r w:rsidR="005C5D26">
        <w:rPr>
          <w:rFonts w:eastAsia="Calibri" w:cs="Times New Roman"/>
          <w:szCs w:val="20"/>
          <w:lang w:val="en-GB"/>
        </w:rPr>
        <w:t xml:space="preserve"> </w:t>
      </w:r>
    </w:p>
    <w:p w14:paraId="2F2744E6" w14:textId="4CD9CF60" w:rsidR="00E21659" w:rsidRDefault="005C5D26" w:rsidP="00E21659">
      <w:pPr>
        <w:pStyle w:val="ListParagraph"/>
        <w:numPr>
          <w:ilvl w:val="0"/>
          <w:numId w:val="23"/>
        </w:numPr>
        <w:ind w:right="-22"/>
        <w:rPr>
          <w:rFonts w:eastAsia="Calibri" w:cs="Times New Roman"/>
          <w:szCs w:val="20"/>
          <w:lang w:val="en-GB"/>
        </w:rPr>
      </w:pPr>
      <w:r>
        <w:rPr>
          <w:rFonts w:eastAsia="Calibri" w:cs="Times New Roman"/>
          <w:szCs w:val="20"/>
          <w:lang w:val="en-GB"/>
        </w:rPr>
        <w:lastRenderedPageBreak/>
        <w:t>Leaving</w:t>
      </w:r>
      <w:r w:rsidR="00E21659">
        <w:rPr>
          <w:rFonts w:eastAsia="Calibri" w:cs="Times New Roman"/>
          <w:szCs w:val="20"/>
          <w:lang w:val="en-GB"/>
        </w:rPr>
        <w:t xml:space="preserve"> SCell dormancy is done by BWP switch (received on PCell)</w:t>
      </w:r>
    </w:p>
    <w:p w14:paraId="3F41E9DE" w14:textId="296861E7" w:rsidR="00E21659" w:rsidRDefault="00E21659" w:rsidP="00E21659">
      <w:pPr>
        <w:pStyle w:val="ListParagraph"/>
        <w:numPr>
          <w:ilvl w:val="0"/>
          <w:numId w:val="23"/>
        </w:numPr>
        <w:ind w:right="-22"/>
        <w:rPr>
          <w:rFonts w:eastAsia="Calibri" w:cs="Times New Roman"/>
          <w:szCs w:val="20"/>
          <w:lang w:val="en-GB"/>
        </w:rPr>
      </w:pPr>
      <w:r>
        <w:rPr>
          <w:rFonts w:eastAsia="Calibri" w:cs="Times New Roman"/>
          <w:szCs w:val="20"/>
          <w:lang w:val="en-GB"/>
        </w:rPr>
        <w:t>An SCell in dormancy is not deactivated</w:t>
      </w:r>
    </w:p>
    <w:p w14:paraId="7C10B0A7" w14:textId="5213AB65" w:rsidR="00E21659" w:rsidRPr="00E21659" w:rsidRDefault="00E21659" w:rsidP="00E21659">
      <w:pPr>
        <w:pStyle w:val="ListParagraph"/>
        <w:numPr>
          <w:ilvl w:val="1"/>
          <w:numId w:val="23"/>
        </w:numPr>
        <w:ind w:right="-22"/>
        <w:rPr>
          <w:rFonts w:eastAsia="Calibri" w:cs="Times New Roman"/>
          <w:bCs/>
          <w:szCs w:val="20"/>
          <w:lang w:val="en-GB"/>
        </w:rPr>
      </w:pPr>
      <w:r>
        <w:rPr>
          <w:rFonts w:eastAsia="Calibri" w:cs="Times New Roman"/>
          <w:bCs/>
          <w:szCs w:val="20"/>
        </w:rPr>
        <w:t>T</w:t>
      </w:r>
      <w:r w:rsidRPr="00E21659">
        <w:rPr>
          <w:rFonts w:eastAsia="Calibri" w:cs="Times New Roman"/>
          <w:bCs/>
          <w:szCs w:val="20"/>
        </w:rPr>
        <w:t xml:space="preserve">he UE stops monitoring PDCCH on </w:t>
      </w:r>
      <w:r w:rsidR="00CD7CC3">
        <w:rPr>
          <w:rFonts w:eastAsia="Calibri" w:cs="Times New Roman"/>
          <w:bCs/>
          <w:szCs w:val="20"/>
        </w:rPr>
        <w:t xml:space="preserve">dormancy </w:t>
      </w:r>
      <w:r w:rsidRPr="00E21659">
        <w:rPr>
          <w:rFonts w:eastAsia="Calibri" w:cs="Times New Roman"/>
          <w:bCs/>
          <w:szCs w:val="20"/>
        </w:rPr>
        <w:t>SCell</w:t>
      </w:r>
    </w:p>
    <w:p w14:paraId="2480942A" w14:textId="65E35C04" w:rsidR="00E21659" w:rsidRPr="00E21659" w:rsidRDefault="00E21659" w:rsidP="00E21659">
      <w:pPr>
        <w:pStyle w:val="ListParagraph"/>
        <w:numPr>
          <w:ilvl w:val="1"/>
          <w:numId w:val="23"/>
        </w:numPr>
        <w:ind w:right="-22"/>
        <w:rPr>
          <w:rFonts w:eastAsia="Calibri" w:cs="Times New Roman"/>
          <w:bCs/>
          <w:szCs w:val="20"/>
          <w:lang w:val="en-GB"/>
        </w:rPr>
      </w:pPr>
      <w:r>
        <w:rPr>
          <w:rFonts w:eastAsia="Calibri" w:cs="Times New Roman"/>
          <w:bCs/>
          <w:szCs w:val="20"/>
        </w:rPr>
        <w:t>The UE</w:t>
      </w:r>
      <w:r w:rsidRPr="00E21659">
        <w:rPr>
          <w:rFonts w:eastAsia="Calibri" w:cs="Times New Roman"/>
          <w:bCs/>
          <w:szCs w:val="20"/>
        </w:rPr>
        <w:t xml:space="preserve"> continue performing CSI measurements, AGC and beam management, if configured</w:t>
      </w:r>
    </w:p>
    <w:p w14:paraId="40D3C782" w14:textId="63E6FC17" w:rsidR="00E21659" w:rsidRDefault="00E21659" w:rsidP="00EA17AC">
      <w:pPr>
        <w:ind w:right="-22"/>
        <w:rPr>
          <w:rFonts w:eastAsia="Calibri" w:cs="Times New Roman"/>
          <w:szCs w:val="20"/>
          <w:lang w:val="en-GB"/>
        </w:rPr>
      </w:pPr>
      <w:r>
        <w:rPr>
          <w:rFonts w:eastAsia="Calibri" w:cs="Times New Roman"/>
          <w:szCs w:val="20"/>
          <w:lang w:val="en-GB"/>
        </w:rPr>
        <w:t xml:space="preserve">Next we look at the </w:t>
      </w:r>
      <w:r w:rsidR="00F242F9">
        <w:rPr>
          <w:rFonts w:eastAsia="Calibri" w:cs="Times New Roman"/>
          <w:szCs w:val="20"/>
          <w:lang w:val="en-GB"/>
        </w:rPr>
        <w:t xml:space="preserve">which UE requirements would be needed for an SCell in dormancy and </w:t>
      </w:r>
      <w:r>
        <w:rPr>
          <w:rFonts w:eastAsia="Calibri" w:cs="Times New Roman"/>
          <w:szCs w:val="20"/>
          <w:lang w:val="en-GB"/>
        </w:rPr>
        <w:t xml:space="preserve">how </w:t>
      </w:r>
      <w:r w:rsidR="00F242F9">
        <w:rPr>
          <w:rFonts w:eastAsia="Calibri" w:cs="Times New Roman"/>
          <w:szCs w:val="20"/>
          <w:lang w:val="en-GB"/>
        </w:rPr>
        <w:t>these UE requirements could be defined.</w:t>
      </w:r>
    </w:p>
    <w:p w14:paraId="430D3D2E" w14:textId="77777777" w:rsidR="00CB0486" w:rsidRPr="00E21659" w:rsidRDefault="00CB0486" w:rsidP="00EA17AC">
      <w:pPr>
        <w:ind w:right="-22"/>
        <w:rPr>
          <w:rFonts w:eastAsia="Calibri" w:cs="Times New Roman"/>
          <w:szCs w:val="20"/>
          <w:lang w:val="en-GB"/>
        </w:rPr>
      </w:pPr>
    </w:p>
    <w:p w14:paraId="6229BBC3" w14:textId="2C99FF5C" w:rsidR="002C2D19" w:rsidRDefault="006E471E" w:rsidP="006E471E">
      <w:pPr>
        <w:pStyle w:val="RAN4H2"/>
      </w:pPr>
      <w:r>
        <w:t xml:space="preserve">UE requirements for SCell Dormancy </w:t>
      </w:r>
    </w:p>
    <w:p w14:paraId="1329A778" w14:textId="4B9E903E" w:rsidR="006E471E" w:rsidRDefault="006E471E" w:rsidP="003B659E">
      <w:pPr>
        <w:ind w:right="-22"/>
        <w:rPr>
          <w:rFonts w:cs="Times New Roman"/>
        </w:rPr>
      </w:pPr>
      <w:r>
        <w:rPr>
          <w:rFonts w:cs="Times New Roman"/>
        </w:rPr>
        <w:t xml:space="preserve">As noted, the SCell dormancy is controlled by BWP switch. Hence, when SCell enter dormancy it means it switches to a BWP which does not require the UE to monitor the PDCCH. The BWP switch command is received by the UE on the </w:t>
      </w:r>
      <w:r w:rsidRPr="00E23425">
        <w:rPr>
          <w:rFonts w:cs="Times New Roman"/>
        </w:rPr>
        <w:t>PCell</w:t>
      </w:r>
      <w:r w:rsidR="00E23425">
        <w:rPr>
          <w:rFonts w:cs="Times New Roman"/>
        </w:rPr>
        <w:t>.</w:t>
      </w:r>
      <w:r>
        <w:rPr>
          <w:rFonts w:cs="Times New Roman"/>
        </w:rPr>
        <w:t xml:space="preserve"> Similarly, the UE receives a BWP switch command on the PCell when the network want </w:t>
      </w:r>
      <w:r w:rsidR="005C5D26">
        <w:rPr>
          <w:rFonts w:cs="Times New Roman"/>
        </w:rPr>
        <w:t xml:space="preserve">to change </w:t>
      </w:r>
      <w:r>
        <w:rPr>
          <w:rFonts w:cs="Times New Roman"/>
        </w:rPr>
        <w:t xml:space="preserve">the SCell </w:t>
      </w:r>
      <w:r w:rsidR="005C5D26">
        <w:rPr>
          <w:rFonts w:cs="Times New Roman"/>
        </w:rPr>
        <w:t xml:space="preserve">from dormancy </w:t>
      </w:r>
      <w:r>
        <w:rPr>
          <w:rFonts w:cs="Times New Roman"/>
        </w:rPr>
        <w:t xml:space="preserve">to be in </w:t>
      </w:r>
      <w:r w:rsidR="005C5D26">
        <w:rPr>
          <w:rFonts w:cs="Times New Roman"/>
        </w:rPr>
        <w:t>non-</w:t>
      </w:r>
      <w:r>
        <w:rPr>
          <w:rFonts w:cs="Times New Roman"/>
        </w:rPr>
        <w:t>dormancy.</w:t>
      </w:r>
    </w:p>
    <w:p w14:paraId="5EE5ECBA" w14:textId="20C90A4E" w:rsidR="006E471E" w:rsidRDefault="006E471E" w:rsidP="006E471E">
      <w:pPr>
        <w:pStyle w:val="RAN4observation0"/>
      </w:pPr>
      <w:r>
        <w:t>RAN4 need to define UE delay requirements for changing dormancy SCell to non-dormancy SCell.</w:t>
      </w:r>
    </w:p>
    <w:p w14:paraId="5B9D286D" w14:textId="15299690" w:rsidR="006E471E" w:rsidRDefault="006E471E" w:rsidP="006E471E">
      <w:pPr>
        <w:pStyle w:val="RAN4observation0"/>
      </w:pPr>
      <w:r>
        <w:t>RAN4 need to define UE delay requirements for changing non-dormancy SCell to dormancy SCell.</w:t>
      </w:r>
    </w:p>
    <w:p w14:paraId="1AABC6AD" w14:textId="36BD4A09" w:rsidR="006E471E" w:rsidRDefault="000A30AA" w:rsidP="006E471E">
      <w:pPr>
        <w:rPr>
          <w:lang w:val="en-GB"/>
        </w:rPr>
      </w:pPr>
      <w:r>
        <w:rPr>
          <w:lang w:val="en-GB"/>
        </w:rPr>
        <w:t>It should be noted that</w:t>
      </w:r>
      <w:r w:rsidR="005C5D26">
        <w:rPr>
          <w:lang w:val="en-GB"/>
        </w:rPr>
        <w:t xml:space="preserve"> a</w:t>
      </w:r>
      <w:r>
        <w:rPr>
          <w:lang w:val="en-GB"/>
        </w:rPr>
        <w:t xml:space="preserve"> non-dormancy </w:t>
      </w:r>
      <w:r w:rsidR="005C5D26">
        <w:rPr>
          <w:lang w:val="en-GB"/>
        </w:rPr>
        <w:t xml:space="preserve">SCell </w:t>
      </w:r>
      <w:r>
        <w:rPr>
          <w:lang w:val="en-GB"/>
        </w:rPr>
        <w:t xml:space="preserve">is in fact same SCell condition as what is currently known as </w:t>
      </w:r>
      <w:r w:rsidR="005C5D26">
        <w:rPr>
          <w:lang w:val="en-GB"/>
        </w:rPr>
        <w:t xml:space="preserve">an </w:t>
      </w:r>
      <w:r>
        <w:rPr>
          <w:lang w:val="en-GB"/>
        </w:rPr>
        <w:t>activated</w:t>
      </w:r>
      <w:r w:rsidR="005C5D26">
        <w:rPr>
          <w:lang w:val="en-GB"/>
        </w:rPr>
        <w:t xml:space="preserve"> SCell</w:t>
      </w:r>
      <w:r>
        <w:rPr>
          <w:lang w:val="en-GB"/>
        </w:rPr>
        <w:t>.</w:t>
      </w:r>
    </w:p>
    <w:p w14:paraId="000174AE" w14:textId="6A091102" w:rsidR="000A30AA" w:rsidRDefault="000A30AA" w:rsidP="000A30AA">
      <w:pPr>
        <w:pStyle w:val="RAN4observation0"/>
      </w:pPr>
      <w:r>
        <w:t>RAN4 will need to agree on the naming for non-dormancy/fully activated SCell.</w:t>
      </w:r>
    </w:p>
    <w:p w14:paraId="78DE6625" w14:textId="16068B91" w:rsidR="000A30AA" w:rsidRDefault="000A30AA" w:rsidP="000A30AA">
      <w:pPr>
        <w:rPr>
          <w:lang w:val="en-GB"/>
        </w:rPr>
      </w:pPr>
      <w:r>
        <w:rPr>
          <w:lang w:val="en-GB"/>
        </w:rPr>
        <w:t>Difference between activated SCell in dormancy and activated SCell in non-dormancy is PDCCH monitoring. In that sense RAN4 could just use dormancy SCell when activated SCell is specifically in dormancy. And otherwise just refer to the SCell (which is not in dormancy) as activated.</w:t>
      </w:r>
      <w:r w:rsidR="005C5D26">
        <w:rPr>
          <w:lang w:val="en-GB"/>
        </w:rPr>
        <w:t xml:space="preserve"> For the specific switch requirements between dormancy and non-dormancy RAN4 could use the non-dormancy SCell.</w:t>
      </w:r>
    </w:p>
    <w:p w14:paraId="48A6F9C4" w14:textId="142507C1" w:rsidR="000A30AA" w:rsidRDefault="000A30AA" w:rsidP="000A30AA">
      <w:pPr>
        <w:pStyle w:val="RAN4proposal"/>
        <w:rPr>
          <w:lang w:val="en-GB"/>
        </w:rPr>
      </w:pPr>
      <w:r>
        <w:rPr>
          <w:lang w:val="en-GB"/>
        </w:rPr>
        <w:t>Use the naming activated SCell for an SCell in non-dormancy</w:t>
      </w:r>
      <w:r w:rsidR="005C5D26">
        <w:rPr>
          <w:lang w:val="en-GB"/>
        </w:rPr>
        <w:t>.</w:t>
      </w:r>
    </w:p>
    <w:p w14:paraId="563AC777" w14:textId="048B9C44" w:rsidR="000A30AA" w:rsidRPr="000A30AA" w:rsidRDefault="000A30AA" w:rsidP="000A30AA">
      <w:pPr>
        <w:pStyle w:val="RAN4proposal"/>
        <w:rPr>
          <w:lang w:val="en-GB"/>
        </w:rPr>
      </w:pPr>
      <w:r>
        <w:rPr>
          <w:lang w:val="en-GB"/>
        </w:rPr>
        <w:t>Use the naming dormancy SCell when the activated SCell is in dormancy.</w:t>
      </w:r>
    </w:p>
    <w:p w14:paraId="4E00072D" w14:textId="2F0D2D78" w:rsidR="000A30AA" w:rsidRDefault="000A30AA" w:rsidP="006E471E">
      <w:pPr>
        <w:rPr>
          <w:lang w:val="en-GB"/>
        </w:rPr>
      </w:pPr>
      <w:r>
        <w:rPr>
          <w:lang w:val="en-GB"/>
        </w:rPr>
        <w:t>As the change between SCell dormancy and activated SCell</w:t>
      </w:r>
      <w:r w:rsidR="005C5D26">
        <w:rPr>
          <w:lang w:val="en-GB"/>
        </w:rPr>
        <w:t>,</w:t>
      </w:r>
      <w:r>
        <w:rPr>
          <w:lang w:val="en-GB"/>
        </w:rPr>
        <w:t xml:space="preserve"> and the other way</w:t>
      </w:r>
      <w:r w:rsidR="005C5D26">
        <w:rPr>
          <w:lang w:val="en-GB"/>
        </w:rPr>
        <w:t>,</w:t>
      </w:r>
      <w:r>
        <w:rPr>
          <w:lang w:val="en-GB"/>
        </w:rPr>
        <w:t xml:space="preserve"> is done by BWP switch RAN4 need to define related UE </w:t>
      </w:r>
      <w:r w:rsidR="005C5D26">
        <w:rPr>
          <w:lang w:val="en-GB"/>
        </w:rPr>
        <w:t xml:space="preserve">requirements </w:t>
      </w:r>
      <w:r>
        <w:rPr>
          <w:lang w:val="en-GB"/>
        </w:rPr>
        <w:t xml:space="preserve">for BWP </w:t>
      </w:r>
      <w:r w:rsidR="005C5D26">
        <w:rPr>
          <w:lang w:val="en-GB"/>
        </w:rPr>
        <w:t xml:space="preserve">switches </w:t>
      </w:r>
      <w:r>
        <w:rPr>
          <w:lang w:val="en-GB"/>
        </w:rPr>
        <w:t>in and out of SCell dormancy</w:t>
      </w:r>
      <w:r w:rsidR="005C5D26">
        <w:rPr>
          <w:lang w:val="en-GB"/>
        </w:rPr>
        <w:t>. This can be done</w:t>
      </w:r>
      <w:r>
        <w:rPr>
          <w:lang w:val="en-GB"/>
        </w:rPr>
        <w:t xml:space="preserve"> by </w:t>
      </w:r>
      <w:r w:rsidR="005C5D26">
        <w:rPr>
          <w:lang w:val="en-GB"/>
        </w:rPr>
        <w:t>defining</w:t>
      </w:r>
      <w:r>
        <w:rPr>
          <w:lang w:val="en-GB"/>
        </w:rPr>
        <w:t xml:space="preserve"> </w:t>
      </w:r>
      <w:r w:rsidR="005C5D26">
        <w:rPr>
          <w:lang w:val="en-GB"/>
        </w:rPr>
        <w:t xml:space="preserve">related </w:t>
      </w:r>
      <w:r>
        <w:rPr>
          <w:lang w:val="en-GB"/>
        </w:rPr>
        <w:t>BWP switch</w:t>
      </w:r>
      <w:r w:rsidR="005C5D26">
        <w:rPr>
          <w:lang w:val="en-GB"/>
        </w:rPr>
        <w:t xml:space="preserve"> delay</w:t>
      </w:r>
      <w:r>
        <w:rPr>
          <w:lang w:val="en-GB"/>
        </w:rPr>
        <w:t>.</w:t>
      </w:r>
    </w:p>
    <w:p w14:paraId="6DED5F8B" w14:textId="77F2E409" w:rsidR="000A30AA" w:rsidRDefault="000A30AA" w:rsidP="000A30AA">
      <w:pPr>
        <w:pStyle w:val="RAN4proposal"/>
        <w:rPr>
          <w:lang w:val="en-GB"/>
        </w:rPr>
      </w:pPr>
      <w:r>
        <w:rPr>
          <w:lang w:val="en-GB"/>
        </w:rPr>
        <w:t xml:space="preserve">RAN4 defines UE BWP switch requirement </w:t>
      </w:r>
      <w:r w:rsidR="00AD4844">
        <w:rPr>
          <w:lang w:val="en-GB"/>
        </w:rPr>
        <w:t>for entering SCell dormancy.</w:t>
      </w:r>
    </w:p>
    <w:p w14:paraId="423F381B" w14:textId="427E0782" w:rsidR="00AD4844" w:rsidRPr="00AD4844" w:rsidRDefault="00AD4844" w:rsidP="00AD4844">
      <w:pPr>
        <w:pStyle w:val="RAN4proposal"/>
        <w:rPr>
          <w:lang w:val="en-GB"/>
        </w:rPr>
      </w:pPr>
      <w:r>
        <w:rPr>
          <w:lang w:val="en-GB"/>
        </w:rPr>
        <w:t>RAN4 defines UE BWP switch requirements for leaving SCell dormancy.</w:t>
      </w:r>
    </w:p>
    <w:p w14:paraId="265ED5DC" w14:textId="449B3CD4" w:rsidR="000A30AA" w:rsidRDefault="00AD4844" w:rsidP="006E471E">
      <w:pPr>
        <w:rPr>
          <w:lang w:val="en-GB"/>
        </w:rPr>
      </w:pPr>
      <w:r>
        <w:rPr>
          <w:lang w:val="en-GB"/>
        </w:rPr>
        <w:t xml:space="preserve">We see that the current BWP switch delay </w:t>
      </w:r>
      <w:r w:rsidR="000D0D11">
        <w:rPr>
          <w:lang w:val="en-GB"/>
        </w:rPr>
        <w:t xml:space="preserve">requirements </w:t>
      </w:r>
      <w:r>
        <w:rPr>
          <w:lang w:val="en-GB"/>
        </w:rPr>
        <w:t>can be used as baseline for defining the</w:t>
      </w:r>
      <w:r w:rsidR="000D0D11">
        <w:rPr>
          <w:lang w:val="en-GB"/>
        </w:rPr>
        <w:t xml:space="preserve"> new dormancy BWP switch delay </w:t>
      </w:r>
      <w:r>
        <w:rPr>
          <w:lang w:val="en-GB"/>
        </w:rPr>
        <w:t>requirements.</w:t>
      </w:r>
    </w:p>
    <w:p w14:paraId="5E419755" w14:textId="77777777" w:rsidR="00AD4844" w:rsidRDefault="00AD4844" w:rsidP="006E471E">
      <w:pPr>
        <w:rPr>
          <w:lang w:val="en-GB"/>
        </w:rPr>
      </w:pPr>
    </w:p>
    <w:p w14:paraId="2935F381" w14:textId="442BFFBF" w:rsidR="00AD4844" w:rsidRDefault="00AA7168" w:rsidP="00AA7168">
      <w:pPr>
        <w:pStyle w:val="RAN4H2"/>
        <w:rPr>
          <w:lang w:val="en-GB"/>
        </w:rPr>
      </w:pPr>
      <w:r>
        <w:rPr>
          <w:lang w:val="en-GB"/>
        </w:rPr>
        <w:t>Dormancy BWP switch delay requirements</w:t>
      </w:r>
    </w:p>
    <w:p w14:paraId="1975FB09" w14:textId="77777777" w:rsidR="00AA7168" w:rsidRDefault="00AA7168" w:rsidP="006E471E">
      <w:pPr>
        <w:rPr>
          <w:lang w:val="en-GB"/>
        </w:rPr>
      </w:pPr>
      <w:r>
        <w:rPr>
          <w:lang w:val="en-GB"/>
        </w:rPr>
        <w:t>Listing the very basic requirements assumed for a dormancy SCell by RAN1 and RAN2:</w:t>
      </w:r>
    </w:p>
    <w:p w14:paraId="5E2C54D8" w14:textId="77777777" w:rsidR="00AA7168" w:rsidRDefault="00AA7168" w:rsidP="00AA7168">
      <w:pPr>
        <w:pStyle w:val="ListParagraph"/>
        <w:numPr>
          <w:ilvl w:val="0"/>
          <w:numId w:val="23"/>
        </w:numPr>
        <w:ind w:right="-22"/>
        <w:rPr>
          <w:rFonts w:eastAsia="Calibri" w:cs="Times New Roman"/>
          <w:szCs w:val="20"/>
          <w:lang w:val="en-GB"/>
        </w:rPr>
      </w:pPr>
      <w:r>
        <w:rPr>
          <w:rFonts w:eastAsia="Calibri" w:cs="Times New Roman"/>
          <w:szCs w:val="20"/>
          <w:lang w:val="en-GB"/>
        </w:rPr>
        <w:t>An SCell in dormancy is not deactivated</w:t>
      </w:r>
    </w:p>
    <w:p w14:paraId="65BFD4BB" w14:textId="77777777" w:rsidR="00AA7168" w:rsidRPr="00E21659" w:rsidRDefault="00AA7168" w:rsidP="00AA7168">
      <w:pPr>
        <w:pStyle w:val="ListParagraph"/>
        <w:numPr>
          <w:ilvl w:val="0"/>
          <w:numId w:val="23"/>
        </w:numPr>
        <w:ind w:right="-22"/>
        <w:rPr>
          <w:rFonts w:eastAsia="Calibri" w:cs="Times New Roman"/>
          <w:bCs/>
          <w:szCs w:val="20"/>
          <w:lang w:val="en-GB"/>
        </w:rPr>
      </w:pPr>
      <w:r>
        <w:rPr>
          <w:rFonts w:eastAsia="Calibri" w:cs="Times New Roman"/>
          <w:bCs/>
          <w:szCs w:val="20"/>
        </w:rPr>
        <w:t>T</w:t>
      </w:r>
      <w:r w:rsidRPr="00E21659">
        <w:rPr>
          <w:rFonts w:eastAsia="Calibri" w:cs="Times New Roman"/>
          <w:bCs/>
          <w:szCs w:val="20"/>
        </w:rPr>
        <w:t>he UE stops monitoring PDCCH on SCell</w:t>
      </w:r>
    </w:p>
    <w:p w14:paraId="1E7B0533" w14:textId="77777777" w:rsidR="00AA7168" w:rsidRPr="00AA7168" w:rsidRDefault="00AA7168" w:rsidP="00AA7168">
      <w:pPr>
        <w:pStyle w:val="ListParagraph"/>
        <w:numPr>
          <w:ilvl w:val="0"/>
          <w:numId w:val="23"/>
        </w:numPr>
        <w:ind w:right="-22"/>
        <w:rPr>
          <w:rFonts w:eastAsia="Calibri" w:cs="Times New Roman"/>
          <w:bCs/>
          <w:szCs w:val="20"/>
          <w:lang w:val="en-GB"/>
        </w:rPr>
      </w:pPr>
      <w:bookmarkStart w:id="4" w:name="_Hlk32483577"/>
      <w:r>
        <w:rPr>
          <w:rFonts w:eastAsia="Calibri" w:cs="Times New Roman"/>
          <w:bCs/>
          <w:szCs w:val="20"/>
        </w:rPr>
        <w:t>The UE</w:t>
      </w:r>
      <w:r w:rsidRPr="00E21659">
        <w:rPr>
          <w:rFonts w:eastAsia="Calibri" w:cs="Times New Roman"/>
          <w:bCs/>
          <w:szCs w:val="20"/>
        </w:rPr>
        <w:t xml:space="preserve"> continue performing</w:t>
      </w:r>
      <w:r>
        <w:rPr>
          <w:rFonts w:eastAsia="Calibri" w:cs="Times New Roman"/>
          <w:bCs/>
          <w:szCs w:val="20"/>
        </w:rPr>
        <w:t>:</w:t>
      </w:r>
    </w:p>
    <w:p w14:paraId="0CA9F6C4" w14:textId="77777777" w:rsidR="00AA7168" w:rsidRPr="00AA7168" w:rsidRDefault="00AA7168" w:rsidP="00AA7168">
      <w:pPr>
        <w:pStyle w:val="ListParagraph"/>
        <w:numPr>
          <w:ilvl w:val="1"/>
          <w:numId w:val="23"/>
        </w:numPr>
        <w:ind w:right="-22"/>
        <w:rPr>
          <w:rFonts w:eastAsia="Calibri" w:cs="Times New Roman"/>
          <w:bCs/>
          <w:szCs w:val="20"/>
          <w:lang w:val="en-GB"/>
        </w:rPr>
      </w:pPr>
      <w:r w:rsidRPr="00E21659">
        <w:rPr>
          <w:rFonts w:eastAsia="Calibri" w:cs="Times New Roman"/>
          <w:bCs/>
          <w:szCs w:val="20"/>
        </w:rPr>
        <w:t xml:space="preserve">CSI measurements, </w:t>
      </w:r>
    </w:p>
    <w:p w14:paraId="6CBB12C5" w14:textId="77777777" w:rsidR="00AA7168" w:rsidRPr="00AA7168" w:rsidRDefault="00AA7168" w:rsidP="00AA7168">
      <w:pPr>
        <w:pStyle w:val="ListParagraph"/>
        <w:numPr>
          <w:ilvl w:val="1"/>
          <w:numId w:val="23"/>
        </w:numPr>
        <w:ind w:right="-22"/>
        <w:rPr>
          <w:rFonts w:eastAsia="Calibri" w:cs="Times New Roman"/>
          <w:bCs/>
          <w:szCs w:val="20"/>
          <w:lang w:val="en-GB"/>
        </w:rPr>
      </w:pPr>
      <w:r w:rsidRPr="00AA7168">
        <w:rPr>
          <w:rFonts w:eastAsia="Calibri" w:cs="Times New Roman"/>
          <w:bCs/>
          <w:szCs w:val="20"/>
        </w:rPr>
        <w:t>AGC</w:t>
      </w:r>
      <w:r>
        <w:rPr>
          <w:rFonts w:eastAsia="Calibri" w:cs="Times New Roman"/>
          <w:bCs/>
          <w:szCs w:val="20"/>
        </w:rPr>
        <w:t>,</w:t>
      </w:r>
      <w:r w:rsidRPr="00AA7168">
        <w:rPr>
          <w:rFonts w:eastAsia="Calibri" w:cs="Times New Roman"/>
          <w:bCs/>
          <w:szCs w:val="20"/>
        </w:rPr>
        <w:t xml:space="preserve"> and </w:t>
      </w:r>
    </w:p>
    <w:p w14:paraId="0B510A37" w14:textId="2DD558C4" w:rsidR="00AA7168" w:rsidRPr="00AA7168" w:rsidRDefault="00AA7168" w:rsidP="00AA7168">
      <w:pPr>
        <w:pStyle w:val="ListParagraph"/>
        <w:numPr>
          <w:ilvl w:val="1"/>
          <w:numId w:val="23"/>
        </w:numPr>
        <w:ind w:right="-22"/>
        <w:rPr>
          <w:rFonts w:eastAsia="Calibri" w:cs="Times New Roman"/>
          <w:bCs/>
          <w:szCs w:val="20"/>
          <w:lang w:val="en-GB"/>
        </w:rPr>
      </w:pPr>
      <w:r w:rsidRPr="00AA7168">
        <w:rPr>
          <w:rFonts w:eastAsia="Calibri" w:cs="Times New Roman"/>
          <w:bCs/>
          <w:szCs w:val="20"/>
        </w:rPr>
        <w:t>beam management, if configured</w:t>
      </w:r>
    </w:p>
    <w:bookmarkEnd w:id="4"/>
    <w:p w14:paraId="66FF1734" w14:textId="649338B5" w:rsidR="00AA7168" w:rsidRDefault="00AA7168" w:rsidP="006E471E">
      <w:pPr>
        <w:rPr>
          <w:lang w:val="en-GB"/>
        </w:rPr>
      </w:pPr>
      <w:r>
        <w:rPr>
          <w:lang w:val="en-GB"/>
        </w:rPr>
        <w:t xml:space="preserve">This means that for a dormancy SCell, because it is </w:t>
      </w:r>
      <w:r w:rsidR="007B1978">
        <w:rPr>
          <w:lang w:val="en-GB"/>
        </w:rPr>
        <w:t xml:space="preserve">regarded as </w:t>
      </w:r>
      <w:r w:rsidR="00F72D6A">
        <w:rPr>
          <w:lang w:val="en-GB"/>
        </w:rPr>
        <w:t xml:space="preserve">in </w:t>
      </w:r>
      <w:r>
        <w:rPr>
          <w:lang w:val="en-GB"/>
        </w:rPr>
        <w:t>activated</w:t>
      </w:r>
      <w:r w:rsidR="00F72D6A">
        <w:rPr>
          <w:lang w:val="en-GB"/>
        </w:rPr>
        <w:t xml:space="preserve"> state</w:t>
      </w:r>
      <w:r>
        <w:rPr>
          <w:lang w:val="en-GB"/>
        </w:rPr>
        <w:t xml:space="preserve">, </w:t>
      </w:r>
      <w:r w:rsidR="00F72D6A">
        <w:rPr>
          <w:lang w:val="en-GB"/>
        </w:rPr>
        <w:t xml:space="preserve">it </w:t>
      </w:r>
      <w:r>
        <w:rPr>
          <w:lang w:val="en-GB"/>
        </w:rPr>
        <w:t>follow</w:t>
      </w:r>
      <w:r w:rsidR="00F72D6A">
        <w:rPr>
          <w:lang w:val="en-GB"/>
        </w:rPr>
        <w:t>s</w:t>
      </w:r>
      <w:r>
        <w:rPr>
          <w:lang w:val="en-GB"/>
        </w:rPr>
        <w:t xml:space="preserve"> the PCell DRX rules. Additionally, </w:t>
      </w:r>
      <w:r w:rsidR="00EB255F">
        <w:rPr>
          <w:lang w:val="en-GB"/>
        </w:rPr>
        <w:t xml:space="preserve">as the UE </w:t>
      </w:r>
      <w:r>
        <w:rPr>
          <w:lang w:val="en-GB"/>
        </w:rPr>
        <w:t>shall perform CSI measurement</w:t>
      </w:r>
      <w:r w:rsidR="00EB255F">
        <w:rPr>
          <w:lang w:val="en-GB"/>
        </w:rPr>
        <w:t>s</w:t>
      </w:r>
      <w:r>
        <w:rPr>
          <w:lang w:val="en-GB"/>
        </w:rPr>
        <w:t xml:space="preserve">, track the AGC continuously and perform measurements enabling beam management, the UE would need to </w:t>
      </w:r>
      <w:r w:rsidR="00793B81">
        <w:rPr>
          <w:lang w:val="en-GB"/>
        </w:rPr>
        <w:t>track the timing of the SCell as well as for an activated SCell.</w:t>
      </w:r>
    </w:p>
    <w:p w14:paraId="22FCA714" w14:textId="065B2E19" w:rsidR="00FE2FD7" w:rsidRDefault="00FE2FD7" w:rsidP="00FE2FD7">
      <w:pPr>
        <w:pStyle w:val="RAN4observation0"/>
      </w:pPr>
      <w:r>
        <w:t>The dormancy SCell is activated</w:t>
      </w:r>
      <w:r w:rsidR="00F72D6A">
        <w:t xml:space="preserve">. </w:t>
      </w:r>
    </w:p>
    <w:p w14:paraId="50730E43" w14:textId="6F369456" w:rsidR="00F72D6A" w:rsidRDefault="00F72D6A" w:rsidP="00F72D6A">
      <w:r>
        <w:rPr>
          <w:lang w:val="en-GB"/>
        </w:rPr>
        <w:lastRenderedPageBreak/>
        <w:t>Our understanding is that this also means that a</w:t>
      </w:r>
      <w:r>
        <w:t xml:space="preserve"> dormancy SCell requirements follows activated SCell requirements.</w:t>
      </w:r>
    </w:p>
    <w:p w14:paraId="1BE59D1C" w14:textId="05ED9887" w:rsidR="00F72D6A" w:rsidRPr="00F72D6A" w:rsidRDefault="00C965E2" w:rsidP="00EF10F1">
      <w:pPr>
        <w:pStyle w:val="RAN4proposal"/>
        <w:rPr>
          <w:lang w:val="en-GB"/>
        </w:rPr>
      </w:pPr>
      <w:r>
        <w:t>UE requirements for d</w:t>
      </w:r>
      <w:r w:rsidR="00EF10F1">
        <w:t>ormancy SCell requirements follows activated SCell requirements.</w:t>
      </w:r>
    </w:p>
    <w:p w14:paraId="0456AE89" w14:textId="2C069CF3" w:rsidR="00EF10F1" w:rsidRDefault="00EF10F1" w:rsidP="00EF10F1">
      <w:pPr>
        <w:pStyle w:val="RAN4observation0"/>
        <w:numPr>
          <w:ilvl w:val="0"/>
          <w:numId w:val="0"/>
        </w:numPr>
      </w:pPr>
      <w:r>
        <w:t>Which also leads to that the UE time tracking of a dormancy SCell is expected to be as good as for activated SCell.</w:t>
      </w:r>
    </w:p>
    <w:p w14:paraId="4066D54C" w14:textId="2AC1ABAF" w:rsidR="00793B81" w:rsidRDefault="00793B81" w:rsidP="00793B81">
      <w:pPr>
        <w:pStyle w:val="RAN4observation0"/>
      </w:pPr>
      <w:r>
        <w:t xml:space="preserve">UE time tracking of a dormancy SCell is </w:t>
      </w:r>
      <w:r w:rsidR="00CD7CC3">
        <w:t>assumed</w:t>
      </w:r>
      <w:r>
        <w:t xml:space="preserve"> as good as for </w:t>
      </w:r>
      <w:r w:rsidR="00CD7CC3">
        <w:t xml:space="preserve">an </w:t>
      </w:r>
      <w:r>
        <w:t>activated SCell.</w:t>
      </w:r>
    </w:p>
    <w:p w14:paraId="321508E3" w14:textId="78F864B1" w:rsidR="00AD4844" w:rsidRDefault="00793B81" w:rsidP="006E471E">
      <w:pPr>
        <w:rPr>
          <w:lang w:val="en-GB"/>
        </w:rPr>
      </w:pPr>
      <w:r>
        <w:rPr>
          <w:lang w:val="en-GB"/>
        </w:rPr>
        <w:t>Th</w:t>
      </w:r>
      <w:r w:rsidR="00333677">
        <w:rPr>
          <w:lang w:val="en-GB"/>
        </w:rPr>
        <w:t>ese</w:t>
      </w:r>
      <w:r>
        <w:rPr>
          <w:lang w:val="en-GB"/>
        </w:rPr>
        <w:t xml:space="preserve"> observation</w:t>
      </w:r>
      <w:r w:rsidR="00333677">
        <w:rPr>
          <w:lang w:val="en-GB"/>
        </w:rPr>
        <w:t>s</w:t>
      </w:r>
      <w:r>
        <w:rPr>
          <w:lang w:val="en-GB"/>
        </w:rPr>
        <w:t xml:space="preserve"> </w:t>
      </w:r>
      <w:r w:rsidR="00333677">
        <w:rPr>
          <w:lang w:val="en-GB"/>
        </w:rPr>
        <w:t>are</w:t>
      </w:r>
      <w:r>
        <w:rPr>
          <w:lang w:val="en-GB"/>
        </w:rPr>
        <w:t xml:space="preserve"> important when discussing the BWP switch delay when switching from dormancy to non-dormancy (fully activated)</w:t>
      </w:r>
      <w:r w:rsidR="0094654D">
        <w:rPr>
          <w:lang w:val="en-GB"/>
        </w:rPr>
        <w:t xml:space="preserve">, as this means that the UE would not need any additional time tracking relaxation during that BWP switch. Hence, from time and frequency tracking point of view we </w:t>
      </w:r>
      <w:r w:rsidR="00333677">
        <w:rPr>
          <w:lang w:val="en-GB"/>
        </w:rPr>
        <w:t xml:space="preserve">do not </w:t>
      </w:r>
      <w:r w:rsidR="0094654D">
        <w:rPr>
          <w:lang w:val="en-GB"/>
        </w:rPr>
        <w:t xml:space="preserve">expect </w:t>
      </w:r>
      <w:r w:rsidR="00333677">
        <w:rPr>
          <w:lang w:val="en-GB"/>
        </w:rPr>
        <w:t>any</w:t>
      </w:r>
      <w:r w:rsidR="0094654D">
        <w:rPr>
          <w:lang w:val="en-GB"/>
        </w:rPr>
        <w:t xml:space="preserve"> additional delay</w:t>
      </w:r>
      <w:r w:rsidR="00333677">
        <w:rPr>
          <w:lang w:val="en-GB"/>
        </w:rPr>
        <w:t>, compared to existing BWP switch delay,</w:t>
      </w:r>
      <w:r w:rsidR="0094654D">
        <w:rPr>
          <w:lang w:val="en-GB"/>
        </w:rPr>
        <w:t xml:space="preserve"> when switching BWP from dormancy to non-dormancy.</w:t>
      </w:r>
    </w:p>
    <w:p w14:paraId="23245174" w14:textId="5555CD57" w:rsidR="0094654D" w:rsidRDefault="0094654D" w:rsidP="0094654D">
      <w:pPr>
        <w:pStyle w:val="RAN4observation0"/>
      </w:pPr>
      <w:r>
        <w:t>No additional time- and frequency tracking delay is needed when switching BWP from dormancy to non-dormancy.</w:t>
      </w:r>
    </w:p>
    <w:p w14:paraId="0CEB17F3" w14:textId="213C313D" w:rsidR="00793B81" w:rsidRDefault="0094654D" w:rsidP="006E471E">
      <w:pPr>
        <w:rPr>
          <w:lang w:val="en-GB"/>
        </w:rPr>
      </w:pPr>
      <w:r>
        <w:rPr>
          <w:lang w:val="en-GB"/>
        </w:rPr>
        <w:t xml:space="preserve">We expect the same </w:t>
      </w:r>
      <w:r w:rsidR="005F4828">
        <w:rPr>
          <w:lang w:val="en-GB"/>
        </w:rPr>
        <w:t xml:space="preserve">assumption </w:t>
      </w:r>
      <w:r>
        <w:rPr>
          <w:lang w:val="en-GB"/>
        </w:rPr>
        <w:t>when changing from non-dormancy to dormancy.</w:t>
      </w:r>
    </w:p>
    <w:p w14:paraId="441CE25A" w14:textId="44A5497E" w:rsidR="0060539A" w:rsidRDefault="0060539A" w:rsidP="0060539A">
      <w:pPr>
        <w:pStyle w:val="RAN4observation0"/>
      </w:pPr>
      <w:r>
        <w:t>No additional time- and frequency tracking delay is needed when switching BWP from non-dormancy to dormancy.</w:t>
      </w:r>
    </w:p>
    <w:p w14:paraId="5A7BAA1C" w14:textId="77777777" w:rsidR="00EF5D38" w:rsidRDefault="00E04536" w:rsidP="006E471E">
      <w:pPr>
        <w:rPr>
          <w:lang w:val="en-GB"/>
        </w:rPr>
      </w:pPr>
      <w:r>
        <w:rPr>
          <w:lang w:val="en-GB"/>
        </w:rPr>
        <w:t xml:space="preserve">Hence, assuming no other change in the SCell when changing from dormancy to non-dormancy than the </w:t>
      </w:r>
      <w:r w:rsidR="00EF5D38">
        <w:rPr>
          <w:lang w:val="en-GB"/>
        </w:rPr>
        <w:t xml:space="preserve">actual </w:t>
      </w:r>
      <w:r>
        <w:rPr>
          <w:lang w:val="en-GB"/>
        </w:rPr>
        <w:t xml:space="preserve">UE switch </w:t>
      </w:r>
      <w:r w:rsidR="00EF5D38">
        <w:rPr>
          <w:lang w:val="en-GB"/>
        </w:rPr>
        <w:t xml:space="preserve">of </w:t>
      </w:r>
      <w:r>
        <w:rPr>
          <w:lang w:val="en-GB"/>
        </w:rPr>
        <w:t>th</w:t>
      </w:r>
      <w:r w:rsidR="005F4828">
        <w:rPr>
          <w:lang w:val="en-GB"/>
        </w:rPr>
        <w:t>e</w:t>
      </w:r>
      <w:r>
        <w:rPr>
          <w:lang w:val="en-GB"/>
        </w:rPr>
        <w:t xml:space="preserve"> BWP, RAN4 co</w:t>
      </w:r>
      <w:r w:rsidR="005F4828">
        <w:rPr>
          <w:lang w:val="en-GB"/>
        </w:rPr>
        <w:t>u</w:t>
      </w:r>
      <w:r>
        <w:rPr>
          <w:lang w:val="en-GB"/>
        </w:rPr>
        <w:t>ld readily re-use existing BWP sw</w:t>
      </w:r>
      <w:r w:rsidR="007B7457">
        <w:rPr>
          <w:lang w:val="en-GB"/>
        </w:rPr>
        <w:t>itch delay requirements</w:t>
      </w:r>
      <w:r w:rsidR="005F4828">
        <w:rPr>
          <w:lang w:val="en-GB"/>
        </w:rPr>
        <w:t xml:space="preserve"> for SCell dormancy </w:t>
      </w:r>
      <w:r w:rsidR="00C965E2">
        <w:rPr>
          <w:lang w:val="en-GB"/>
        </w:rPr>
        <w:t>BWP switch</w:t>
      </w:r>
      <w:r w:rsidR="005F4828">
        <w:rPr>
          <w:lang w:val="en-GB"/>
        </w:rPr>
        <w:t xml:space="preserve"> delay</w:t>
      </w:r>
      <w:r w:rsidR="00EF5D38">
        <w:rPr>
          <w:lang w:val="en-GB"/>
        </w:rPr>
        <w:t>, as baseline</w:t>
      </w:r>
      <w:r w:rsidR="005F4828">
        <w:rPr>
          <w:lang w:val="en-GB"/>
        </w:rPr>
        <w:t>.</w:t>
      </w:r>
      <w:r w:rsidR="00C965E2">
        <w:rPr>
          <w:lang w:val="en-GB"/>
        </w:rPr>
        <w:t xml:space="preserve"> </w:t>
      </w:r>
    </w:p>
    <w:p w14:paraId="347119D6" w14:textId="77506727" w:rsidR="00CB0486" w:rsidRDefault="00C965E2" w:rsidP="006E471E">
      <w:pPr>
        <w:rPr>
          <w:lang w:val="en-GB"/>
        </w:rPr>
      </w:pPr>
      <w:r>
        <w:rPr>
          <w:lang w:val="en-GB"/>
        </w:rPr>
        <w:t>As</w:t>
      </w:r>
      <w:r w:rsidR="005F4828">
        <w:rPr>
          <w:lang w:val="en-GB"/>
        </w:rPr>
        <w:t xml:space="preserve"> the BWP command for changing from dormancy to non-dormancy is received on the PCell, and not on the </w:t>
      </w:r>
      <w:r>
        <w:rPr>
          <w:lang w:val="en-GB"/>
        </w:rPr>
        <w:t>SC</w:t>
      </w:r>
      <w:r w:rsidR="005F4828">
        <w:rPr>
          <w:lang w:val="en-GB"/>
        </w:rPr>
        <w:t xml:space="preserve">ell on which the BWP is to be switched, </w:t>
      </w:r>
      <w:r w:rsidR="00EF5D38">
        <w:rPr>
          <w:lang w:val="en-GB"/>
        </w:rPr>
        <w:t>RAN4 would need to discuss whether</w:t>
      </w:r>
      <w:r>
        <w:rPr>
          <w:lang w:val="en-GB"/>
        </w:rPr>
        <w:t xml:space="preserve"> the</w:t>
      </w:r>
      <w:r w:rsidR="00A221D5">
        <w:rPr>
          <w:lang w:val="en-GB"/>
        </w:rPr>
        <w:t xml:space="preserve"> UE </w:t>
      </w:r>
      <w:r>
        <w:rPr>
          <w:lang w:val="en-GB"/>
        </w:rPr>
        <w:t>should be</w:t>
      </w:r>
      <w:r w:rsidR="00A221D5">
        <w:rPr>
          <w:lang w:val="en-GB"/>
        </w:rPr>
        <w:t xml:space="preserve"> allowed an additional delay</w:t>
      </w:r>
      <w:r w:rsidR="007B7457">
        <w:rPr>
          <w:lang w:val="en-GB"/>
        </w:rPr>
        <w:t xml:space="preserve"> </w:t>
      </w:r>
      <w:r w:rsidR="00A221D5">
        <w:rPr>
          <w:lang w:val="en-GB"/>
        </w:rPr>
        <w:t xml:space="preserve">in the </w:t>
      </w:r>
      <w:r w:rsidR="00EF5D38">
        <w:rPr>
          <w:lang w:val="en-GB"/>
        </w:rPr>
        <w:t xml:space="preserve">dormancy </w:t>
      </w:r>
      <w:r>
        <w:rPr>
          <w:lang w:val="en-GB"/>
        </w:rPr>
        <w:t>BWP switch delay</w:t>
      </w:r>
      <w:r w:rsidR="00EF5D38">
        <w:rPr>
          <w:lang w:val="en-GB"/>
        </w:rPr>
        <w:t>.</w:t>
      </w:r>
    </w:p>
    <w:p w14:paraId="62923428" w14:textId="4DA91EBB" w:rsidR="00EF5D38" w:rsidRDefault="00EF5D38" w:rsidP="006E471E">
      <w:pPr>
        <w:rPr>
          <w:lang w:val="en-GB"/>
        </w:rPr>
      </w:pPr>
      <w:r>
        <w:rPr>
          <w:lang w:val="en-GB"/>
        </w:rPr>
        <w:t>As mentioned, the difference from Rel-15 BWP switch and dormancy BWP switch is conveying internally in the UE the BWP switch instruction from PCell receiver chain to dormancy SCell receiver chain, who would then execute the actual BWP switch.</w:t>
      </w:r>
    </w:p>
    <w:p w14:paraId="2BA1AAEC" w14:textId="142D095C" w:rsidR="00A221D5" w:rsidRDefault="00EF5D38" w:rsidP="006E471E">
      <w:pPr>
        <w:rPr>
          <w:lang w:val="en-GB"/>
        </w:rPr>
      </w:pPr>
      <w:r>
        <w:rPr>
          <w:lang w:val="en-GB"/>
        </w:rPr>
        <w:t>T</w:t>
      </w:r>
      <w:r w:rsidR="00C965E2">
        <w:rPr>
          <w:lang w:val="en-GB"/>
        </w:rPr>
        <w:t xml:space="preserve">he current BWP switch delay already consider the PDCCH decoding delay, and as the dormant SCell follows the PCell DRX the SCell is active and only need to switch the BWP. </w:t>
      </w:r>
      <w:r>
        <w:rPr>
          <w:lang w:val="en-GB"/>
        </w:rPr>
        <w:t>We do not expect that internal routing in the UE of the BWP switch command would be measurable</w:t>
      </w:r>
      <w:r w:rsidR="00670D34">
        <w:rPr>
          <w:lang w:val="en-GB"/>
        </w:rPr>
        <w:t xml:space="preserve"> in terms of BWP switch delay requirements</w:t>
      </w:r>
      <w:r>
        <w:rPr>
          <w:lang w:val="en-GB"/>
        </w:rPr>
        <w:t xml:space="preserve">. </w:t>
      </w:r>
      <w:r w:rsidR="00C965E2">
        <w:rPr>
          <w:lang w:val="en-GB"/>
        </w:rPr>
        <w:t>Based on this we do not see a need for relaxing the current BWP switch delay requirements for dormancy BWP switch.</w:t>
      </w:r>
    </w:p>
    <w:p w14:paraId="7ACD4BC1" w14:textId="48929880" w:rsidR="0060539A" w:rsidRDefault="00C965E2" w:rsidP="00C965E2">
      <w:pPr>
        <w:pStyle w:val="RAN4proposal"/>
        <w:rPr>
          <w:lang w:val="en-GB"/>
        </w:rPr>
      </w:pPr>
      <w:r>
        <w:rPr>
          <w:lang w:val="en-GB"/>
        </w:rPr>
        <w:t>Re-use existing BWP switch delay requirements for SCell dormancy BWP switch delay.</w:t>
      </w:r>
    </w:p>
    <w:p w14:paraId="16EE5317" w14:textId="670B6C79" w:rsidR="0094654D" w:rsidRDefault="0094654D" w:rsidP="006E471E">
      <w:pPr>
        <w:rPr>
          <w:lang w:val="en-GB"/>
        </w:rPr>
      </w:pPr>
    </w:p>
    <w:p w14:paraId="761516E1" w14:textId="57398B70" w:rsidR="00CD7492" w:rsidRPr="005E6635" w:rsidRDefault="00CD7492" w:rsidP="00A37002">
      <w:pPr>
        <w:pStyle w:val="RAN4H1"/>
      </w:pPr>
      <w:r w:rsidRPr="005E6635">
        <w:t>Conclusion</w:t>
      </w:r>
    </w:p>
    <w:p w14:paraId="55A71F34" w14:textId="626447E9" w:rsidR="00AD4844" w:rsidRDefault="001878A4" w:rsidP="00AD4844">
      <w:pPr>
        <w:rPr>
          <w:rFonts w:eastAsia="Calibri" w:cs="Times New Roman"/>
          <w:szCs w:val="20"/>
          <w:lang w:val="en-GB"/>
        </w:rPr>
      </w:pPr>
      <w:r>
        <w:rPr>
          <w:rFonts w:eastAsia="Calibri" w:cs="Times New Roman"/>
          <w:szCs w:val="20"/>
          <w:lang w:val="en-GB"/>
        </w:rPr>
        <w:t>RAN1 and RAN2 has been working SCell dormancy for some time and had reached a number of agreements enabling some initial discussions in RAN4. In this paper our initial analysis of the agreements was presented, and which UE requirements RAN4 would need to define.</w:t>
      </w:r>
    </w:p>
    <w:p w14:paraId="15E7E130" w14:textId="77777777" w:rsidR="001878A4" w:rsidRDefault="001878A4" w:rsidP="001878A4">
      <w:pPr>
        <w:pStyle w:val="RAN4Observation"/>
        <w:numPr>
          <w:ilvl w:val="0"/>
          <w:numId w:val="24"/>
        </w:numPr>
      </w:pPr>
      <w:r>
        <w:t>RAN4 need to define UE delay requirements for changing dormancy SCell to non-dormancy SCell.</w:t>
      </w:r>
    </w:p>
    <w:p w14:paraId="7BB6A894" w14:textId="77777777" w:rsidR="001878A4" w:rsidRDefault="001878A4" w:rsidP="001878A4">
      <w:pPr>
        <w:pStyle w:val="RAN4observation0"/>
      </w:pPr>
      <w:r>
        <w:t>RAN4 need to define UE delay requirements for changing non-dormancy SCell to dormancy SCell.</w:t>
      </w:r>
    </w:p>
    <w:p w14:paraId="1A63D960" w14:textId="77777777" w:rsidR="001878A4" w:rsidRDefault="001878A4" w:rsidP="001878A4">
      <w:pPr>
        <w:pStyle w:val="RAN4observation0"/>
      </w:pPr>
      <w:r>
        <w:t>RAN4 will need to agree on the naming for non-dormancy/fully activated SCell.</w:t>
      </w:r>
    </w:p>
    <w:p w14:paraId="3C27ACEE" w14:textId="2F1C82BD" w:rsidR="001878A4" w:rsidRDefault="001878A4" w:rsidP="00AD4844">
      <w:pPr>
        <w:rPr>
          <w:lang w:val="en-GB"/>
        </w:rPr>
      </w:pPr>
      <w:r>
        <w:rPr>
          <w:lang w:val="en-GB"/>
        </w:rPr>
        <w:t>and we propose:</w:t>
      </w:r>
    </w:p>
    <w:p w14:paraId="79FED5F7" w14:textId="77777777" w:rsidR="001878A4" w:rsidRPr="001878A4" w:rsidRDefault="001878A4" w:rsidP="001878A4">
      <w:pPr>
        <w:pStyle w:val="RAN4proposal"/>
        <w:numPr>
          <w:ilvl w:val="0"/>
          <w:numId w:val="25"/>
        </w:numPr>
        <w:rPr>
          <w:lang w:val="en-GB"/>
        </w:rPr>
      </w:pPr>
      <w:r w:rsidRPr="001878A4">
        <w:rPr>
          <w:lang w:val="en-GB"/>
        </w:rPr>
        <w:t>Use the naming activated SCell for an SCell in non-dormancy.</w:t>
      </w:r>
    </w:p>
    <w:p w14:paraId="40635B44" w14:textId="77777777" w:rsidR="001878A4" w:rsidRPr="000A30AA" w:rsidRDefault="001878A4" w:rsidP="001878A4">
      <w:pPr>
        <w:pStyle w:val="RAN4proposal"/>
        <w:rPr>
          <w:lang w:val="en-GB"/>
        </w:rPr>
      </w:pPr>
      <w:r>
        <w:rPr>
          <w:lang w:val="en-GB"/>
        </w:rPr>
        <w:t>Use the naming dormancy SCell when the activated SCell is in dormancy.</w:t>
      </w:r>
    </w:p>
    <w:p w14:paraId="60AD8DBF" w14:textId="77777777" w:rsidR="001878A4" w:rsidRDefault="001878A4" w:rsidP="001878A4">
      <w:pPr>
        <w:pStyle w:val="RAN4proposal"/>
        <w:rPr>
          <w:lang w:val="en-GB"/>
        </w:rPr>
      </w:pPr>
      <w:r>
        <w:rPr>
          <w:lang w:val="en-GB"/>
        </w:rPr>
        <w:t>RAN4 defines UE BWP switch requirement for entering SCell dormancy.</w:t>
      </w:r>
    </w:p>
    <w:p w14:paraId="7D23C1F5" w14:textId="77777777" w:rsidR="001878A4" w:rsidRPr="00AD4844" w:rsidRDefault="001878A4" w:rsidP="001878A4">
      <w:pPr>
        <w:pStyle w:val="RAN4proposal"/>
        <w:rPr>
          <w:lang w:val="en-GB"/>
        </w:rPr>
      </w:pPr>
      <w:r>
        <w:rPr>
          <w:lang w:val="en-GB"/>
        </w:rPr>
        <w:t>RAN4 defines UE BWP switch requirements for leaving SCell dormancy.</w:t>
      </w:r>
    </w:p>
    <w:p w14:paraId="73D04C45" w14:textId="33B3F5FE" w:rsidR="001878A4" w:rsidRDefault="001878A4" w:rsidP="00AD4844">
      <w:pPr>
        <w:rPr>
          <w:lang w:val="en-GB"/>
        </w:rPr>
      </w:pPr>
      <w:r>
        <w:rPr>
          <w:lang w:val="en-GB"/>
        </w:rPr>
        <w:t>Regarding the dormancy SCell BWP delay requirements we observe and propose:</w:t>
      </w:r>
    </w:p>
    <w:p w14:paraId="298320E8" w14:textId="77777777" w:rsidR="00D074A1" w:rsidRDefault="00D074A1" w:rsidP="00D074A1">
      <w:pPr>
        <w:pStyle w:val="RAN4observation0"/>
      </w:pPr>
      <w:r>
        <w:lastRenderedPageBreak/>
        <w:t xml:space="preserve">The dormancy SCell is activated. </w:t>
      </w:r>
    </w:p>
    <w:p w14:paraId="4E38D88D" w14:textId="77777777" w:rsidR="00D074A1" w:rsidRPr="00F72D6A" w:rsidRDefault="00D074A1" w:rsidP="00D074A1">
      <w:pPr>
        <w:pStyle w:val="RAN4proposal"/>
      </w:pPr>
      <w:r>
        <w:t>UE requirements for dormancy SCell requirements follows activated SCell requirements.</w:t>
      </w:r>
    </w:p>
    <w:p w14:paraId="158C047E" w14:textId="77777777" w:rsidR="00D074A1" w:rsidRDefault="00D074A1" w:rsidP="00D074A1">
      <w:pPr>
        <w:pStyle w:val="RAN4observation0"/>
      </w:pPr>
      <w:r>
        <w:t>UE time tracking of a dormancy SCell is expected to be as good as for activated SCell.</w:t>
      </w:r>
    </w:p>
    <w:p w14:paraId="6E9BAADF" w14:textId="77777777" w:rsidR="00D074A1" w:rsidRDefault="00D074A1" w:rsidP="00D074A1">
      <w:pPr>
        <w:pStyle w:val="RAN4observation0"/>
      </w:pPr>
      <w:r>
        <w:t>No additional time- and frequency tracking delay is needed when switching BWP from dormancy to non-dormancy.</w:t>
      </w:r>
    </w:p>
    <w:p w14:paraId="78D950CC" w14:textId="77777777" w:rsidR="00D074A1" w:rsidRDefault="00D074A1" w:rsidP="00D074A1">
      <w:pPr>
        <w:pStyle w:val="RAN4observation0"/>
      </w:pPr>
      <w:r>
        <w:t>No additional time- and frequency tracking delay is needed when switching BWP from non-dormancy to dormancy.</w:t>
      </w:r>
    </w:p>
    <w:p w14:paraId="72E1590C" w14:textId="77777777" w:rsidR="00D074A1" w:rsidRDefault="00D074A1" w:rsidP="00D074A1">
      <w:pPr>
        <w:pStyle w:val="RAN4proposal"/>
      </w:pPr>
      <w:r>
        <w:t>Re-use existing BWP switch delay requirements for SCell dormancy BWP switch delay.</w:t>
      </w:r>
    </w:p>
    <w:p w14:paraId="19F0D9E2" w14:textId="77777777" w:rsidR="001878A4" w:rsidRPr="00AD4844" w:rsidRDefault="001878A4" w:rsidP="00AD4844">
      <w:pPr>
        <w:rPr>
          <w:lang w:val="en-GB"/>
        </w:rPr>
      </w:pPr>
    </w:p>
    <w:p w14:paraId="3DAFBD41" w14:textId="77777777" w:rsidR="003B659E" w:rsidRPr="0095295C" w:rsidRDefault="003B659E" w:rsidP="0008612A">
      <w:pPr>
        <w:pStyle w:val="RAN4H1"/>
      </w:pPr>
      <w:r w:rsidRPr="0095295C">
        <w:t>References</w:t>
      </w:r>
    </w:p>
    <w:p w14:paraId="11F0A0C4" w14:textId="77777777" w:rsidR="00D074A1" w:rsidRPr="00D074A1" w:rsidRDefault="00D074A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D074A1">
        <w:rPr>
          <w:rFonts w:eastAsia="Times New Roman" w:cs="Times New Roman"/>
          <w:szCs w:val="20"/>
          <w:lang w:val="en-GB"/>
        </w:rPr>
        <w:t>RAN2 meeting minutes</w:t>
      </w:r>
    </w:p>
    <w:p w14:paraId="19FC2F12" w14:textId="4D375959" w:rsidR="003B659E" w:rsidRPr="00D074A1" w:rsidRDefault="00D074A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074A1">
        <w:rPr>
          <w:rFonts w:eastAsia="Times New Roman" w:cs="Times New Roman"/>
          <w:szCs w:val="20"/>
          <w:lang w:val="en-GB"/>
        </w:rPr>
        <w:t>RAN1 meeting minutes</w:t>
      </w:r>
      <w:r w:rsidR="003B659E" w:rsidRPr="00D074A1" w:rsidDel="00C651B9">
        <w:rPr>
          <w:rFonts w:eastAsia="Times New Roman" w:cs="Times New Roman"/>
          <w:szCs w:val="20"/>
          <w:lang w:val="en-GB"/>
        </w:rPr>
        <w:t xml:space="preserve"> </w:t>
      </w:r>
      <w:bookmarkEnd w:id="5"/>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B6A5F" w14:textId="77777777" w:rsidR="009E1237" w:rsidRDefault="009E1237" w:rsidP="00001C9B">
      <w:pPr>
        <w:spacing w:after="0" w:line="240" w:lineRule="auto"/>
      </w:pPr>
      <w:r>
        <w:separator/>
      </w:r>
    </w:p>
  </w:endnote>
  <w:endnote w:type="continuationSeparator" w:id="0">
    <w:p w14:paraId="08CEB0CA" w14:textId="77777777" w:rsidR="009E1237" w:rsidRDefault="009E123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94AC0" w14:textId="77777777" w:rsidR="009E1237" w:rsidRDefault="009E1237" w:rsidP="00001C9B">
      <w:pPr>
        <w:spacing w:after="0" w:line="240" w:lineRule="auto"/>
      </w:pPr>
      <w:r>
        <w:separator/>
      </w:r>
    </w:p>
  </w:footnote>
  <w:footnote w:type="continuationSeparator" w:id="0">
    <w:p w14:paraId="2ECF2C20" w14:textId="77777777" w:rsidR="009E1237" w:rsidRDefault="009E123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FAC689E"/>
    <w:multiLevelType w:val="hybridMultilevel"/>
    <w:tmpl w:val="CED8D75A"/>
    <w:lvl w:ilvl="0" w:tplc="AEC8D1DE">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4"/>
  </w:num>
  <w:num w:numId="23">
    <w:abstractNumId w:val="11"/>
  </w:num>
  <w:num w:numId="24">
    <w:abstractNumId w:val="6"/>
    <w:lvlOverride w:ilvl="0">
      <w:startOverride w:val="1"/>
    </w:lvlOverride>
  </w:num>
  <w:num w:numId="2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A10"/>
    <w:rsid w:val="0008612A"/>
    <w:rsid w:val="0009382C"/>
    <w:rsid w:val="000A30AA"/>
    <w:rsid w:val="000B0056"/>
    <w:rsid w:val="000B32C1"/>
    <w:rsid w:val="000D0D11"/>
    <w:rsid w:val="001745F8"/>
    <w:rsid w:val="00176671"/>
    <w:rsid w:val="001838CF"/>
    <w:rsid w:val="001878A4"/>
    <w:rsid w:val="001A4396"/>
    <w:rsid w:val="001C2F6D"/>
    <w:rsid w:val="001E30F6"/>
    <w:rsid w:val="00235F5C"/>
    <w:rsid w:val="002B4922"/>
    <w:rsid w:val="002C2D19"/>
    <w:rsid w:val="002D10FA"/>
    <w:rsid w:val="002D4C55"/>
    <w:rsid w:val="00330829"/>
    <w:rsid w:val="00333677"/>
    <w:rsid w:val="00363CF1"/>
    <w:rsid w:val="003B63D1"/>
    <w:rsid w:val="003B659E"/>
    <w:rsid w:val="003F4BF8"/>
    <w:rsid w:val="00417AA0"/>
    <w:rsid w:val="0043750A"/>
    <w:rsid w:val="004B7B4A"/>
    <w:rsid w:val="004E5E66"/>
    <w:rsid w:val="00503B4D"/>
    <w:rsid w:val="00504EE9"/>
    <w:rsid w:val="0054442C"/>
    <w:rsid w:val="00550285"/>
    <w:rsid w:val="005836F8"/>
    <w:rsid w:val="005918FA"/>
    <w:rsid w:val="005C5D26"/>
    <w:rsid w:val="005E3125"/>
    <w:rsid w:val="005E61A8"/>
    <w:rsid w:val="005E6635"/>
    <w:rsid w:val="005F4828"/>
    <w:rsid w:val="005F6419"/>
    <w:rsid w:val="0060539A"/>
    <w:rsid w:val="00617400"/>
    <w:rsid w:val="00664950"/>
    <w:rsid w:val="00670D34"/>
    <w:rsid w:val="00683220"/>
    <w:rsid w:val="00687FA0"/>
    <w:rsid w:val="006B7010"/>
    <w:rsid w:val="006E471E"/>
    <w:rsid w:val="007145FF"/>
    <w:rsid w:val="00751515"/>
    <w:rsid w:val="00785232"/>
    <w:rsid w:val="00793B81"/>
    <w:rsid w:val="007B1978"/>
    <w:rsid w:val="007B7457"/>
    <w:rsid w:val="007C3ED0"/>
    <w:rsid w:val="00806A76"/>
    <w:rsid w:val="00811C9D"/>
    <w:rsid w:val="008146C5"/>
    <w:rsid w:val="00816C80"/>
    <w:rsid w:val="00841BCD"/>
    <w:rsid w:val="00874CED"/>
    <w:rsid w:val="008826C1"/>
    <w:rsid w:val="00892FD9"/>
    <w:rsid w:val="009042BD"/>
    <w:rsid w:val="0094654D"/>
    <w:rsid w:val="009669D3"/>
    <w:rsid w:val="00977E1D"/>
    <w:rsid w:val="009C003D"/>
    <w:rsid w:val="009E1237"/>
    <w:rsid w:val="009F1915"/>
    <w:rsid w:val="00A221D5"/>
    <w:rsid w:val="00A22B78"/>
    <w:rsid w:val="00A25AE5"/>
    <w:rsid w:val="00A37002"/>
    <w:rsid w:val="00AA1B0E"/>
    <w:rsid w:val="00AA7168"/>
    <w:rsid w:val="00AC5CA7"/>
    <w:rsid w:val="00AD4844"/>
    <w:rsid w:val="00AD760A"/>
    <w:rsid w:val="00AE56B1"/>
    <w:rsid w:val="00B73862"/>
    <w:rsid w:val="00B76744"/>
    <w:rsid w:val="00BA6900"/>
    <w:rsid w:val="00BA6E48"/>
    <w:rsid w:val="00BA724E"/>
    <w:rsid w:val="00BF2218"/>
    <w:rsid w:val="00C76F0F"/>
    <w:rsid w:val="00C94120"/>
    <w:rsid w:val="00C965E2"/>
    <w:rsid w:val="00CB0486"/>
    <w:rsid w:val="00CD7492"/>
    <w:rsid w:val="00CD7CC3"/>
    <w:rsid w:val="00CE3A6B"/>
    <w:rsid w:val="00D00211"/>
    <w:rsid w:val="00D06309"/>
    <w:rsid w:val="00D074A1"/>
    <w:rsid w:val="00D27872"/>
    <w:rsid w:val="00D351EA"/>
    <w:rsid w:val="00D43403"/>
    <w:rsid w:val="00D62E71"/>
    <w:rsid w:val="00D740CA"/>
    <w:rsid w:val="00D85728"/>
    <w:rsid w:val="00DA2EF9"/>
    <w:rsid w:val="00DD555A"/>
    <w:rsid w:val="00DF2997"/>
    <w:rsid w:val="00E04536"/>
    <w:rsid w:val="00E21659"/>
    <w:rsid w:val="00E23425"/>
    <w:rsid w:val="00EA17AC"/>
    <w:rsid w:val="00EB255F"/>
    <w:rsid w:val="00EC21CF"/>
    <w:rsid w:val="00EC7BC3"/>
    <w:rsid w:val="00ED7600"/>
    <w:rsid w:val="00EF10F1"/>
    <w:rsid w:val="00EF2A70"/>
    <w:rsid w:val="00EF5D38"/>
    <w:rsid w:val="00F1362C"/>
    <w:rsid w:val="00F242F9"/>
    <w:rsid w:val="00F72D6A"/>
    <w:rsid w:val="00F824F5"/>
    <w:rsid w:val="00FC29B9"/>
    <w:rsid w:val="00FC6FD3"/>
    <w:rsid w:val="00FE2FD7"/>
    <w:rsid w:val="00FF4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Agreement">
    <w:name w:val="Agreement"/>
    <w:basedOn w:val="Normal"/>
    <w:next w:val="Normal"/>
    <w:qFormat/>
    <w:rsid w:val="00E21659"/>
    <w:pPr>
      <w:numPr>
        <w:numId w:val="21"/>
      </w:numPr>
      <w:spacing w:before="60" w:after="0" w:line="240" w:lineRule="auto"/>
    </w:pPr>
    <w:rPr>
      <w:rFonts w:ascii="Arial" w:eastAsia="MS Mincho" w:hAnsi="Arial" w:cs="Times New Roman"/>
      <w:b/>
      <w:szCs w:val="24"/>
      <w:lang w:val="en-GB" w:eastAsia="en-GB"/>
    </w:rPr>
  </w:style>
  <w:style w:type="paragraph" w:customStyle="1" w:styleId="Doc-text2">
    <w:name w:val="Doc-text2"/>
    <w:basedOn w:val="Normal"/>
    <w:link w:val="Doc-text2Char"/>
    <w:qFormat/>
    <w:rsid w:val="00E21659"/>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2165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27FA6-1883-4A07-9B7F-B4F836952F5C}">
  <ds:schemaRefs>
    <ds:schemaRef ds:uri="http://schemas.microsoft.com/sharepoint/v3/contenttype/forms"/>
  </ds:schemaRefs>
</ds:datastoreItem>
</file>

<file path=customXml/itemProps2.xml><?xml version="1.0" encoding="utf-8"?>
<ds:datastoreItem xmlns:ds="http://schemas.openxmlformats.org/officeDocument/2006/customXml" ds:itemID="{C9B185F1-5C28-429C-91E7-2E8C627FCB1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C1B393-BEB0-4EB2-975F-A7217FC3F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47956-A988-4A61-96F7-9BD55A087011}">
  <ds:schemaRefs>
    <ds:schemaRef ds:uri="Microsoft.SharePoint.Taxonomy.ContentTypeSync"/>
  </ds:schemaRefs>
</ds:datastoreItem>
</file>

<file path=customXml/itemProps5.xml><?xml version="1.0" encoding="utf-8"?>
<ds:datastoreItem xmlns:ds="http://schemas.openxmlformats.org/officeDocument/2006/customXml" ds:itemID="{A001BAC0-07AD-4816-ADC4-BCF720323E99}">
  <ds:schemaRefs>
    <ds:schemaRef ds:uri="http://schemas.microsoft.com/sharepoint/events"/>
  </ds:schemaRefs>
</ds:datastoreItem>
</file>

<file path=customXml/itemProps6.xml><?xml version="1.0" encoding="utf-8"?>
<ds:datastoreItem xmlns:ds="http://schemas.openxmlformats.org/officeDocument/2006/customXml" ds:itemID="{ECA39A8A-29F9-4B93-AFC7-E6DA5D356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3</cp:revision>
  <dcterms:created xsi:type="dcterms:W3CDTF">2020-02-14T19:04:00Z</dcterms:created>
  <dcterms:modified xsi:type="dcterms:W3CDTF">2020-02-14T19:04:00Z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