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F4E" w:rsidRPr="000C7F4E" w:rsidRDefault="00592EB4" w:rsidP="000C7F4E">
      <w:pPr>
        <w:tabs>
          <w:tab w:val="left" w:pos="1985"/>
        </w:tabs>
        <w:spacing w:after="0"/>
        <w:rPr>
          <w:rFonts w:ascii="Arial" w:eastAsia="ＭＳ 明朝" w:hAnsi="Arial" w:cs="Arial"/>
          <w:b/>
          <w:sz w:val="24"/>
          <w:szCs w:val="24"/>
        </w:rPr>
      </w:pPr>
      <w:r w:rsidRPr="00592EB4">
        <w:rPr>
          <w:rFonts w:ascii="Arial" w:eastAsia="ＭＳ 明朝" w:hAnsi="Arial" w:cs="Arial"/>
          <w:b/>
          <w:sz w:val="24"/>
          <w:szCs w:val="24"/>
        </w:rPr>
        <w:t>3GPP TSG-RAN4 Meeting #94-e</w:t>
      </w:r>
      <w:r w:rsidR="009D0620">
        <w:rPr>
          <w:rFonts w:ascii="Arial" w:eastAsia="ＭＳ 明朝" w:hAnsi="Arial" w:cs="Arial"/>
          <w:b/>
          <w:sz w:val="24"/>
          <w:szCs w:val="24"/>
        </w:rPr>
        <w:t xml:space="preserve">    </w:t>
      </w:r>
      <w:r w:rsidR="000C7F4E" w:rsidRPr="000C7F4E">
        <w:rPr>
          <w:rFonts w:ascii="Arial" w:eastAsia="ＭＳ 明朝" w:hAnsi="Arial" w:cs="Arial"/>
          <w:b/>
          <w:sz w:val="24"/>
          <w:szCs w:val="24"/>
        </w:rPr>
        <w:tab/>
      </w:r>
      <w:r w:rsidR="005128BE">
        <w:rPr>
          <w:rFonts w:ascii="Arial" w:eastAsia="ＭＳ 明朝" w:hAnsi="Arial" w:cs="Arial" w:hint="eastAsia"/>
          <w:b/>
          <w:sz w:val="24"/>
          <w:szCs w:val="24"/>
          <w:lang w:eastAsia="ja-JP"/>
        </w:rPr>
        <w:t xml:space="preserve">　　　　　　　　　　　　　　　　</w:t>
      </w:r>
      <w:r>
        <w:rPr>
          <w:rFonts w:ascii="Arial" w:eastAsia="ＭＳ 明朝" w:hAnsi="Arial" w:cs="Arial" w:hint="eastAsia"/>
          <w:b/>
          <w:sz w:val="24"/>
          <w:szCs w:val="24"/>
          <w:lang w:eastAsia="ja-JP"/>
        </w:rPr>
        <w:t xml:space="preserve">           </w:t>
      </w:r>
      <w:bookmarkStart w:id="0" w:name="_GoBack"/>
      <w:r w:rsidRPr="00592EB4">
        <w:rPr>
          <w:rFonts w:ascii="Arial" w:eastAsia="ＭＳ 明朝" w:hAnsi="Arial" w:cs="Arial"/>
          <w:b/>
          <w:sz w:val="24"/>
          <w:szCs w:val="24"/>
        </w:rPr>
        <w:t>R4-2000233</w:t>
      </w:r>
      <w:bookmarkEnd w:id="0"/>
    </w:p>
    <w:p w:rsidR="00AF5548" w:rsidRDefault="00592EB4" w:rsidP="000C7F4E">
      <w:pPr>
        <w:tabs>
          <w:tab w:val="left" w:pos="1985"/>
        </w:tabs>
        <w:spacing w:after="0"/>
        <w:jc w:val="both"/>
        <w:rPr>
          <w:rFonts w:ascii="Arial" w:eastAsia="ＭＳ 明朝" w:hAnsi="Arial" w:cs="Arial"/>
          <w:b/>
          <w:sz w:val="24"/>
          <w:szCs w:val="24"/>
        </w:rPr>
      </w:pPr>
      <w:r w:rsidRPr="00592EB4">
        <w:rPr>
          <w:rFonts w:ascii="Arial" w:hAnsi="Arial"/>
          <w:b/>
          <w:sz w:val="24"/>
          <w:szCs w:val="24"/>
          <w:lang w:eastAsia="zh-CN"/>
        </w:rPr>
        <w:t>Online, , 24th Feb 2020 - 6th Mar 2020</w:t>
      </w:r>
    </w:p>
    <w:p w:rsidR="000C7F4E" w:rsidRPr="00625EC5" w:rsidRDefault="000C7F4E"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334F98" w:rsidRDefault="001466F4" w:rsidP="00710810">
      <w:pPr>
        <w:spacing w:after="0"/>
        <w:ind w:left="1983" w:hangingChars="823" w:hanging="1983"/>
        <w:jc w:val="both"/>
        <w:rPr>
          <w:rFonts w:ascii="Arial" w:eastAsia="Malgun Gothic" w:hAnsi="Arial" w:cs="Arial"/>
          <w:b/>
          <w:sz w:val="24"/>
          <w:lang w:val="en-US" w:eastAsia="ko-KR"/>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9B5A57" w:rsidRPr="009B5A57">
        <w:rPr>
          <w:rFonts w:ascii="Arial" w:eastAsia="Malgun Gothic" w:hAnsi="Arial" w:cs="Arial"/>
          <w:b/>
          <w:sz w:val="24"/>
          <w:lang w:val="en-US" w:eastAsia="ko-KR"/>
        </w:rPr>
        <w:t>EESS protection from n259</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592EB4">
        <w:rPr>
          <w:rFonts w:ascii="Arial" w:eastAsia="游明朝" w:hAnsi="Arial" w:cs="Arial"/>
          <w:b/>
          <w:sz w:val="24"/>
          <w:lang w:val="en-US" w:eastAsia="ja-JP"/>
        </w:rPr>
        <w:t>9.16.1</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9B5A57" w:rsidRDefault="00D22ECF" w:rsidP="009B5A57">
      <w:pPr>
        <w:rPr>
          <w:rFonts w:eastAsia="游明朝"/>
          <w:lang w:val="en-US" w:eastAsia="ja-JP"/>
        </w:rPr>
      </w:pPr>
      <w:r>
        <w:rPr>
          <w:rFonts w:eastAsia="游明朝"/>
          <w:lang w:val="en-US" w:eastAsia="ja-JP"/>
        </w:rPr>
        <w:t xml:space="preserve">ITU </w:t>
      </w:r>
      <w:r w:rsidR="009B5A57">
        <w:rPr>
          <w:rFonts w:eastAsia="游明朝"/>
          <w:lang w:val="en-US" w:eastAsia="ja-JP"/>
        </w:rPr>
        <w:t>WRC</w:t>
      </w:r>
      <w:r>
        <w:rPr>
          <w:rFonts w:eastAsia="游明朝"/>
          <w:lang w:val="en-US" w:eastAsia="ja-JP"/>
        </w:rPr>
        <w:t>-</w:t>
      </w:r>
      <w:r w:rsidR="009B5A57">
        <w:rPr>
          <w:rFonts w:eastAsia="游明朝"/>
          <w:lang w:val="en-US" w:eastAsia="ja-JP"/>
        </w:rPr>
        <w:t xml:space="preserve">19 concluded that </w:t>
      </w:r>
      <w:r>
        <w:rPr>
          <w:rFonts w:eastAsia="游明朝"/>
          <w:lang w:val="en-US" w:eastAsia="ja-JP"/>
        </w:rPr>
        <w:t xml:space="preserve">in order to protect </w:t>
      </w:r>
      <w:r w:rsidR="009B5A57" w:rsidRPr="009B5A57">
        <w:rPr>
          <w:rFonts w:eastAsia="游明朝"/>
          <w:lang w:val="en-US" w:eastAsia="ja-JP"/>
        </w:rPr>
        <w:t xml:space="preserve">the EESS (passive) </w:t>
      </w:r>
      <w:r>
        <w:rPr>
          <w:rFonts w:eastAsia="游明朝"/>
          <w:lang w:val="en-US" w:eastAsia="ja-JP"/>
        </w:rPr>
        <w:t xml:space="preserve">in the frequency band </w:t>
      </w:r>
      <w:r w:rsidR="009B5A57">
        <w:rPr>
          <w:rFonts w:eastAsia="游明朝"/>
          <w:lang w:val="en-US" w:eastAsia="ja-JP"/>
        </w:rPr>
        <w:t xml:space="preserve">36-37 GHz </w:t>
      </w:r>
      <w:r w:rsidRPr="00D22ECF">
        <w:rPr>
          <w:rFonts w:eastAsia="游明朝"/>
          <w:lang w:val="en-US" w:eastAsia="ja-JP"/>
        </w:rPr>
        <w:t xml:space="preserve">the unwanted emissions of IMT stations operating in the frequency band 37-40.5 GHz </w:t>
      </w:r>
      <w:r w:rsidR="009B5A57">
        <w:rPr>
          <w:rFonts w:eastAsia="游明朝"/>
          <w:lang w:val="en-US" w:eastAsia="ja-JP"/>
        </w:rPr>
        <w:t xml:space="preserve">shall </w:t>
      </w:r>
      <w:r>
        <w:rPr>
          <w:rFonts w:eastAsia="游明朝"/>
          <w:lang w:val="en-US" w:eastAsia="ja-JP"/>
        </w:rPr>
        <w:t xml:space="preserve">meet </w:t>
      </w:r>
      <w:r w:rsidR="009B5A57" w:rsidRPr="009B5A57">
        <w:rPr>
          <w:rFonts w:eastAsia="游明朝"/>
          <w:lang w:val="en-US" w:eastAsia="ja-JP"/>
        </w:rPr>
        <w:t xml:space="preserve">−43 dB(W/MHz) and −23 dB(W/GHz) </w:t>
      </w:r>
      <w:r w:rsidR="00790189">
        <w:rPr>
          <w:rFonts w:eastAsia="游明朝"/>
          <w:lang w:val="en-US" w:eastAsia="ja-JP"/>
        </w:rPr>
        <w:t>as described in page 395-396 in [1]</w:t>
      </w:r>
      <w:r w:rsidR="009B5A57">
        <w:rPr>
          <w:rFonts w:eastAsia="游明朝"/>
          <w:lang w:val="en-US" w:eastAsia="ja-JP"/>
        </w:rPr>
        <w:t>.</w:t>
      </w:r>
    </w:p>
    <w:p w:rsidR="006D290C" w:rsidRPr="005C451C" w:rsidRDefault="009B5A57" w:rsidP="009B5A57">
      <w:pPr>
        <w:rPr>
          <w:rFonts w:eastAsia="游明朝"/>
          <w:lang w:val="en-US" w:eastAsia="ja-JP"/>
        </w:rPr>
      </w:pPr>
      <w:r>
        <w:rPr>
          <w:rFonts w:eastAsia="游明朝"/>
          <w:lang w:val="en-US" w:eastAsia="ja-JP"/>
        </w:rPr>
        <w:t xml:space="preserve">This contribution discusses how to incorporate the above </w:t>
      </w:r>
      <w:r w:rsidR="00D22ECF">
        <w:rPr>
          <w:rFonts w:eastAsia="游明朝"/>
          <w:lang w:val="en-US" w:eastAsia="ja-JP"/>
        </w:rPr>
        <w:t xml:space="preserve">conclusion </w:t>
      </w:r>
      <w:r>
        <w:rPr>
          <w:rFonts w:eastAsia="游明朝"/>
          <w:lang w:val="en-US" w:eastAsia="ja-JP"/>
        </w:rPr>
        <w:t xml:space="preserve">into </w:t>
      </w:r>
      <w:r w:rsidR="00D22ECF">
        <w:rPr>
          <w:rFonts w:eastAsia="游明朝"/>
          <w:lang w:val="en-US" w:eastAsia="ja-JP"/>
        </w:rPr>
        <w:t xml:space="preserve">the </w:t>
      </w:r>
      <w:r>
        <w:rPr>
          <w:rFonts w:eastAsia="游明朝"/>
          <w:lang w:val="en-US" w:eastAsia="ja-JP"/>
        </w:rPr>
        <w:t>n259 related requirements</w:t>
      </w:r>
      <w:r w:rsidR="00112485">
        <w:rPr>
          <w:rFonts w:eastAsia="游明朝"/>
          <w:lang w:val="en-US" w:eastAsia="ja-JP"/>
        </w:rPr>
        <w:t xml:space="preserve"> for </w:t>
      </w:r>
      <w:r w:rsidR="00112485" w:rsidRPr="00112485">
        <w:rPr>
          <w:rFonts w:eastAsia="游明朝"/>
          <w:b/>
          <w:lang w:val="en-US" w:eastAsia="ja-JP"/>
        </w:rPr>
        <w:t>Power Class 3</w:t>
      </w:r>
      <w:r>
        <w:rPr>
          <w:rFonts w:eastAsia="游明朝"/>
          <w:lang w:val="en-US" w:eastAsia="ja-JP"/>
        </w:rPr>
        <w:t>.</w:t>
      </w:r>
    </w:p>
    <w:p w:rsidR="00271AB5" w:rsidRDefault="003530B3" w:rsidP="003530B3">
      <w:pPr>
        <w:pStyle w:val="10"/>
        <w:numPr>
          <w:ilvl w:val="0"/>
          <w:numId w:val="3"/>
        </w:numPr>
      </w:pPr>
      <w:r>
        <w:t>Discussion</w:t>
      </w:r>
    </w:p>
    <w:p w:rsidR="002F07F6" w:rsidRDefault="00D22ECF" w:rsidP="002F07F6">
      <w:pPr>
        <w:pStyle w:val="10"/>
        <w:numPr>
          <w:ilvl w:val="1"/>
          <w:numId w:val="3"/>
        </w:numPr>
      </w:pPr>
      <w:r>
        <w:t>P</w:t>
      </w:r>
      <w:r w:rsidR="00790189">
        <w:t xml:space="preserve">rotection </w:t>
      </w:r>
      <w:r>
        <w:t xml:space="preserve">requirement </w:t>
      </w:r>
      <w:r w:rsidR="00790189">
        <w:t>by WRC19</w:t>
      </w:r>
    </w:p>
    <w:p w:rsidR="00790189" w:rsidRDefault="00790189" w:rsidP="00D0185A">
      <w:pPr>
        <w:pStyle w:val="B10"/>
        <w:ind w:left="0" w:firstLine="0"/>
        <w:rPr>
          <w:rFonts w:eastAsia="游明朝"/>
          <w:lang w:eastAsia="ja-JP" w:bidi="bn-IN"/>
        </w:rPr>
      </w:pPr>
      <w:r>
        <w:rPr>
          <w:rFonts w:eastAsia="游明朝"/>
          <w:lang w:eastAsia="ja-JP" w:bidi="bn-IN"/>
        </w:rPr>
        <w:t xml:space="preserve">The below is an </w:t>
      </w:r>
      <w:r w:rsidRPr="00790189">
        <w:rPr>
          <w:rFonts w:eastAsia="游明朝"/>
          <w:lang w:eastAsia="ja-JP" w:bidi="bn-IN"/>
        </w:rPr>
        <w:t>excerpt</w:t>
      </w:r>
      <w:r>
        <w:rPr>
          <w:rFonts w:eastAsia="游明朝"/>
          <w:lang w:eastAsia="ja-JP" w:bidi="bn-IN"/>
        </w:rPr>
        <w:t xml:space="preserve"> of </w:t>
      </w:r>
      <w:r w:rsidR="00D22ECF">
        <w:rPr>
          <w:rFonts w:eastAsia="游明朝"/>
          <w:lang w:eastAsia="ja-JP" w:bidi="bn-IN"/>
        </w:rPr>
        <w:t xml:space="preserve">the </w:t>
      </w:r>
      <w:r>
        <w:rPr>
          <w:rFonts w:eastAsia="游明朝"/>
          <w:lang w:eastAsia="ja-JP" w:bidi="bn-IN"/>
        </w:rPr>
        <w:t xml:space="preserve">conclusion for </w:t>
      </w:r>
      <w:r w:rsidR="00D22ECF">
        <w:rPr>
          <w:rFonts w:eastAsia="游明朝"/>
          <w:lang w:eastAsia="ja-JP" w:bidi="bn-IN"/>
        </w:rPr>
        <w:t xml:space="preserve">the </w:t>
      </w:r>
      <w:r>
        <w:rPr>
          <w:rFonts w:eastAsia="游明朝"/>
          <w:lang w:eastAsia="ja-JP" w:bidi="bn-IN"/>
        </w:rPr>
        <w:t xml:space="preserve">EESS </w:t>
      </w:r>
      <w:r w:rsidR="00D22ECF">
        <w:rPr>
          <w:rFonts w:eastAsia="游明朝"/>
          <w:lang w:eastAsia="ja-JP" w:bidi="bn-IN"/>
        </w:rPr>
        <w:t xml:space="preserve">(passive) </w:t>
      </w:r>
      <w:r>
        <w:rPr>
          <w:rFonts w:eastAsia="游明朝"/>
          <w:lang w:eastAsia="ja-JP" w:bidi="bn-IN"/>
        </w:rPr>
        <w:t>protection of 36-37GHz in [1].</w:t>
      </w:r>
    </w:p>
    <w:p w:rsidR="00790189" w:rsidRPr="00790189" w:rsidRDefault="00790189" w:rsidP="00D0185A">
      <w:pPr>
        <w:pStyle w:val="B10"/>
        <w:ind w:left="0" w:firstLine="0"/>
        <w:rPr>
          <w:rFonts w:eastAsia="游明朝"/>
          <w:color w:val="FF0000"/>
          <w:lang w:eastAsia="ja-JP" w:bidi="bn-IN"/>
        </w:rPr>
      </w:pPr>
      <w:r w:rsidRPr="00790189">
        <w:rPr>
          <w:rFonts w:eastAsia="游明朝"/>
          <w:color w:val="FF0000"/>
          <w:lang w:eastAsia="ja-JP" w:bidi="bn-IN"/>
        </w:rPr>
        <w:t>---------------------------------------------------An excerpt of EESS protection of 36-37GHz--------------------------------------------</w:t>
      </w:r>
    </w:p>
    <w:p w:rsidR="00790189" w:rsidRDefault="00790189" w:rsidP="00790189">
      <w:pPr>
        <w:pStyle w:val="B10"/>
        <w:ind w:left="0" w:firstLine="0"/>
        <w:rPr>
          <w:rFonts w:ascii="Arial" w:hAnsi="Arial" w:cs="Arial"/>
        </w:rPr>
      </w:pPr>
      <w:r w:rsidRPr="00790189">
        <w:rPr>
          <w:rFonts w:eastAsia="游明朝"/>
          <w:lang w:eastAsia="ja-JP" w:bidi="bn-IN"/>
        </w:rPr>
        <w:t>2.1 that, in order to protect the EESS (passive) in the frequency band 36-37 GHz, the</w:t>
      </w:r>
      <w:r>
        <w:rPr>
          <w:rFonts w:eastAsia="游明朝"/>
          <w:lang w:eastAsia="ja-JP" w:bidi="bn-IN"/>
        </w:rPr>
        <w:t xml:space="preserve"> </w:t>
      </w:r>
      <w:r w:rsidRPr="00790189">
        <w:rPr>
          <w:rFonts w:eastAsia="游明朝"/>
          <w:lang w:eastAsia="ja-JP" w:bidi="bn-IN"/>
        </w:rPr>
        <w:t>following unwanted emissions of IMT stations operating in the frequency band 37-40.5 GHz apply</w:t>
      </w:r>
      <w:r>
        <w:rPr>
          <w:rFonts w:eastAsia="游明朝"/>
          <w:lang w:eastAsia="ja-JP" w:bidi="bn-IN"/>
        </w:rPr>
        <w:t xml:space="preserve"> </w:t>
      </w:r>
      <w:r w:rsidRPr="00790189">
        <w:rPr>
          <w:rFonts w:eastAsia="游明朝"/>
          <w:lang w:eastAsia="ja-JP" w:bidi="bn-IN"/>
        </w:rPr>
        <w:t>as specified in Table 1 below;</w:t>
      </w:r>
    </w:p>
    <w:p w:rsidR="00332792" w:rsidRDefault="00790189" w:rsidP="00790189">
      <w:pPr>
        <w:jc w:val="center"/>
        <w:rPr>
          <w:rFonts w:ascii="Arial" w:hAnsi="Arial" w:cs="Arial"/>
        </w:rPr>
      </w:pPr>
      <w:r>
        <w:rPr>
          <w:rFonts w:ascii="Arial" w:hAnsi="Arial" w:cs="Arial"/>
          <w:noProof/>
          <w:lang w:val="en-US" w:eastAsia="ja-JP"/>
        </w:rPr>
        <w:drawing>
          <wp:inline distT="0" distB="0" distL="0" distR="0">
            <wp:extent cx="6329680" cy="19672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29680" cy="1967230"/>
                    </a:xfrm>
                    <a:prstGeom prst="rect">
                      <a:avLst/>
                    </a:prstGeom>
                    <a:noFill/>
                    <a:ln>
                      <a:noFill/>
                    </a:ln>
                  </pic:spPr>
                </pic:pic>
              </a:graphicData>
            </a:graphic>
          </wp:inline>
        </w:drawing>
      </w:r>
    </w:p>
    <w:p w:rsidR="00790189" w:rsidRPr="00790189" w:rsidRDefault="00790189" w:rsidP="00790189">
      <w:pPr>
        <w:pStyle w:val="B10"/>
        <w:ind w:left="0" w:firstLine="0"/>
        <w:rPr>
          <w:rFonts w:eastAsia="游明朝"/>
          <w:color w:val="FF0000"/>
          <w:lang w:eastAsia="ja-JP" w:bidi="bn-IN"/>
        </w:rPr>
      </w:pPr>
      <w:r w:rsidRPr="00790189">
        <w:rPr>
          <w:rFonts w:eastAsia="游明朝"/>
          <w:color w:val="FF0000"/>
          <w:lang w:eastAsia="ja-JP" w:bidi="bn-IN"/>
        </w:rPr>
        <w:t>---------------------------------------------</w:t>
      </w:r>
      <w:r>
        <w:rPr>
          <w:rFonts w:eastAsia="游明朝"/>
          <w:color w:val="FF0000"/>
          <w:lang w:eastAsia="ja-JP" w:bidi="bn-IN"/>
        </w:rPr>
        <w:t>End of a</w:t>
      </w:r>
      <w:r w:rsidRPr="00790189">
        <w:rPr>
          <w:rFonts w:eastAsia="游明朝"/>
          <w:color w:val="FF0000"/>
          <w:lang w:eastAsia="ja-JP" w:bidi="bn-IN"/>
        </w:rPr>
        <w:t>n excerpt of EESS protection of 36-37GHz---------------------------------</w:t>
      </w:r>
      <w:r>
        <w:rPr>
          <w:rFonts w:eastAsia="游明朝"/>
          <w:color w:val="FF0000"/>
          <w:lang w:eastAsia="ja-JP" w:bidi="bn-IN"/>
        </w:rPr>
        <w:t>------</w:t>
      </w:r>
      <w:r w:rsidRPr="00790189">
        <w:rPr>
          <w:rFonts w:eastAsia="游明朝"/>
          <w:color w:val="FF0000"/>
          <w:lang w:eastAsia="ja-JP" w:bidi="bn-IN"/>
        </w:rPr>
        <w:t>---</w:t>
      </w:r>
    </w:p>
    <w:p w:rsidR="00112485" w:rsidRPr="00112485" w:rsidRDefault="00112485" w:rsidP="00112485">
      <w:pPr>
        <w:rPr>
          <w:rFonts w:ascii="Arial" w:hAnsi="Arial" w:cs="Arial"/>
          <w:sz w:val="36"/>
          <w:szCs w:val="36"/>
        </w:rPr>
      </w:pPr>
      <w:r w:rsidRPr="00112485">
        <w:rPr>
          <w:rFonts w:ascii="Arial" w:hAnsi="Arial" w:cs="Arial"/>
          <w:sz w:val="36"/>
          <w:szCs w:val="36"/>
        </w:rPr>
        <w:t>2.</w:t>
      </w:r>
      <w:r>
        <w:rPr>
          <w:rFonts w:ascii="Arial" w:hAnsi="Arial" w:cs="Arial"/>
          <w:sz w:val="36"/>
          <w:szCs w:val="36"/>
        </w:rPr>
        <w:t>2</w:t>
      </w:r>
      <w:r w:rsidRPr="00112485">
        <w:rPr>
          <w:rFonts w:ascii="Arial" w:hAnsi="Arial" w:cs="Arial"/>
          <w:sz w:val="36"/>
          <w:szCs w:val="36"/>
        </w:rPr>
        <w:tab/>
        <w:t>Interpretation of the protection requirement by WRC19</w:t>
      </w:r>
    </w:p>
    <w:p w:rsidR="00F67EBA" w:rsidRDefault="00D22ECF" w:rsidP="00F67EBA">
      <w:pPr>
        <w:pStyle w:val="B10"/>
        <w:ind w:left="0" w:firstLine="0"/>
        <w:rPr>
          <w:rFonts w:eastAsia="游明朝"/>
          <w:lang w:eastAsia="ja-JP" w:bidi="bn-IN"/>
        </w:rPr>
      </w:pPr>
      <w:r>
        <w:rPr>
          <w:rFonts w:eastAsia="游明朝"/>
          <w:lang w:eastAsia="ja-JP" w:bidi="bn-IN"/>
        </w:rPr>
        <w:t>The r</w:t>
      </w:r>
      <w:r w:rsidR="00F67EBA">
        <w:rPr>
          <w:rFonts w:eastAsia="游明朝"/>
          <w:lang w:eastAsia="ja-JP" w:bidi="bn-IN"/>
        </w:rPr>
        <w:t xml:space="preserve">elationship </w:t>
      </w:r>
      <w:r>
        <w:rPr>
          <w:rFonts w:eastAsia="游明朝"/>
          <w:lang w:eastAsia="ja-JP" w:bidi="bn-IN"/>
        </w:rPr>
        <w:t xml:space="preserve">among </w:t>
      </w:r>
      <w:r w:rsidR="00F67EBA">
        <w:rPr>
          <w:rFonts w:eastAsia="游明朝"/>
          <w:lang w:eastAsia="ja-JP" w:bidi="bn-IN"/>
        </w:rPr>
        <w:t>the frequency range</w:t>
      </w:r>
      <w:r>
        <w:rPr>
          <w:rFonts w:eastAsia="游明朝"/>
          <w:lang w:eastAsia="ja-JP" w:bidi="bn-IN"/>
        </w:rPr>
        <w:t>s</w:t>
      </w:r>
      <w:r w:rsidR="00F67EBA">
        <w:rPr>
          <w:rFonts w:eastAsia="游明朝"/>
          <w:lang w:eastAsia="ja-JP" w:bidi="bn-IN"/>
        </w:rPr>
        <w:t xml:space="preserve"> for </w:t>
      </w:r>
      <w:r>
        <w:rPr>
          <w:rFonts w:eastAsia="游明朝"/>
          <w:lang w:eastAsia="ja-JP" w:bidi="bn-IN"/>
        </w:rPr>
        <w:t xml:space="preserve">the </w:t>
      </w:r>
      <w:r w:rsidR="00F67EBA">
        <w:rPr>
          <w:rFonts w:eastAsia="游明朝"/>
          <w:lang w:eastAsia="ja-JP" w:bidi="bn-IN"/>
        </w:rPr>
        <w:t>EESS</w:t>
      </w:r>
      <w:r>
        <w:rPr>
          <w:rFonts w:eastAsia="游明朝"/>
          <w:lang w:eastAsia="ja-JP" w:bidi="bn-IN"/>
        </w:rPr>
        <w:t xml:space="preserve"> (passive)</w:t>
      </w:r>
      <w:r w:rsidR="00F67EBA">
        <w:rPr>
          <w:rFonts w:eastAsia="游明朝"/>
          <w:lang w:eastAsia="ja-JP" w:bidi="bn-IN"/>
        </w:rPr>
        <w:t>, aggressor of IMT stations and n259 is illustrated in Figure 2.2</w:t>
      </w:r>
      <w:r w:rsidR="00C27157">
        <w:rPr>
          <w:rFonts w:eastAsia="游明朝"/>
          <w:lang w:eastAsia="ja-JP" w:bidi="bn-IN"/>
        </w:rPr>
        <w:t>-1</w:t>
      </w:r>
      <w:r w:rsidR="00F67EBA">
        <w:rPr>
          <w:rFonts w:eastAsia="游明朝"/>
          <w:lang w:eastAsia="ja-JP" w:bidi="bn-IN"/>
        </w:rPr>
        <w:t>.</w:t>
      </w:r>
    </w:p>
    <w:p w:rsidR="00F67EBA" w:rsidRDefault="00F67EBA" w:rsidP="00F67EBA">
      <w:pPr>
        <w:pStyle w:val="B10"/>
        <w:ind w:left="0" w:firstLine="0"/>
        <w:jc w:val="center"/>
        <w:rPr>
          <w:rFonts w:eastAsia="游明朝"/>
          <w:lang w:eastAsia="ja-JP" w:bidi="bn-IN"/>
        </w:rPr>
      </w:pPr>
      <w:r>
        <w:rPr>
          <w:rFonts w:eastAsia="游明朝"/>
          <w:noProof/>
          <w:lang w:val="en-US" w:eastAsia="ja-JP"/>
        </w:rPr>
        <w:lastRenderedPageBreak/>
        <w:drawing>
          <wp:inline distT="0" distB="0" distL="0" distR="0">
            <wp:extent cx="4244468" cy="1634354"/>
            <wp:effectExtent l="19050" t="19050" r="22860" b="2349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7681" cy="1639442"/>
                    </a:xfrm>
                    <a:prstGeom prst="rect">
                      <a:avLst/>
                    </a:prstGeom>
                    <a:noFill/>
                    <a:ln>
                      <a:solidFill>
                        <a:schemeClr val="accent1"/>
                      </a:solidFill>
                    </a:ln>
                  </pic:spPr>
                </pic:pic>
              </a:graphicData>
            </a:graphic>
          </wp:inline>
        </w:drawing>
      </w:r>
    </w:p>
    <w:p w:rsidR="00F67EBA" w:rsidRPr="005C7DEE" w:rsidRDefault="00F67EBA" w:rsidP="00F67EBA">
      <w:pPr>
        <w:jc w:val="center"/>
        <w:rPr>
          <w:rFonts w:ascii="Arial" w:hAnsi="Arial" w:cs="Arial"/>
        </w:rPr>
      </w:pPr>
      <w:r>
        <w:rPr>
          <w:rFonts w:ascii="Arial" w:hAnsi="Arial" w:cs="Arial"/>
        </w:rPr>
        <w:t>Figure 2</w:t>
      </w:r>
      <w:r w:rsidR="00C27157">
        <w:rPr>
          <w:rFonts w:ascii="Arial" w:hAnsi="Arial" w:cs="Arial"/>
        </w:rPr>
        <w:t>.2</w:t>
      </w:r>
      <w:r>
        <w:rPr>
          <w:rFonts w:ascii="Arial" w:hAnsi="Arial" w:cs="Arial"/>
        </w:rPr>
        <w:t>-</w:t>
      </w:r>
      <w:r w:rsidR="00C27157">
        <w:rPr>
          <w:rFonts w:ascii="Arial" w:hAnsi="Arial" w:cs="Arial"/>
        </w:rPr>
        <w:t>1</w:t>
      </w:r>
      <w:r>
        <w:rPr>
          <w:rFonts w:ascii="Arial" w:hAnsi="Arial" w:cs="Arial"/>
        </w:rPr>
        <w:t xml:space="preserve">: </w:t>
      </w:r>
      <w:r w:rsidR="00D22ECF">
        <w:rPr>
          <w:rFonts w:ascii="Arial" w:hAnsi="Arial" w:cs="Arial"/>
        </w:rPr>
        <w:t>F</w:t>
      </w:r>
      <w:r>
        <w:rPr>
          <w:rFonts w:ascii="Arial" w:hAnsi="Arial" w:cs="Arial"/>
        </w:rPr>
        <w:t>requency range</w:t>
      </w:r>
      <w:r w:rsidR="00D22ECF">
        <w:rPr>
          <w:rFonts w:ascii="Arial" w:hAnsi="Arial" w:cs="Arial"/>
        </w:rPr>
        <w:t>s</w:t>
      </w:r>
      <w:r>
        <w:rPr>
          <w:rFonts w:ascii="Arial" w:hAnsi="Arial" w:cs="Arial"/>
        </w:rPr>
        <w:t xml:space="preserve"> relationship </w:t>
      </w:r>
      <w:r w:rsidR="00D22ECF">
        <w:rPr>
          <w:rFonts w:ascii="Arial" w:hAnsi="Arial" w:cs="Arial"/>
        </w:rPr>
        <w:t xml:space="preserve">among </w:t>
      </w:r>
      <w:r>
        <w:rPr>
          <w:rFonts w:ascii="Arial" w:hAnsi="Arial" w:cs="Arial"/>
        </w:rPr>
        <w:t>EESS</w:t>
      </w:r>
      <w:r w:rsidR="00D22ECF">
        <w:rPr>
          <w:rFonts w:ascii="Arial" w:hAnsi="Arial" w:cs="Arial"/>
        </w:rPr>
        <w:t xml:space="preserve"> (passive)</w:t>
      </w:r>
      <w:r>
        <w:rPr>
          <w:rFonts w:ascii="Arial" w:hAnsi="Arial" w:cs="Arial"/>
        </w:rPr>
        <w:t xml:space="preserve">, IMT stations to protect EESS </w:t>
      </w:r>
      <w:r w:rsidR="00D22ECF">
        <w:rPr>
          <w:rFonts w:ascii="Arial" w:hAnsi="Arial" w:cs="Arial"/>
        </w:rPr>
        <w:t xml:space="preserve">(passive) </w:t>
      </w:r>
      <w:r>
        <w:rPr>
          <w:rFonts w:ascii="Arial" w:hAnsi="Arial" w:cs="Arial"/>
        </w:rPr>
        <w:t xml:space="preserve">and </w:t>
      </w:r>
      <w:r w:rsidR="00D22ECF">
        <w:rPr>
          <w:rFonts w:ascii="Arial" w:hAnsi="Arial" w:cs="Arial"/>
        </w:rPr>
        <w:t xml:space="preserve">Band </w:t>
      </w:r>
      <w:r>
        <w:rPr>
          <w:rFonts w:ascii="Arial" w:hAnsi="Arial" w:cs="Arial"/>
        </w:rPr>
        <w:t>n259</w:t>
      </w:r>
    </w:p>
    <w:p w:rsidR="00F73AE0" w:rsidRDefault="00F73AE0" w:rsidP="00395920">
      <w:pPr>
        <w:rPr>
          <w:rFonts w:eastAsia="游明朝"/>
          <w:lang w:eastAsia="ja-JP"/>
        </w:rPr>
      </w:pPr>
      <w:r>
        <w:rPr>
          <w:rFonts w:eastAsia="游明朝"/>
          <w:lang w:eastAsia="ja-JP"/>
        </w:rPr>
        <w:t>From the Figure 2</w:t>
      </w:r>
      <w:r w:rsidR="00D22ECF">
        <w:rPr>
          <w:rFonts w:eastAsia="游明朝"/>
          <w:lang w:eastAsia="ja-JP"/>
        </w:rPr>
        <w:t>.2</w:t>
      </w:r>
      <w:r>
        <w:rPr>
          <w:rFonts w:eastAsia="游明朝"/>
          <w:lang w:eastAsia="ja-JP"/>
        </w:rPr>
        <w:t>-</w:t>
      </w:r>
      <w:r w:rsidR="00D22ECF">
        <w:rPr>
          <w:rFonts w:eastAsia="游明朝"/>
          <w:lang w:eastAsia="ja-JP"/>
        </w:rPr>
        <w:t>1</w:t>
      </w:r>
      <w:r w:rsidR="00F67EBA">
        <w:rPr>
          <w:rFonts w:eastAsia="游明朝"/>
          <w:lang w:eastAsia="ja-JP"/>
        </w:rPr>
        <w:t xml:space="preserve">, </w:t>
      </w:r>
      <w:r>
        <w:rPr>
          <w:rFonts w:eastAsia="游明朝"/>
          <w:lang w:eastAsia="ja-JP"/>
        </w:rPr>
        <w:t>an overlapping portion between “Frequency band for IMT stations” and n259 is only 1 GHz</w:t>
      </w:r>
      <w:r w:rsidR="00D22ECF">
        <w:rPr>
          <w:rFonts w:eastAsia="游明朝"/>
          <w:lang w:eastAsia="ja-JP"/>
        </w:rPr>
        <w:t>, i.e.,</w:t>
      </w:r>
      <w:r>
        <w:rPr>
          <w:rFonts w:eastAsia="游明朝"/>
          <w:lang w:eastAsia="ja-JP"/>
        </w:rPr>
        <w:t xml:space="preserve"> </w:t>
      </w:r>
      <w:r w:rsidR="00D22ECF">
        <w:rPr>
          <w:rFonts w:eastAsia="游明朝"/>
          <w:lang w:eastAsia="ja-JP"/>
        </w:rPr>
        <w:t xml:space="preserve">the </w:t>
      </w:r>
      <w:r>
        <w:rPr>
          <w:rFonts w:eastAsia="游明朝"/>
          <w:lang w:eastAsia="ja-JP"/>
        </w:rPr>
        <w:t xml:space="preserve">frequency range of 39.5 </w:t>
      </w:r>
      <w:r w:rsidR="00592EB4">
        <w:rPr>
          <w:rFonts w:eastAsia="游明朝"/>
          <w:lang w:eastAsia="ja-JP"/>
        </w:rPr>
        <w:t>-</w:t>
      </w:r>
      <w:r>
        <w:rPr>
          <w:rFonts w:eastAsia="游明朝"/>
          <w:lang w:eastAsia="ja-JP"/>
        </w:rPr>
        <w:t xml:space="preserve"> 40.5 GHz. Hence, an n259 capable UE using any portion of 39.5 </w:t>
      </w:r>
      <w:r w:rsidR="00592EB4">
        <w:rPr>
          <w:rFonts w:eastAsia="游明朝"/>
          <w:lang w:eastAsia="ja-JP"/>
        </w:rPr>
        <w:t>-</w:t>
      </w:r>
      <w:r>
        <w:rPr>
          <w:rFonts w:eastAsia="游明朝"/>
          <w:lang w:eastAsia="ja-JP"/>
        </w:rPr>
        <w:t xml:space="preserve"> 40.5 GHz shall </w:t>
      </w:r>
      <w:r w:rsidR="00D22ECF">
        <w:rPr>
          <w:rFonts w:eastAsia="游明朝"/>
          <w:lang w:eastAsia="ja-JP"/>
        </w:rPr>
        <w:t xml:space="preserve">meet the </w:t>
      </w:r>
      <w:r>
        <w:rPr>
          <w:rFonts w:eastAsia="游明朝"/>
          <w:lang w:eastAsia="ja-JP"/>
        </w:rPr>
        <w:t xml:space="preserve">required </w:t>
      </w:r>
      <w:r w:rsidR="00D22ECF">
        <w:rPr>
          <w:rFonts w:eastAsia="游明朝"/>
          <w:lang w:eastAsia="ja-JP"/>
        </w:rPr>
        <w:t xml:space="preserve">unwanted </w:t>
      </w:r>
      <w:r>
        <w:rPr>
          <w:rFonts w:eastAsia="游明朝"/>
          <w:lang w:eastAsia="ja-JP"/>
        </w:rPr>
        <w:t>emission limit</w:t>
      </w:r>
      <w:r w:rsidR="00D22ECF">
        <w:rPr>
          <w:rFonts w:eastAsia="游明朝"/>
          <w:lang w:eastAsia="ja-JP"/>
        </w:rPr>
        <w:t>s</w:t>
      </w:r>
      <w:r>
        <w:rPr>
          <w:rFonts w:eastAsia="游明朝"/>
          <w:lang w:eastAsia="ja-JP"/>
        </w:rPr>
        <w:t xml:space="preserve">. It is, however, not clear the definition of “Frequency band for IMT stations”. There would be multiple interpretations of this term in </w:t>
      </w:r>
      <w:r w:rsidR="00D22ECF">
        <w:rPr>
          <w:rFonts w:eastAsia="游明朝"/>
          <w:lang w:eastAsia="ja-JP"/>
        </w:rPr>
        <w:t xml:space="preserve">the </w:t>
      </w:r>
      <w:r>
        <w:rPr>
          <w:rFonts w:eastAsia="游明朝"/>
          <w:lang w:eastAsia="ja-JP"/>
        </w:rPr>
        <w:t>following ways. Note: In NR, UL and DL channel bandwidth can be different.</w:t>
      </w:r>
    </w:p>
    <w:p w:rsidR="00F73AE0" w:rsidRDefault="00F73AE0" w:rsidP="00F73AE0">
      <w:pPr>
        <w:ind w:firstLineChars="50" w:firstLine="100"/>
        <w:rPr>
          <w:rFonts w:eastAsia="游明朝"/>
          <w:lang w:eastAsia="ja-JP"/>
        </w:rPr>
      </w:pPr>
      <w:r>
        <w:rPr>
          <w:rFonts w:eastAsia="游明朝"/>
          <w:lang w:eastAsia="ja-JP"/>
        </w:rPr>
        <w:t>- An n259 UE using DL channel bandwidth inside this band</w:t>
      </w:r>
    </w:p>
    <w:p w:rsidR="00F73AE0" w:rsidRDefault="00F73AE0" w:rsidP="00F73AE0">
      <w:pPr>
        <w:ind w:firstLineChars="50" w:firstLine="100"/>
        <w:rPr>
          <w:rFonts w:eastAsia="游明朝"/>
          <w:lang w:eastAsia="ja-JP"/>
        </w:rPr>
      </w:pPr>
      <w:r>
        <w:rPr>
          <w:rFonts w:eastAsia="游明朝"/>
          <w:lang w:eastAsia="ja-JP"/>
        </w:rPr>
        <w:t>- An n259 UE using UL channel bandwidth inside this band</w:t>
      </w:r>
    </w:p>
    <w:p w:rsidR="00F73AE0" w:rsidRDefault="00F73AE0" w:rsidP="00F73AE0">
      <w:pPr>
        <w:ind w:firstLineChars="50" w:firstLine="100"/>
        <w:rPr>
          <w:rFonts w:eastAsia="游明朝"/>
          <w:lang w:eastAsia="ja-JP"/>
        </w:rPr>
      </w:pPr>
      <w:r>
        <w:rPr>
          <w:rFonts w:eastAsia="游明朝"/>
          <w:lang w:eastAsia="ja-JP"/>
        </w:rPr>
        <w:t>- An n259 UE using UL resource blocks inside this band regardless of DL channel bandwidth condition</w:t>
      </w:r>
    </w:p>
    <w:p w:rsidR="00F73AE0" w:rsidRDefault="00FB2115" w:rsidP="00F73AE0">
      <w:pPr>
        <w:ind w:firstLineChars="50" w:firstLine="100"/>
        <w:rPr>
          <w:rFonts w:eastAsia="游明朝"/>
          <w:lang w:eastAsia="ja-JP"/>
        </w:rPr>
      </w:pPr>
      <w:r>
        <w:rPr>
          <w:rFonts w:eastAsia="游明朝"/>
          <w:lang w:eastAsia="ja-JP"/>
        </w:rPr>
        <w:t>- Etc</w:t>
      </w:r>
      <w:r w:rsidR="00F73AE0">
        <w:rPr>
          <w:rFonts w:eastAsia="游明朝"/>
          <w:lang w:eastAsia="ja-JP"/>
        </w:rPr>
        <w:t>.</w:t>
      </w:r>
    </w:p>
    <w:p w:rsidR="00FB2115" w:rsidRDefault="00FB2115" w:rsidP="00395920">
      <w:pPr>
        <w:rPr>
          <w:rFonts w:eastAsia="游明朝"/>
          <w:lang w:eastAsia="ja-JP"/>
        </w:rPr>
      </w:pPr>
      <w:r>
        <w:rPr>
          <w:rFonts w:eastAsia="游明朝"/>
          <w:lang w:eastAsia="ja-JP"/>
        </w:rPr>
        <w:t>From coexistence perspective, it would be reasonable to focus on UL condition, though in NR, DL channel condition may affect UL requirements like MPR. The MPR, however, is not for how emission limit should be but rather for allowing UE to reduce its power to meet emission limit. Thus, it would be sufficient to make an n259 UE protect EESS with the required limit whenever the UE is transmitting UL resource element(s) whose any portion is inside 39.5-40.5GHz.</w:t>
      </w:r>
    </w:p>
    <w:p w:rsidR="00C27157" w:rsidRDefault="00FB2115" w:rsidP="00332792">
      <w:pPr>
        <w:rPr>
          <w:b/>
        </w:rPr>
      </w:pPr>
      <w:r>
        <w:rPr>
          <w:b/>
        </w:rPr>
        <w:t>Proposal 1</w:t>
      </w:r>
      <w:r w:rsidR="00332792">
        <w:rPr>
          <w:b/>
        </w:rPr>
        <w:t xml:space="preserve">: </w:t>
      </w:r>
      <w:r>
        <w:rPr>
          <w:b/>
        </w:rPr>
        <w:t xml:space="preserve">n259 UEs shall meet </w:t>
      </w:r>
      <w:r w:rsidR="00D22ECF">
        <w:rPr>
          <w:b/>
        </w:rPr>
        <w:t xml:space="preserve">the unwanted </w:t>
      </w:r>
      <w:r>
        <w:rPr>
          <w:b/>
        </w:rPr>
        <w:t>emission limit</w:t>
      </w:r>
      <w:r w:rsidR="00D22ECF">
        <w:rPr>
          <w:b/>
        </w:rPr>
        <w:t>s to protect the EESS (passive)</w:t>
      </w:r>
      <w:r>
        <w:rPr>
          <w:b/>
        </w:rPr>
        <w:t xml:space="preserve"> only when </w:t>
      </w:r>
      <w:r w:rsidR="00C27157">
        <w:rPr>
          <w:b/>
        </w:rPr>
        <w:t>any portion of the UL transmission bandwidth is inside 39.5 - 40.5GHz.</w:t>
      </w:r>
    </w:p>
    <w:p w:rsidR="009E795D" w:rsidRDefault="009E795D" w:rsidP="00332792">
      <w:pPr>
        <w:rPr>
          <w:rFonts w:eastAsia="游明朝"/>
          <w:lang w:eastAsia="ja-JP"/>
        </w:rPr>
      </w:pPr>
      <w:r>
        <w:rPr>
          <w:rFonts w:eastAsia="游明朝"/>
          <w:lang w:eastAsia="ja-JP"/>
        </w:rPr>
        <w:t>Concrete specification examples based on R4-1916034 are as follows.</w:t>
      </w:r>
    </w:p>
    <w:p w:rsidR="009E795D" w:rsidRPr="002F526C" w:rsidRDefault="009E795D" w:rsidP="009E795D">
      <w:pPr>
        <w:pStyle w:val="Guidance"/>
        <w:rPr>
          <w:rFonts w:eastAsia="游明朝"/>
          <w:i w:val="0"/>
          <w:color w:val="000000"/>
          <w:lang w:eastAsia="ja-JP"/>
        </w:rPr>
      </w:pPr>
      <w:bookmarkStart w:id="1" w:name="_Toc473554006"/>
    </w:p>
    <w:p w:rsidR="009E795D" w:rsidRPr="00A404FD" w:rsidRDefault="009E795D" w:rsidP="009E795D">
      <w:pPr>
        <w:pStyle w:val="TH"/>
        <w:rPr>
          <w:rFonts w:eastAsia="游明朝"/>
          <w:i/>
          <w:color w:val="000000"/>
          <w:lang w:eastAsia="ja-JP"/>
        </w:rPr>
      </w:pPr>
      <w:r w:rsidRPr="00A404FD">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01"/>
        <w:gridCol w:w="2997"/>
        <w:gridCol w:w="731"/>
        <w:gridCol w:w="343"/>
        <w:gridCol w:w="731"/>
        <w:gridCol w:w="1267"/>
        <w:gridCol w:w="1498"/>
        <w:gridCol w:w="1494"/>
      </w:tblGrid>
      <w:tr w:rsidR="009E795D" w:rsidRPr="00A404FD" w:rsidTr="00DB7AF3">
        <w:trPr>
          <w:trHeight w:val="130"/>
          <w:jc w:val="center"/>
        </w:trPr>
        <w:tc>
          <w:tcPr>
            <w:tcW w:w="451" w:type="pct"/>
            <w:vMerge w:val="restart"/>
            <w:shd w:val="clear" w:color="auto" w:fill="auto"/>
            <w:vAlign w:val="center"/>
          </w:tcPr>
          <w:p w:rsidR="009E795D" w:rsidRPr="00A404FD" w:rsidRDefault="009E795D" w:rsidP="00DB7AF3">
            <w:pPr>
              <w:pStyle w:val="TAH"/>
              <w:rPr>
                <w:rFonts w:cs="Arial"/>
              </w:rPr>
            </w:pPr>
            <w:r w:rsidRPr="00A404FD">
              <w:rPr>
                <w:rFonts w:cs="Arial"/>
              </w:rPr>
              <w:t>NR Band</w:t>
            </w:r>
          </w:p>
        </w:tc>
        <w:tc>
          <w:tcPr>
            <w:tcW w:w="4549" w:type="pct"/>
            <w:gridSpan w:val="7"/>
            <w:shd w:val="clear" w:color="auto" w:fill="auto"/>
          </w:tcPr>
          <w:p w:rsidR="009E795D" w:rsidRPr="00A404FD" w:rsidRDefault="009E795D" w:rsidP="00DB7AF3">
            <w:pPr>
              <w:pStyle w:val="TAH"/>
              <w:rPr>
                <w:rFonts w:cs="Arial"/>
              </w:rPr>
            </w:pPr>
            <w:r w:rsidRPr="00A404FD">
              <w:rPr>
                <w:rFonts w:cs="Arial"/>
              </w:rPr>
              <w:t xml:space="preserve">Spurious emission </w:t>
            </w:r>
          </w:p>
        </w:tc>
      </w:tr>
      <w:tr w:rsidR="009E795D" w:rsidRPr="00A404FD" w:rsidTr="00DB7AF3">
        <w:trPr>
          <w:trHeight w:val="217"/>
          <w:jc w:val="center"/>
        </w:trPr>
        <w:tc>
          <w:tcPr>
            <w:tcW w:w="452" w:type="pct"/>
            <w:vMerge/>
            <w:tcBorders>
              <w:bottom w:val="single" w:sz="4" w:space="0" w:color="auto"/>
            </w:tcBorders>
            <w:vAlign w:val="center"/>
          </w:tcPr>
          <w:p w:rsidR="009E795D" w:rsidRPr="00A404FD" w:rsidRDefault="009E795D" w:rsidP="00DB7AF3">
            <w:pPr>
              <w:pStyle w:val="TAH"/>
              <w:rPr>
                <w:rFonts w:cs="Arial"/>
              </w:rPr>
            </w:pPr>
          </w:p>
        </w:tc>
        <w:tc>
          <w:tcPr>
            <w:tcW w:w="1504" w:type="pct"/>
            <w:tcBorders>
              <w:bottom w:val="single" w:sz="4" w:space="0" w:color="auto"/>
            </w:tcBorders>
            <w:shd w:val="clear" w:color="auto" w:fill="auto"/>
          </w:tcPr>
          <w:p w:rsidR="009E795D" w:rsidRPr="00A404FD" w:rsidRDefault="009E795D" w:rsidP="00DB7AF3">
            <w:pPr>
              <w:pStyle w:val="TAH"/>
              <w:rPr>
                <w:rFonts w:cs="Arial"/>
              </w:rPr>
            </w:pPr>
            <w:r w:rsidRPr="00A404FD">
              <w:rPr>
                <w:rFonts w:cs="Arial"/>
              </w:rPr>
              <w:t>Protected band/frequency range</w:t>
            </w:r>
          </w:p>
        </w:tc>
        <w:tc>
          <w:tcPr>
            <w:tcW w:w="906" w:type="pct"/>
            <w:gridSpan w:val="3"/>
            <w:tcBorders>
              <w:bottom w:val="single" w:sz="4" w:space="0" w:color="auto"/>
            </w:tcBorders>
            <w:shd w:val="clear" w:color="auto" w:fill="auto"/>
          </w:tcPr>
          <w:p w:rsidR="009E795D" w:rsidRPr="00A404FD" w:rsidRDefault="009E795D" w:rsidP="00DB7AF3">
            <w:pPr>
              <w:pStyle w:val="TAH"/>
              <w:rPr>
                <w:rFonts w:cs="Arial"/>
              </w:rPr>
            </w:pPr>
            <w:r w:rsidRPr="00A404FD">
              <w:rPr>
                <w:rFonts w:cs="Arial"/>
              </w:rPr>
              <w:t>Frequency range (MHz)</w:t>
            </w:r>
          </w:p>
        </w:tc>
        <w:tc>
          <w:tcPr>
            <w:tcW w:w="636" w:type="pct"/>
            <w:tcBorders>
              <w:bottom w:val="single" w:sz="4" w:space="0" w:color="auto"/>
            </w:tcBorders>
            <w:shd w:val="clear" w:color="auto" w:fill="auto"/>
          </w:tcPr>
          <w:p w:rsidR="009E795D" w:rsidRPr="00A404FD" w:rsidRDefault="009E795D" w:rsidP="00DB7AF3">
            <w:pPr>
              <w:pStyle w:val="TAH"/>
              <w:rPr>
                <w:rFonts w:cs="Arial"/>
              </w:rPr>
            </w:pPr>
            <w:r w:rsidRPr="00A404FD">
              <w:rPr>
                <w:rFonts w:cs="Arial"/>
              </w:rPr>
              <w:t>Maximum Level (dBm)</w:t>
            </w:r>
          </w:p>
        </w:tc>
        <w:tc>
          <w:tcPr>
            <w:tcW w:w="752" w:type="pct"/>
            <w:tcBorders>
              <w:bottom w:val="single" w:sz="4" w:space="0" w:color="auto"/>
            </w:tcBorders>
            <w:shd w:val="clear" w:color="auto" w:fill="auto"/>
          </w:tcPr>
          <w:p w:rsidR="009E795D" w:rsidRPr="00A404FD" w:rsidRDefault="009E795D" w:rsidP="00DB7AF3">
            <w:pPr>
              <w:pStyle w:val="TAH"/>
              <w:rPr>
                <w:rFonts w:cs="Arial"/>
              </w:rPr>
            </w:pPr>
            <w:r w:rsidRPr="00A404FD">
              <w:rPr>
                <w:rFonts w:cs="Arial"/>
              </w:rPr>
              <w:t>MBW (MHz)</w:t>
            </w:r>
          </w:p>
        </w:tc>
        <w:tc>
          <w:tcPr>
            <w:tcW w:w="749" w:type="pct"/>
            <w:tcBorders>
              <w:bottom w:val="single" w:sz="4" w:space="0" w:color="auto"/>
            </w:tcBorders>
          </w:tcPr>
          <w:p w:rsidR="009E795D" w:rsidRPr="00A404FD" w:rsidRDefault="009E795D" w:rsidP="00DB7AF3">
            <w:pPr>
              <w:pStyle w:val="TAH"/>
              <w:rPr>
                <w:rFonts w:cs="Arial"/>
              </w:rPr>
            </w:pPr>
            <w:r w:rsidRPr="00A404FD">
              <w:rPr>
                <w:rFonts w:cs="Arial"/>
              </w:rPr>
              <w:t>NOTE</w:t>
            </w:r>
          </w:p>
        </w:tc>
      </w:tr>
      <w:tr w:rsidR="009E795D" w:rsidRPr="00A404FD" w:rsidTr="00DB7AF3">
        <w:trPr>
          <w:trHeight w:val="108"/>
          <w:jc w:val="center"/>
        </w:trPr>
        <w:tc>
          <w:tcPr>
            <w:tcW w:w="452" w:type="pct"/>
            <w:vMerge w:val="restart"/>
            <w:tcBorders>
              <w:top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n257</w:t>
            </w:r>
          </w:p>
        </w:tc>
        <w:tc>
          <w:tcPr>
            <w:tcW w:w="1504"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NR Band n259</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-2</w:t>
            </w:r>
          </w:p>
        </w:tc>
        <w:tc>
          <w:tcPr>
            <w:tcW w:w="752" w:type="pct"/>
            <w:tcBorders>
              <w:top w:val="single" w:sz="4" w:space="0" w:color="auto"/>
              <w:left w:val="single" w:sz="4" w:space="0" w:color="auto"/>
              <w:bottom w:val="single" w:sz="4" w:space="0" w:color="auto"/>
            </w:tcBorders>
            <w:shd w:val="clear" w:color="auto" w:fill="auto"/>
            <w:noWrap/>
            <w:vAlign w:val="center"/>
          </w:tcPr>
          <w:p w:rsidR="009E795D" w:rsidRPr="00A404FD" w:rsidRDefault="009E795D" w:rsidP="00DB7AF3">
            <w:pPr>
              <w:pStyle w:val="TAC"/>
              <w:rPr>
                <w:rFonts w:cs="Arial"/>
                <w:szCs w:val="16"/>
              </w:rPr>
            </w:pPr>
            <w:r w:rsidRPr="00A404FD">
              <w:rPr>
                <w:rFonts w:cs="Arial"/>
                <w:szCs w:val="16"/>
              </w:rPr>
              <w:t>100</w:t>
            </w:r>
          </w:p>
        </w:tc>
        <w:tc>
          <w:tcPr>
            <w:tcW w:w="749" w:type="pct"/>
            <w:tcBorders>
              <w:top w:val="single" w:sz="4" w:space="0" w:color="auto"/>
              <w:left w:val="single" w:sz="4" w:space="0" w:color="auto"/>
              <w:bottom w:val="single" w:sz="4" w:space="0" w:color="auto"/>
            </w:tcBorders>
          </w:tcPr>
          <w:p w:rsidR="009E795D" w:rsidRPr="00A404FD" w:rsidRDefault="009E795D" w:rsidP="00DB7AF3">
            <w:pPr>
              <w:pStyle w:val="TAC"/>
              <w:rPr>
                <w:rFonts w:cs="Arial"/>
                <w:szCs w:val="16"/>
              </w:rPr>
            </w:pPr>
          </w:p>
        </w:tc>
      </w:tr>
      <w:tr w:rsidR="009E795D" w:rsidRPr="00A404FD" w:rsidTr="00DB7AF3">
        <w:trPr>
          <w:trHeight w:val="108"/>
          <w:jc w:val="center"/>
        </w:trPr>
        <w:tc>
          <w:tcPr>
            <w:tcW w:w="452" w:type="pct"/>
            <w:vMerge/>
            <w:tcBorders>
              <w:right w:val="single" w:sz="4" w:space="0" w:color="auto"/>
            </w:tcBorders>
            <w:shd w:val="clear" w:color="auto" w:fill="auto"/>
            <w:vAlign w:val="center"/>
          </w:tcPr>
          <w:p w:rsidR="009E795D" w:rsidRPr="00A404FD" w:rsidRDefault="009E795D" w:rsidP="00DB7AF3">
            <w:pPr>
              <w:pStyle w:val="TAC"/>
              <w:rPr>
                <w:rFonts w:cs="Arial"/>
                <w:szCs w:val="16"/>
              </w:rPr>
            </w:pPr>
          </w:p>
        </w:tc>
        <w:tc>
          <w:tcPr>
            <w:tcW w:w="1504"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NR Band n260</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-2</w:t>
            </w:r>
          </w:p>
        </w:tc>
        <w:tc>
          <w:tcPr>
            <w:tcW w:w="752" w:type="pct"/>
            <w:tcBorders>
              <w:top w:val="single" w:sz="4" w:space="0" w:color="auto"/>
              <w:left w:val="single" w:sz="4" w:space="0" w:color="auto"/>
              <w:bottom w:val="single" w:sz="4" w:space="0" w:color="auto"/>
            </w:tcBorders>
            <w:shd w:val="clear" w:color="auto" w:fill="auto"/>
            <w:noWrap/>
            <w:vAlign w:val="center"/>
          </w:tcPr>
          <w:p w:rsidR="009E795D" w:rsidRPr="00A404FD" w:rsidRDefault="009E795D" w:rsidP="00DB7AF3">
            <w:pPr>
              <w:pStyle w:val="TAC"/>
              <w:rPr>
                <w:rFonts w:cs="Arial"/>
                <w:szCs w:val="16"/>
              </w:rPr>
            </w:pPr>
            <w:r w:rsidRPr="00A404FD">
              <w:rPr>
                <w:rFonts w:cs="Arial"/>
                <w:szCs w:val="16"/>
              </w:rPr>
              <w:t>100</w:t>
            </w:r>
          </w:p>
        </w:tc>
        <w:tc>
          <w:tcPr>
            <w:tcW w:w="749" w:type="pct"/>
            <w:tcBorders>
              <w:top w:val="single" w:sz="4" w:space="0" w:color="auto"/>
              <w:left w:val="single" w:sz="4" w:space="0" w:color="auto"/>
              <w:bottom w:val="single" w:sz="4" w:space="0" w:color="auto"/>
            </w:tcBorders>
          </w:tcPr>
          <w:p w:rsidR="009E795D" w:rsidRPr="00A404FD" w:rsidRDefault="009E795D" w:rsidP="00DB7AF3">
            <w:pPr>
              <w:pStyle w:val="TAC"/>
              <w:rPr>
                <w:rFonts w:eastAsia="游明朝" w:cs="Arial"/>
                <w:szCs w:val="16"/>
                <w:lang w:eastAsia="ja-JP"/>
              </w:rPr>
            </w:pPr>
          </w:p>
        </w:tc>
      </w:tr>
      <w:tr w:rsidR="009E795D" w:rsidRPr="00A404FD" w:rsidTr="00DB7AF3">
        <w:trPr>
          <w:trHeight w:val="108"/>
          <w:jc w:val="center"/>
        </w:trPr>
        <w:tc>
          <w:tcPr>
            <w:tcW w:w="452" w:type="pct"/>
            <w:vMerge/>
            <w:tcBorders>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p>
        </w:tc>
        <w:tc>
          <w:tcPr>
            <w:tcW w:w="1504"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Frequency range</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R"/>
              <w:rPr>
                <w:rFonts w:cs="Arial"/>
                <w:szCs w:val="16"/>
              </w:rPr>
            </w:pPr>
            <w:r w:rsidRPr="00A404FD">
              <w:rPr>
                <w:rFonts w:cs="Arial"/>
                <w:szCs w:val="16"/>
              </w:rPr>
              <w:t>57000</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66000</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2</w:t>
            </w:r>
          </w:p>
        </w:tc>
        <w:tc>
          <w:tcPr>
            <w:tcW w:w="752" w:type="pct"/>
            <w:tcBorders>
              <w:top w:val="single" w:sz="4" w:space="0" w:color="auto"/>
              <w:left w:val="single" w:sz="4" w:space="0" w:color="auto"/>
              <w:bottom w:val="single" w:sz="4" w:space="0" w:color="auto"/>
            </w:tcBorders>
            <w:shd w:val="clear" w:color="auto" w:fill="auto"/>
            <w:noWrap/>
            <w:vAlign w:val="center"/>
          </w:tcPr>
          <w:p w:rsidR="009E795D" w:rsidRPr="00A404FD" w:rsidRDefault="009E795D" w:rsidP="00DB7AF3">
            <w:pPr>
              <w:pStyle w:val="TAC"/>
              <w:rPr>
                <w:rFonts w:cs="Arial"/>
                <w:szCs w:val="16"/>
              </w:rPr>
            </w:pPr>
            <w:r w:rsidRPr="00A404FD">
              <w:rPr>
                <w:rFonts w:cs="Arial"/>
                <w:szCs w:val="16"/>
              </w:rPr>
              <w:t>100</w:t>
            </w:r>
          </w:p>
        </w:tc>
        <w:tc>
          <w:tcPr>
            <w:tcW w:w="749" w:type="pct"/>
            <w:tcBorders>
              <w:top w:val="single" w:sz="4" w:space="0" w:color="auto"/>
              <w:left w:val="single" w:sz="4" w:space="0" w:color="auto"/>
              <w:bottom w:val="single" w:sz="4" w:space="0" w:color="auto"/>
            </w:tcBorders>
          </w:tcPr>
          <w:p w:rsidR="009E795D" w:rsidRPr="00A404FD" w:rsidRDefault="009E795D" w:rsidP="00DB7AF3">
            <w:pPr>
              <w:pStyle w:val="TAC"/>
              <w:rPr>
                <w:rFonts w:cs="Arial"/>
                <w:szCs w:val="16"/>
              </w:rPr>
            </w:pPr>
          </w:p>
        </w:tc>
      </w:tr>
      <w:tr w:rsidR="009E795D" w:rsidRPr="00A404FD" w:rsidTr="00DB7AF3">
        <w:trPr>
          <w:trHeight w:val="108"/>
          <w:jc w:val="center"/>
        </w:trPr>
        <w:tc>
          <w:tcPr>
            <w:tcW w:w="452" w:type="pct"/>
            <w:tcBorders>
              <w:top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n258</w:t>
            </w:r>
          </w:p>
        </w:tc>
        <w:tc>
          <w:tcPr>
            <w:tcW w:w="1504"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Frequency range</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R"/>
              <w:rPr>
                <w:rFonts w:cs="Arial"/>
                <w:szCs w:val="16"/>
              </w:rPr>
            </w:pPr>
            <w:r w:rsidRPr="00A404FD">
              <w:rPr>
                <w:rFonts w:cs="Arial"/>
                <w:szCs w:val="16"/>
              </w:rPr>
              <w:t>57000</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66000</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2</w:t>
            </w:r>
          </w:p>
        </w:tc>
        <w:tc>
          <w:tcPr>
            <w:tcW w:w="752" w:type="pct"/>
            <w:tcBorders>
              <w:top w:val="single" w:sz="4" w:space="0" w:color="auto"/>
              <w:left w:val="single" w:sz="4" w:space="0" w:color="auto"/>
              <w:bottom w:val="single" w:sz="4" w:space="0" w:color="auto"/>
            </w:tcBorders>
            <w:shd w:val="clear" w:color="auto" w:fill="auto"/>
            <w:noWrap/>
            <w:vAlign w:val="center"/>
          </w:tcPr>
          <w:p w:rsidR="009E795D" w:rsidRPr="00A404FD" w:rsidRDefault="009E795D" w:rsidP="00DB7AF3">
            <w:pPr>
              <w:pStyle w:val="TAC"/>
              <w:rPr>
                <w:rFonts w:cs="Arial"/>
                <w:szCs w:val="16"/>
              </w:rPr>
            </w:pPr>
            <w:r w:rsidRPr="00A404FD">
              <w:rPr>
                <w:rFonts w:cs="Arial"/>
                <w:szCs w:val="16"/>
              </w:rPr>
              <w:t>100</w:t>
            </w:r>
          </w:p>
        </w:tc>
        <w:tc>
          <w:tcPr>
            <w:tcW w:w="749" w:type="pct"/>
            <w:tcBorders>
              <w:top w:val="single" w:sz="4" w:space="0" w:color="auto"/>
              <w:left w:val="single" w:sz="4" w:space="0" w:color="auto"/>
              <w:bottom w:val="single" w:sz="4" w:space="0" w:color="auto"/>
            </w:tcBorders>
          </w:tcPr>
          <w:p w:rsidR="009E795D" w:rsidRPr="00A404FD" w:rsidRDefault="009E795D" w:rsidP="00DB7AF3">
            <w:pPr>
              <w:pStyle w:val="TAC"/>
              <w:rPr>
                <w:rFonts w:cs="Arial"/>
                <w:szCs w:val="16"/>
              </w:rPr>
            </w:pPr>
          </w:p>
        </w:tc>
      </w:tr>
      <w:tr w:rsidR="009E795D" w:rsidRPr="00A404FD" w:rsidTr="00DB7AF3">
        <w:trPr>
          <w:trHeight w:val="108"/>
          <w:jc w:val="center"/>
        </w:trPr>
        <w:tc>
          <w:tcPr>
            <w:tcW w:w="452" w:type="pct"/>
            <w:vMerge w:val="restart"/>
            <w:tcBorders>
              <w:top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n259</w:t>
            </w:r>
          </w:p>
        </w:tc>
        <w:tc>
          <w:tcPr>
            <w:tcW w:w="1504"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NR Band 257</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-5</w:t>
            </w:r>
          </w:p>
        </w:tc>
        <w:tc>
          <w:tcPr>
            <w:tcW w:w="752" w:type="pct"/>
            <w:tcBorders>
              <w:top w:val="single" w:sz="4" w:space="0" w:color="auto"/>
              <w:left w:val="single" w:sz="4" w:space="0" w:color="auto"/>
              <w:bottom w:val="single" w:sz="4" w:space="0" w:color="auto"/>
            </w:tcBorders>
            <w:shd w:val="clear" w:color="auto" w:fill="auto"/>
            <w:noWrap/>
            <w:vAlign w:val="center"/>
          </w:tcPr>
          <w:p w:rsidR="009E795D" w:rsidRPr="00A404FD" w:rsidRDefault="009E795D" w:rsidP="00DB7AF3">
            <w:pPr>
              <w:pStyle w:val="TAC"/>
              <w:rPr>
                <w:rFonts w:cs="Arial"/>
                <w:szCs w:val="16"/>
              </w:rPr>
            </w:pPr>
            <w:r w:rsidRPr="00A404FD">
              <w:rPr>
                <w:rFonts w:cs="Arial"/>
                <w:szCs w:val="16"/>
              </w:rPr>
              <w:t>100</w:t>
            </w:r>
          </w:p>
        </w:tc>
        <w:tc>
          <w:tcPr>
            <w:tcW w:w="749" w:type="pct"/>
            <w:tcBorders>
              <w:top w:val="single" w:sz="4" w:space="0" w:color="auto"/>
              <w:left w:val="single" w:sz="4" w:space="0" w:color="auto"/>
              <w:bottom w:val="single" w:sz="4" w:space="0" w:color="auto"/>
            </w:tcBorders>
          </w:tcPr>
          <w:p w:rsidR="009E795D" w:rsidRPr="00A404FD" w:rsidRDefault="009E795D" w:rsidP="00DB7AF3">
            <w:pPr>
              <w:pStyle w:val="TAC"/>
              <w:rPr>
                <w:rFonts w:cs="Arial"/>
                <w:szCs w:val="16"/>
              </w:rPr>
            </w:pPr>
          </w:p>
        </w:tc>
      </w:tr>
      <w:tr w:rsidR="009E795D" w:rsidRPr="00A404FD" w:rsidTr="00DB7AF3">
        <w:trPr>
          <w:trHeight w:val="108"/>
          <w:jc w:val="center"/>
        </w:trPr>
        <w:tc>
          <w:tcPr>
            <w:tcW w:w="452" w:type="pct"/>
            <w:vMerge/>
            <w:tcBorders>
              <w:right w:val="single" w:sz="4" w:space="0" w:color="auto"/>
            </w:tcBorders>
            <w:shd w:val="clear" w:color="auto" w:fill="auto"/>
            <w:vAlign w:val="center"/>
          </w:tcPr>
          <w:p w:rsidR="009E795D" w:rsidRPr="00A404FD" w:rsidRDefault="009E795D" w:rsidP="00DB7AF3">
            <w:pPr>
              <w:pStyle w:val="TAC"/>
              <w:rPr>
                <w:rFonts w:cs="Arial"/>
                <w:szCs w:val="16"/>
              </w:rPr>
            </w:pPr>
          </w:p>
        </w:tc>
        <w:tc>
          <w:tcPr>
            <w:tcW w:w="1504"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NR Band 261</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-5</w:t>
            </w:r>
          </w:p>
        </w:tc>
        <w:tc>
          <w:tcPr>
            <w:tcW w:w="752" w:type="pct"/>
            <w:tcBorders>
              <w:top w:val="single" w:sz="4" w:space="0" w:color="auto"/>
              <w:left w:val="single" w:sz="4" w:space="0" w:color="auto"/>
              <w:bottom w:val="single" w:sz="4" w:space="0" w:color="auto"/>
            </w:tcBorders>
            <w:shd w:val="clear" w:color="auto" w:fill="auto"/>
            <w:noWrap/>
            <w:vAlign w:val="center"/>
          </w:tcPr>
          <w:p w:rsidR="009E795D" w:rsidRPr="00A404FD" w:rsidRDefault="009E795D" w:rsidP="00DB7AF3">
            <w:pPr>
              <w:pStyle w:val="TAC"/>
              <w:rPr>
                <w:rFonts w:cs="Arial"/>
                <w:szCs w:val="16"/>
              </w:rPr>
            </w:pPr>
            <w:r w:rsidRPr="00A404FD">
              <w:rPr>
                <w:rFonts w:cs="Arial"/>
                <w:szCs w:val="16"/>
              </w:rPr>
              <w:t>100</w:t>
            </w:r>
          </w:p>
        </w:tc>
        <w:tc>
          <w:tcPr>
            <w:tcW w:w="749" w:type="pct"/>
            <w:tcBorders>
              <w:top w:val="single" w:sz="4" w:space="0" w:color="auto"/>
              <w:left w:val="single" w:sz="4" w:space="0" w:color="auto"/>
              <w:bottom w:val="single" w:sz="4" w:space="0" w:color="auto"/>
            </w:tcBorders>
          </w:tcPr>
          <w:p w:rsidR="009E795D" w:rsidRPr="00A404FD" w:rsidRDefault="009E795D" w:rsidP="00DB7AF3">
            <w:pPr>
              <w:pStyle w:val="TAC"/>
              <w:rPr>
                <w:rFonts w:cs="Arial"/>
                <w:szCs w:val="16"/>
              </w:rPr>
            </w:pPr>
          </w:p>
        </w:tc>
      </w:tr>
      <w:tr w:rsidR="009E795D" w:rsidRPr="00A404FD" w:rsidTr="00DB7AF3">
        <w:trPr>
          <w:trHeight w:val="108"/>
          <w:jc w:val="center"/>
        </w:trPr>
        <w:tc>
          <w:tcPr>
            <w:tcW w:w="452" w:type="pct"/>
            <w:vMerge/>
            <w:tcBorders>
              <w:right w:val="single" w:sz="4" w:space="0" w:color="auto"/>
            </w:tcBorders>
            <w:shd w:val="clear" w:color="auto" w:fill="auto"/>
            <w:vAlign w:val="center"/>
          </w:tcPr>
          <w:p w:rsidR="009E795D" w:rsidRPr="00A404FD" w:rsidRDefault="009E795D" w:rsidP="00DB7AF3">
            <w:pPr>
              <w:pStyle w:val="TAC"/>
              <w:rPr>
                <w:rFonts w:cs="Arial"/>
                <w:szCs w:val="16"/>
              </w:rPr>
            </w:pPr>
          </w:p>
        </w:tc>
        <w:tc>
          <w:tcPr>
            <w:tcW w:w="1504"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Frequency range</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R"/>
              <w:rPr>
                <w:rFonts w:cs="Arial"/>
                <w:szCs w:val="16"/>
              </w:rPr>
            </w:pPr>
            <w:r w:rsidRPr="00A404FD">
              <w:rPr>
                <w:rFonts w:cs="Arial"/>
                <w:szCs w:val="16"/>
              </w:rPr>
              <w:t>57000</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66000</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2</w:t>
            </w:r>
          </w:p>
        </w:tc>
        <w:tc>
          <w:tcPr>
            <w:tcW w:w="752" w:type="pct"/>
            <w:tcBorders>
              <w:top w:val="single" w:sz="4" w:space="0" w:color="auto"/>
              <w:left w:val="single" w:sz="4" w:space="0" w:color="auto"/>
              <w:bottom w:val="single" w:sz="4" w:space="0" w:color="auto"/>
            </w:tcBorders>
            <w:shd w:val="clear" w:color="auto" w:fill="auto"/>
            <w:noWrap/>
            <w:vAlign w:val="center"/>
          </w:tcPr>
          <w:p w:rsidR="009E795D" w:rsidRPr="00A404FD" w:rsidRDefault="009E795D" w:rsidP="00DB7AF3">
            <w:pPr>
              <w:pStyle w:val="TAC"/>
              <w:rPr>
                <w:rFonts w:cs="Arial"/>
                <w:szCs w:val="16"/>
              </w:rPr>
            </w:pPr>
            <w:r w:rsidRPr="00A404FD">
              <w:rPr>
                <w:rFonts w:cs="Arial"/>
                <w:szCs w:val="16"/>
              </w:rPr>
              <w:t>100</w:t>
            </w:r>
          </w:p>
        </w:tc>
        <w:tc>
          <w:tcPr>
            <w:tcW w:w="749" w:type="pct"/>
            <w:tcBorders>
              <w:top w:val="single" w:sz="4" w:space="0" w:color="auto"/>
              <w:left w:val="single" w:sz="4" w:space="0" w:color="auto"/>
              <w:bottom w:val="single" w:sz="4" w:space="0" w:color="auto"/>
            </w:tcBorders>
          </w:tcPr>
          <w:p w:rsidR="009E795D" w:rsidRPr="00A404FD" w:rsidRDefault="009E795D" w:rsidP="00DB7AF3">
            <w:pPr>
              <w:pStyle w:val="TAC"/>
              <w:rPr>
                <w:rFonts w:cs="Arial"/>
                <w:szCs w:val="16"/>
              </w:rPr>
            </w:pPr>
          </w:p>
        </w:tc>
      </w:tr>
      <w:tr w:rsidR="009E795D" w:rsidRPr="00A404FD" w:rsidTr="00DB7AF3">
        <w:trPr>
          <w:trHeight w:val="108"/>
          <w:jc w:val="center"/>
        </w:trPr>
        <w:tc>
          <w:tcPr>
            <w:tcW w:w="452" w:type="pct"/>
            <w:vMerge/>
            <w:tcBorders>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p>
        </w:tc>
        <w:tc>
          <w:tcPr>
            <w:tcW w:w="1504"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highlight w:val="cyan"/>
              </w:rPr>
            </w:pPr>
            <w:r w:rsidRPr="00A404FD">
              <w:rPr>
                <w:rFonts w:cs="Arial"/>
                <w:szCs w:val="16"/>
                <w:highlight w:val="cyan"/>
              </w:rPr>
              <w:t>Frequency range</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R"/>
              <w:rPr>
                <w:rFonts w:cs="Arial"/>
                <w:szCs w:val="16"/>
                <w:highlight w:val="cyan"/>
              </w:rPr>
            </w:pPr>
            <w:r w:rsidRPr="00A404FD">
              <w:rPr>
                <w:rFonts w:cs="Arial"/>
                <w:szCs w:val="16"/>
                <w:highlight w:val="cyan"/>
              </w:rPr>
              <w:t>36000</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highlight w:val="cyan"/>
              </w:rPr>
            </w:pPr>
            <w:r w:rsidRPr="00A404FD">
              <w:rPr>
                <w:rFonts w:cs="Arial"/>
                <w:szCs w:val="16"/>
                <w:highlight w:val="cyan"/>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highlight w:val="cyan"/>
              </w:rPr>
            </w:pPr>
            <w:r w:rsidRPr="00A404FD">
              <w:rPr>
                <w:rFonts w:cs="Arial"/>
                <w:szCs w:val="16"/>
                <w:highlight w:val="cyan"/>
              </w:rPr>
              <w:t>37000</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highlight w:val="cyan"/>
              </w:rPr>
            </w:pPr>
            <w:r w:rsidRPr="00A404FD">
              <w:rPr>
                <w:rFonts w:cs="Arial"/>
                <w:szCs w:val="16"/>
                <w:highlight w:val="cyan"/>
              </w:rPr>
              <w:t>7</w:t>
            </w:r>
          </w:p>
        </w:tc>
        <w:tc>
          <w:tcPr>
            <w:tcW w:w="752" w:type="pct"/>
            <w:tcBorders>
              <w:top w:val="single" w:sz="4" w:space="0" w:color="auto"/>
              <w:left w:val="single" w:sz="4" w:space="0" w:color="auto"/>
              <w:bottom w:val="single" w:sz="4" w:space="0" w:color="auto"/>
            </w:tcBorders>
            <w:shd w:val="clear" w:color="auto" w:fill="auto"/>
            <w:noWrap/>
            <w:vAlign w:val="center"/>
          </w:tcPr>
          <w:p w:rsidR="009E795D" w:rsidRPr="00A404FD" w:rsidRDefault="009E795D" w:rsidP="00DB7AF3">
            <w:pPr>
              <w:pStyle w:val="TAC"/>
              <w:rPr>
                <w:rFonts w:cs="Arial"/>
                <w:szCs w:val="16"/>
                <w:highlight w:val="cyan"/>
              </w:rPr>
            </w:pPr>
            <w:r w:rsidRPr="00A404FD">
              <w:rPr>
                <w:rFonts w:cs="Arial"/>
                <w:szCs w:val="16"/>
                <w:highlight w:val="cyan"/>
              </w:rPr>
              <w:t>1000</w:t>
            </w:r>
          </w:p>
        </w:tc>
        <w:tc>
          <w:tcPr>
            <w:tcW w:w="749" w:type="pct"/>
            <w:tcBorders>
              <w:top w:val="single" w:sz="4" w:space="0" w:color="auto"/>
              <w:left w:val="single" w:sz="4" w:space="0" w:color="auto"/>
              <w:bottom w:val="single" w:sz="4" w:space="0" w:color="auto"/>
            </w:tcBorders>
          </w:tcPr>
          <w:p w:rsidR="009E795D" w:rsidRPr="00A404FD" w:rsidRDefault="009E795D" w:rsidP="00DB7AF3">
            <w:pPr>
              <w:pStyle w:val="TAC"/>
              <w:rPr>
                <w:rFonts w:eastAsia="游明朝" w:cs="Arial"/>
                <w:szCs w:val="16"/>
                <w:lang w:eastAsia="ja-JP"/>
              </w:rPr>
            </w:pPr>
            <w:r w:rsidRPr="00A404FD">
              <w:rPr>
                <w:rFonts w:eastAsia="游明朝" w:cs="Arial" w:hint="eastAsia"/>
                <w:szCs w:val="16"/>
                <w:highlight w:val="cyan"/>
                <w:lang w:eastAsia="ja-JP"/>
              </w:rPr>
              <w:t>3</w:t>
            </w:r>
          </w:p>
        </w:tc>
      </w:tr>
      <w:tr w:rsidR="009E795D" w:rsidRPr="00A404FD" w:rsidTr="00DB7AF3">
        <w:trPr>
          <w:trHeight w:val="108"/>
          <w:jc w:val="center"/>
        </w:trPr>
        <w:tc>
          <w:tcPr>
            <w:tcW w:w="452" w:type="pct"/>
            <w:vMerge w:val="restart"/>
            <w:tcBorders>
              <w:top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n260</w:t>
            </w:r>
          </w:p>
        </w:tc>
        <w:tc>
          <w:tcPr>
            <w:tcW w:w="1504"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NR Band 257</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-5</w:t>
            </w:r>
          </w:p>
        </w:tc>
        <w:tc>
          <w:tcPr>
            <w:tcW w:w="752" w:type="pct"/>
            <w:tcBorders>
              <w:top w:val="single" w:sz="4" w:space="0" w:color="auto"/>
              <w:left w:val="single" w:sz="4" w:space="0" w:color="auto"/>
              <w:bottom w:val="single" w:sz="4" w:space="0" w:color="auto"/>
            </w:tcBorders>
            <w:shd w:val="clear" w:color="auto" w:fill="auto"/>
            <w:noWrap/>
            <w:vAlign w:val="center"/>
          </w:tcPr>
          <w:p w:rsidR="009E795D" w:rsidRPr="00A404FD" w:rsidRDefault="009E795D" w:rsidP="00DB7AF3">
            <w:pPr>
              <w:pStyle w:val="TAC"/>
              <w:rPr>
                <w:rFonts w:cs="Arial"/>
                <w:szCs w:val="16"/>
              </w:rPr>
            </w:pPr>
            <w:r w:rsidRPr="00A404FD">
              <w:rPr>
                <w:rFonts w:cs="Arial"/>
                <w:szCs w:val="16"/>
              </w:rPr>
              <w:t>100</w:t>
            </w:r>
          </w:p>
        </w:tc>
        <w:tc>
          <w:tcPr>
            <w:tcW w:w="749" w:type="pct"/>
            <w:tcBorders>
              <w:top w:val="single" w:sz="4" w:space="0" w:color="auto"/>
              <w:left w:val="single" w:sz="4" w:space="0" w:color="auto"/>
              <w:bottom w:val="single" w:sz="4" w:space="0" w:color="auto"/>
            </w:tcBorders>
          </w:tcPr>
          <w:p w:rsidR="009E795D" w:rsidRPr="00A404FD" w:rsidRDefault="009E795D" w:rsidP="00DB7AF3">
            <w:pPr>
              <w:pStyle w:val="TAC"/>
              <w:rPr>
                <w:rFonts w:cs="Arial"/>
                <w:szCs w:val="16"/>
              </w:rPr>
            </w:pPr>
          </w:p>
        </w:tc>
      </w:tr>
      <w:tr w:rsidR="009E795D" w:rsidRPr="00A404FD" w:rsidTr="00DB7AF3">
        <w:trPr>
          <w:trHeight w:val="108"/>
          <w:jc w:val="center"/>
        </w:trPr>
        <w:tc>
          <w:tcPr>
            <w:tcW w:w="452" w:type="pct"/>
            <w:vMerge/>
            <w:tcBorders>
              <w:top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p>
        </w:tc>
        <w:tc>
          <w:tcPr>
            <w:tcW w:w="1504"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NR Band 261</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-5</w:t>
            </w:r>
          </w:p>
        </w:tc>
        <w:tc>
          <w:tcPr>
            <w:tcW w:w="752" w:type="pct"/>
            <w:tcBorders>
              <w:top w:val="single" w:sz="4" w:space="0" w:color="auto"/>
              <w:left w:val="single" w:sz="4" w:space="0" w:color="auto"/>
              <w:bottom w:val="single" w:sz="4" w:space="0" w:color="auto"/>
            </w:tcBorders>
            <w:shd w:val="clear" w:color="auto" w:fill="auto"/>
            <w:noWrap/>
            <w:vAlign w:val="center"/>
          </w:tcPr>
          <w:p w:rsidR="009E795D" w:rsidRPr="00A404FD" w:rsidRDefault="009E795D" w:rsidP="00DB7AF3">
            <w:pPr>
              <w:pStyle w:val="TAC"/>
              <w:rPr>
                <w:rFonts w:cs="Arial"/>
                <w:szCs w:val="16"/>
              </w:rPr>
            </w:pPr>
            <w:r w:rsidRPr="00A404FD">
              <w:rPr>
                <w:rFonts w:cs="Arial"/>
                <w:szCs w:val="16"/>
              </w:rPr>
              <w:t>100</w:t>
            </w:r>
          </w:p>
        </w:tc>
        <w:tc>
          <w:tcPr>
            <w:tcW w:w="749" w:type="pct"/>
            <w:tcBorders>
              <w:top w:val="single" w:sz="4" w:space="0" w:color="auto"/>
              <w:left w:val="single" w:sz="4" w:space="0" w:color="auto"/>
              <w:bottom w:val="single" w:sz="4" w:space="0" w:color="auto"/>
            </w:tcBorders>
          </w:tcPr>
          <w:p w:rsidR="009E795D" w:rsidRPr="00A404FD" w:rsidRDefault="009E795D" w:rsidP="00DB7AF3">
            <w:pPr>
              <w:pStyle w:val="TAC"/>
              <w:rPr>
                <w:rFonts w:cs="Arial"/>
                <w:szCs w:val="16"/>
              </w:rPr>
            </w:pPr>
          </w:p>
        </w:tc>
      </w:tr>
      <w:tr w:rsidR="009E795D" w:rsidRPr="00A404FD" w:rsidTr="00DB7AF3">
        <w:trPr>
          <w:trHeight w:val="108"/>
          <w:jc w:val="center"/>
        </w:trPr>
        <w:tc>
          <w:tcPr>
            <w:tcW w:w="452" w:type="pct"/>
            <w:vMerge/>
            <w:tcBorders>
              <w:top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p>
        </w:tc>
        <w:tc>
          <w:tcPr>
            <w:tcW w:w="1504"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Frequency range</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R"/>
              <w:rPr>
                <w:rFonts w:cs="Arial"/>
                <w:szCs w:val="16"/>
              </w:rPr>
            </w:pPr>
            <w:r w:rsidRPr="00A404FD">
              <w:rPr>
                <w:rFonts w:cs="Arial"/>
                <w:szCs w:val="16"/>
              </w:rPr>
              <w:t>57000</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66000</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2</w:t>
            </w:r>
          </w:p>
        </w:tc>
        <w:tc>
          <w:tcPr>
            <w:tcW w:w="752" w:type="pct"/>
            <w:tcBorders>
              <w:top w:val="single" w:sz="4" w:space="0" w:color="auto"/>
              <w:left w:val="single" w:sz="4" w:space="0" w:color="auto"/>
              <w:bottom w:val="single" w:sz="4" w:space="0" w:color="auto"/>
            </w:tcBorders>
            <w:shd w:val="clear" w:color="auto" w:fill="auto"/>
            <w:noWrap/>
            <w:vAlign w:val="center"/>
          </w:tcPr>
          <w:p w:rsidR="009E795D" w:rsidRPr="00A404FD" w:rsidRDefault="009E795D" w:rsidP="00DB7AF3">
            <w:pPr>
              <w:pStyle w:val="TAC"/>
              <w:rPr>
                <w:rFonts w:cs="Arial"/>
                <w:szCs w:val="16"/>
              </w:rPr>
            </w:pPr>
            <w:r w:rsidRPr="00A404FD">
              <w:rPr>
                <w:rFonts w:cs="Arial"/>
                <w:szCs w:val="16"/>
              </w:rPr>
              <w:t>100</w:t>
            </w:r>
          </w:p>
        </w:tc>
        <w:tc>
          <w:tcPr>
            <w:tcW w:w="749" w:type="pct"/>
            <w:tcBorders>
              <w:top w:val="single" w:sz="4" w:space="0" w:color="auto"/>
              <w:left w:val="single" w:sz="4" w:space="0" w:color="auto"/>
              <w:bottom w:val="single" w:sz="4" w:space="0" w:color="auto"/>
            </w:tcBorders>
          </w:tcPr>
          <w:p w:rsidR="009E795D" w:rsidRPr="00A404FD" w:rsidRDefault="009E795D" w:rsidP="00DB7AF3">
            <w:pPr>
              <w:pStyle w:val="TAC"/>
              <w:rPr>
                <w:rFonts w:cs="Arial"/>
                <w:szCs w:val="16"/>
              </w:rPr>
            </w:pPr>
          </w:p>
        </w:tc>
      </w:tr>
      <w:tr w:rsidR="009E795D" w:rsidRPr="00A404FD" w:rsidTr="00DB7AF3">
        <w:trPr>
          <w:trHeight w:val="108"/>
          <w:jc w:val="center"/>
        </w:trPr>
        <w:tc>
          <w:tcPr>
            <w:tcW w:w="452" w:type="pct"/>
            <w:vMerge w:val="restart"/>
            <w:tcBorders>
              <w:top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n261</w:t>
            </w:r>
          </w:p>
        </w:tc>
        <w:tc>
          <w:tcPr>
            <w:tcW w:w="1504"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NR Band 259</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-2</w:t>
            </w:r>
          </w:p>
        </w:tc>
        <w:tc>
          <w:tcPr>
            <w:tcW w:w="752" w:type="pct"/>
            <w:tcBorders>
              <w:top w:val="single" w:sz="4" w:space="0" w:color="auto"/>
              <w:left w:val="single" w:sz="4" w:space="0" w:color="auto"/>
              <w:bottom w:val="single" w:sz="4" w:space="0" w:color="auto"/>
            </w:tcBorders>
            <w:shd w:val="clear" w:color="auto" w:fill="auto"/>
            <w:noWrap/>
            <w:vAlign w:val="center"/>
          </w:tcPr>
          <w:p w:rsidR="009E795D" w:rsidRPr="00A404FD" w:rsidRDefault="009E795D" w:rsidP="00DB7AF3">
            <w:pPr>
              <w:pStyle w:val="TAC"/>
              <w:rPr>
                <w:rFonts w:cs="Arial"/>
                <w:szCs w:val="16"/>
              </w:rPr>
            </w:pPr>
            <w:r w:rsidRPr="00A404FD">
              <w:rPr>
                <w:rFonts w:cs="Arial"/>
                <w:szCs w:val="16"/>
              </w:rPr>
              <w:t>100</w:t>
            </w:r>
          </w:p>
        </w:tc>
        <w:tc>
          <w:tcPr>
            <w:tcW w:w="749" w:type="pct"/>
            <w:tcBorders>
              <w:top w:val="single" w:sz="4" w:space="0" w:color="auto"/>
              <w:left w:val="single" w:sz="4" w:space="0" w:color="auto"/>
              <w:bottom w:val="single" w:sz="4" w:space="0" w:color="auto"/>
            </w:tcBorders>
          </w:tcPr>
          <w:p w:rsidR="009E795D" w:rsidRPr="00A404FD" w:rsidRDefault="009E795D" w:rsidP="00DB7AF3">
            <w:pPr>
              <w:pStyle w:val="TAC"/>
              <w:rPr>
                <w:rFonts w:cs="Arial"/>
                <w:szCs w:val="16"/>
              </w:rPr>
            </w:pPr>
          </w:p>
        </w:tc>
      </w:tr>
      <w:tr w:rsidR="009E795D" w:rsidRPr="00A404FD" w:rsidTr="00DB7AF3">
        <w:trPr>
          <w:trHeight w:val="108"/>
          <w:jc w:val="center"/>
        </w:trPr>
        <w:tc>
          <w:tcPr>
            <w:tcW w:w="452" w:type="pct"/>
            <w:vMerge/>
            <w:tcBorders>
              <w:right w:val="single" w:sz="4" w:space="0" w:color="auto"/>
            </w:tcBorders>
            <w:shd w:val="clear" w:color="auto" w:fill="auto"/>
            <w:vAlign w:val="center"/>
          </w:tcPr>
          <w:p w:rsidR="009E795D" w:rsidRPr="00A404FD" w:rsidRDefault="009E795D" w:rsidP="00DB7AF3">
            <w:pPr>
              <w:pStyle w:val="TAC"/>
              <w:rPr>
                <w:rFonts w:cs="Arial"/>
                <w:szCs w:val="16"/>
              </w:rPr>
            </w:pPr>
          </w:p>
        </w:tc>
        <w:tc>
          <w:tcPr>
            <w:tcW w:w="1504"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NR Band 260</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-2</w:t>
            </w:r>
          </w:p>
        </w:tc>
        <w:tc>
          <w:tcPr>
            <w:tcW w:w="752" w:type="pct"/>
            <w:tcBorders>
              <w:top w:val="single" w:sz="4" w:space="0" w:color="auto"/>
              <w:left w:val="single" w:sz="4" w:space="0" w:color="auto"/>
              <w:bottom w:val="single" w:sz="4" w:space="0" w:color="auto"/>
            </w:tcBorders>
            <w:shd w:val="clear" w:color="auto" w:fill="auto"/>
            <w:noWrap/>
            <w:vAlign w:val="center"/>
          </w:tcPr>
          <w:p w:rsidR="009E795D" w:rsidRPr="00A404FD" w:rsidRDefault="009E795D" w:rsidP="00DB7AF3">
            <w:pPr>
              <w:pStyle w:val="TAC"/>
              <w:rPr>
                <w:rFonts w:cs="Arial"/>
                <w:szCs w:val="16"/>
              </w:rPr>
            </w:pPr>
            <w:r w:rsidRPr="00A404FD">
              <w:rPr>
                <w:rFonts w:cs="Arial"/>
                <w:szCs w:val="16"/>
              </w:rPr>
              <w:t>100</w:t>
            </w:r>
          </w:p>
        </w:tc>
        <w:tc>
          <w:tcPr>
            <w:tcW w:w="749" w:type="pct"/>
            <w:tcBorders>
              <w:top w:val="single" w:sz="4" w:space="0" w:color="auto"/>
              <w:left w:val="single" w:sz="4" w:space="0" w:color="auto"/>
              <w:bottom w:val="single" w:sz="4" w:space="0" w:color="auto"/>
            </w:tcBorders>
          </w:tcPr>
          <w:p w:rsidR="009E795D" w:rsidRPr="00A404FD" w:rsidRDefault="009E795D" w:rsidP="00DB7AF3">
            <w:pPr>
              <w:pStyle w:val="TAC"/>
              <w:rPr>
                <w:rFonts w:cs="Arial"/>
                <w:szCs w:val="16"/>
              </w:rPr>
            </w:pPr>
          </w:p>
        </w:tc>
      </w:tr>
      <w:tr w:rsidR="009E795D" w:rsidRPr="00A404FD" w:rsidTr="00DB7AF3">
        <w:trPr>
          <w:trHeight w:val="108"/>
          <w:jc w:val="center"/>
        </w:trPr>
        <w:tc>
          <w:tcPr>
            <w:tcW w:w="452" w:type="pct"/>
            <w:vMerge/>
            <w:tcBorders>
              <w:bottom w:val="single" w:sz="4" w:space="0" w:color="auto"/>
              <w:right w:val="single" w:sz="4" w:space="0" w:color="auto"/>
            </w:tcBorders>
            <w:shd w:val="clear" w:color="auto" w:fill="auto"/>
          </w:tcPr>
          <w:p w:rsidR="009E795D" w:rsidRPr="00A404FD" w:rsidRDefault="009E795D" w:rsidP="00DB7AF3">
            <w:pPr>
              <w:pStyle w:val="TAC"/>
              <w:rPr>
                <w:rFonts w:cs="Arial"/>
                <w:szCs w:val="16"/>
              </w:rPr>
            </w:pPr>
          </w:p>
        </w:tc>
        <w:tc>
          <w:tcPr>
            <w:tcW w:w="1504"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Frequency range</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R"/>
              <w:rPr>
                <w:rFonts w:cs="Arial"/>
                <w:szCs w:val="16"/>
              </w:rPr>
            </w:pPr>
            <w:r w:rsidRPr="00A404FD">
              <w:rPr>
                <w:rFonts w:cs="Arial"/>
                <w:szCs w:val="16"/>
              </w:rPr>
              <w:t>57000</w:t>
            </w:r>
          </w:p>
        </w:tc>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L"/>
              <w:rPr>
                <w:rFonts w:cs="Arial"/>
                <w:szCs w:val="16"/>
              </w:rPr>
            </w:pPr>
            <w:r w:rsidRPr="00A404FD">
              <w:rPr>
                <w:rFonts w:cs="Arial"/>
                <w:szCs w:val="16"/>
              </w:rPr>
              <w:t>66000</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E795D" w:rsidRPr="00A404FD" w:rsidRDefault="009E795D" w:rsidP="00DB7AF3">
            <w:pPr>
              <w:pStyle w:val="TAC"/>
              <w:rPr>
                <w:rFonts w:cs="Arial"/>
                <w:szCs w:val="16"/>
              </w:rPr>
            </w:pPr>
            <w:r w:rsidRPr="00A404FD">
              <w:rPr>
                <w:rFonts w:cs="Arial"/>
                <w:szCs w:val="16"/>
              </w:rPr>
              <w:t>2</w:t>
            </w:r>
          </w:p>
        </w:tc>
        <w:tc>
          <w:tcPr>
            <w:tcW w:w="752" w:type="pct"/>
            <w:tcBorders>
              <w:top w:val="single" w:sz="4" w:space="0" w:color="auto"/>
              <w:left w:val="single" w:sz="4" w:space="0" w:color="auto"/>
              <w:bottom w:val="single" w:sz="4" w:space="0" w:color="auto"/>
            </w:tcBorders>
            <w:shd w:val="clear" w:color="auto" w:fill="auto"/>
            <w:noWrap/>
            <w:vAlign w:val="center"/>
          </w:tcPr>
          <w:p w:rsidR="009E795D" w:rsidRPr="00A404FD" w:rsidRDefault="009E795D" w:rsidP="00DB7AF3">
            <w:pPr>
              <w:pStyle w:val="TAC"/>
              <w:rPr>
                <w:rFonts w:cs="Arial"/>
                <w:szCs w:val="16"/>
              </w:rPr>
            </w:pPr>
            <w:r w:rsidRPr="00A404FD">
              <w:rPr>
                <w:rFonts w:cs="Arial"/>
                <w:szCs w:val="16"/>
              </w:rPr>
              <w:t>100</w:t>
            </w:r>
          </w:p>
        </w:tc>
        <w:tc>
          <w:tcPr>
            <w:tcW w:w="749" w:type="pct"/>
            <w:tcBorders>
              <w:top w:val="single" w:sz="4" w:space="0" w:color="auto"/>
              <w:left w:val="single" w:sz="4" w:space="0" w:color="auto"/>
              <w:bottom w:val="single" w:sz="4" w:space="0" w:color="auto"/>
            </w:tcBorders>
          </w:tcPr>
          <w:p w:rsidR="009E795D" w:rsidRPr="00A404FD" w:rsidRDefault="009E795D" w:rsidP="00DB7AF3">
            <w:pPr>
              <w:pStyle w:val="TAC"/>
              <w:rPr>
                <w:rFonts w:cs="Arial"/>
                <w:szCs w:val="16"/>
              </w:rPr>
            </w:pPr>
          </w:p>
        </w:tc>
      </w:tr>
      <w:tr w:rsidR="009E795D" w:rsidRPr="00A404FD" w:rsidTr="00DB7AF3">
        <w:trPr>
          <w:trHeight w:val="457"/>
          <w:jc w:val="center"/>
        </w:trPr>
        <w:tc>
          <w:tcPr>
            <w:tcW w:w="1" w:type="pct"/>
            <w:gridSpan w:val="8"/>
            <w:tcBorders>
              <w:top w:val="single" w:sz="4" w:space="0" w:color="auto"/>
            </w:tcBorders>
            <w:shd w:val="clear" w:color="auto" w:fill="auto"/>
            <w:vAlign w:val="bottom"/>
          </w:tcPr>
          <w:p w:rsidR="009E795D" w:rsidRPr="00A404FD" w:rsidRDefault="009E795D" w:rsidP="00DB7AF3">
            <w:pPr>
              <w:pStyle w:val="TAN"/>
            </w:pPr>
            <w:r w:rsidRPr="00A404FD">
              <w:t>NOTE 1:</w:t>
            </w:r>
            <w:r w:rsidRPr="00A404FD">
              <w:tab/>
              <w:t>F</w:t>
            </w:r>
            <w:r w:rsidRPr="00A404FD">
              <w:rPr>
                <w:vertAlign w:val="subscript"/>
              </w:rPr>
              <w:t>DL_low</w:t>
            </w:r>
            <w:r w:rsidRPr="00A404FD">
              <w:t xml:space="preserve"> and F</w:t>
            </w:r>
            <w:r w:rsidRPr="00A404FD">
              <w:rPr>
                <w:vertAlign w:val="subscript"/>
              </w:rPr>
              <w:t>DL_high</w:t>
            </w:r>
            <w:r w:rsidRPr="00A404FD">
              <w:t xml:space="preserve"> refer to each NR frequency band specified in Table 5.2-1</w:t>
            </w:r>
          </w:p>
          <w:p w:rsidR="009E795D" w:rsidRPr="00A404FD" w:rsidRDefault="009E795D" w:rsidP="00DB7AF3">
            <w:pPr>
              <w:pStyle w:val="TAN"/>
            </w:pPr>
            <w:r w:rsidRPr="00A404FD">
              <w:t>NOTE 2:</w:t>
            </w:r>
            <w:r w:rsidRPr="00A404FD">
              <w:tab/>
              <w:t>Void</w:t>
            </w:r>
          </w:p>
          <w:p w:rsidR="009E795D" w:rsidRPr="00A404FD" w:rsidRDefault="009E795D" w:rsidP="00DB7AF3">
            <w:pPr>
              <w:pStyle w:val="TAN"/>
            </w:pPr>
            <w:r w:rsidRPr="00A404FD">
              <w:rPr>
                <w:highlight w:val="cyan"/>
              </w:rPr>
              <w:t>NOTE 3:  The requirement applies when any portion of the UL transmission bandwidth is inside 39.5 - 40.5GHz.</w:t>
            </w:r>
          </w:p>
        </w:tc>
      </w:tr>
    </w:tbl>
    <w:p w:rsidR="009E795D" w:rsidRPr="00A404FD" w:rsidRDefault="009E795D" w:rsidP="009E795D">
      <w:pPr>
        <w:pStyle w:val="Guidance"/>
        <w:rPr>
          <w:rFonts w:eastAsia="游明朝"/>
          <w:i w:val="0"/>
          <w:color w:val="000000"/>
          <w:lang w:eastAsia="ja-JP"/>
        </w:rPr>
      </w:pPr>
    </w:p>
    <w:p w:rsidR="009E795D" w:rsidRPr="00A404FD" w:rsidRDefault="009E795D" w:rsidP="009E795D">
      <w:pPr>
        <w:pStyle w:val="TH"/>
      </w:pPr>
      <w:r w:rsidRPr="00A404FD">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9E795D" w:rsidRPr="00A404FD" w:rsidTr="00DB7AF3">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9E795D" w:rsidRPr="00A404FD" w:rsidRDefault="009E795D" w:rsidP="00DB7AF3">
            <w:pPr>
              <w:pStyle w:val="TAH"/>
              <w:rPr>
                <w:rFonts w:cs="Arial"/>
              </w:rPr>
            </w:pPr>
            <w:r w:rsidRPr="00A404FD">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9E795D" w:rsidRPr="00A404FD" w:rsidRDefault="009E795D" w:rsidP="00DB7AF3">
            <w:pPr>
              <w:pStyle w:val="TAH"/>
              <w:rPr>
                <w:rFonts w:cs="Arial"/>
              </w:rPr>
            </w:pPr>
            <w:r w:rsidRPr="00A404FD">
              <w:rPr>
                <w:rFonts w:cs="Arial"/>
              </w:rPr>
              <w:t xml:space="preserve">Spurious emission </w:t>
            </w:r>
          </w:p>
        </w:tc>
      </w:tr>
      <w:tr w:rsidR="009E795D" w:rsidRPr="00A404FD" w:rsidTr="00DB7AF3">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9E795D" w:rsidRPr="00A404FD" w:rsidRDefault="009E795D" w:rsidP="00DB7AF3">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9E795D" w:rsidRPr="00A404FD" w:rsidRDefault="009E795D" w:rsidP="00DB7AF3">
            <w:pPr>
              <w:pStyle w:val="TAH"/>
              <w:rPr>
                <w:rFonts w:cs="Arial"/>
              </w:rPr>
            </w:pPr>
            <w:r w:rsidRPr="00A404FD">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9E795D" w:rsidRPr="00A404FD" w:rsidRDefault="009E795D" w:rsidP="00DB7AF3">
            <w:pPr>
              <w:pStyle w:val="TAH"/>
              <w:rPr>
                <w:rFonts w:cs="Arial"/>
              </w:rPr>
            </w:pPr>
            <w:r w:rsidRPr="00A404FD">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9E795D" w:rsidRPr="00A404FD" w:rsidRDefault="009E795D" w:rsidP="00DB7AF3">
            <w:pPr>
              <w:pStyle w:val="TAH"/>
              <w:rPr>
                <w:rFonts w:cs="Arial"/>
              </w:rPr>
            </w:pPr>
            <w:r w:rsidRPr="00A404FD">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9E795D" w:rsidRPr="00A404FD" w:rsidRDefault="009E795D" w:rsidP="00DB7AF3">
            <w:pPr>
              <w:pStyle w:val="TAH"/>
              <w:rPr>
                <w:rFonts w:cs="Arial"/>
              </w:rPr>
            </w:pPr>
            <w:r w:rsidRPr="00A404FD">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9E795D" w:rsidRPr="00A404FD" w:rsidRDefault="009E795D" w:rsidP="00DB7AF3">
            <w:pPr>
              <w:pStyle w:val="TAH"/>
              <w:rPr>
                <w:rFonts w:cs="Arial"/>
              </w:rPr>
            </w:pPr>
            <w:r w:rsidRPr="00A404FD">
              <w:rPr>
                <w:rFonts w:cs="Arial"/>
              </w:rPr>
              <w:t>NOTE</w:t>
            </w:r>
          </w:p>
        </w:tc>
      </w:tr>
      <w:tr w:rsidR="009E795D" w:rsidRPr="00A404FD" w:rsidTr="00DB7AF3">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NR Band n259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L"/>
              <w:rPr>
                <w:rFonts w:cs="Arial"/>
                <w:szCs w:val="16"/>
              </w:rPr>
            </w:pPr>
            <w:r w:rsidRPr="00A404FD">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C"/>
              <w:rPr>
                <w:rFonts w:cs="Arial"/>
                <w:szCs w:val="16"/>
              </w:rPr>
            </w:pPr>
            <w:r w:rsidRPr="00A404F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r w:rsidRPr="00A404FD">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r w:rsidRPr="00A404FD">
              <w:rPr>
                <w:rFonts w:cs="Arial"/>
                <w:szCs w:val="16"/>
              </w:rPr>
              <w:t>2</w:t>
            </w:r>
          </w:p>
        </w:tc>
      </w:tr>
      <w:tr w:rsidR="009E795D" w:rsidRPr="00A404FD" w:rsidTr="00DB7AF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r w:rsidRPr="00A404F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r w:rsidRPr="00A404FD">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r w:rsidRPr="00A404FD">
              <w:rPr>
                <w:rFonts w:cs="Arial"/>
                <w:szCs w:val="16"/>
              </w:rPr>
              <w:t>2</w:t>
            </w:r>
          </w:p>
        </w:tc>
      </w:tr>
      <w:tr w:rsidR="009E795D" w:rsidRPr="00A404FD" w:rsidTr="00DB7AF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r w:rsidRPr="00A404F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val="restart"/>
            <w:tcBorders>
              <w:top w:val="single" w:sz="6" w:space="0" w:color="auto"/>
              <w:left w:val="single" w:sz="4" w:space="0" w:color="auto"/>
              <w:right w:val="single" w:sz="6" w:space="0" w:color="auto"/>
            </w:tcBorders>
            <w:vAlign w:val="center"/>
          </w:tcPr>
          <w:p w:rsidR="009E795D" w:rsidRPr="00A404FD" w:rsidRDefault="009E795D" w:rsidP="00DB7AF3">
            <w:pPr>
              <w:pStyle w:val="TAC"/>
              <w:rPr>
                <w:rFonts w:cs="Arial"/>
                <w:szCs w:val="16"/>
              </w:rPr>
            </w:pPr>
            <w:r w:rsidRPr="00A404FD">
              <w:rPr>
                <w:rFonts w:cs="Arial"/>
                <w:szCs w:val="16"/>
              </w:rPr>
              <w:t>CA_n259</w:t>
            </w:r>
          </w:p>
        </w:tc>
        <w:tc>
          <w:tcPr>
            <w:tcW w:w="2765"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L"/>
              <w:rPr>
                <w:rFonts w:cs="Arial"/>
                <w:szCs w:val="16"/>
              </w:rPr>
            </w:pPr>
            <w:r w:rsidRPr="00A404FD">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C"/>
              <w:rPr>
                <w:rFonts w:cs="Arial"/>
                <w:szCs w:val="16"/>
              </w:rPr>
            </w:pPr>
            <w:r w:rsidRPr="00A404F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tcBorders>
              <w:left w:val="single" w:sz="4" w:space="0" w:color="auto"/>
              <w:right w:val="single" w:sz="6" w:space="0" w:color="auto"/>
            </w:tcBorders>
            <w:vAlign w:val="center"/>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L"/>
              <w:rPr>
                <w:rFonts w:cs="Arial"/>
                <w:szCs w:val="16"/>
              </w:rPr>
            </w:pPr>
            <w:r w:rsidRPr="00A404FD">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C"/>
              <w:rPr>
                <w:rFonts w:cs="Arial"/>
                <w:szCs w:val="16"/>
              </w:rPr>
            </w:pPr>
            <w:r w:rsidRPr="00A404F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tcBorders>
              <w:left w:val="single" w:sz="4" w:space="0" w:color="auto"/>
              <w:right w:val="single" w:sz="6" w:space="0" w:color="auto"/>
            </w:tcBorders>
            <w:vAlign w:val="center"/>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E795D" w:rsidRPr="00A404FD" w:rsidRDefault="009E795D" w:rsidP="00DB7AF3">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tcBorders>
              <w:left w:val="single" w:sz="4" w:space="0" w:color="auto"/>
              <w:right w:val="single" w:sz="6" w:space="0" w:color="auto"/>
            </w:tcBorders>
            <w:vAlign w:val="center"/>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E795D" w:rsidRPr="00A404FD" w:rsidDel="009D7993" w:rsidRDefault="009E795D" w:rsidP="00DB7AF3">
            <w:pPr>
              <w:pStyle w:val="TAL"/>
              <w:rPr>
                <w:rFonts w:cs="Arial"/>
                <w:szCs w:val="16"/>
                <w:highlight w:val="cyan"/>
              </w:rPr>
            </w:pPr>
            <w:r w:rsidRPr="00A404FD">
              <w:rPr>
                <w:rFonts w:cs="Arial"/>
                <w:szCs w:val="16"/>
                <w:highlight w:val="cyan"/>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rsidR="009E795D" w:rsidRPr="00A404FD" w:rsidDel="009D7993" w:rsidRDefault="009E795D" w:rsidP="00DB7AF3">
            <w:pPr>
              <w:pStyle w:val="TAR"/>
              <w:rPr>
                <w:rFonts w:cs="Arial"/>
                <w:szCs w:val="16"/>
                <w:highlight w:val="cyan"/>
              </w:rPr>
            </w:pPr>
            <w:r w:rsidRPr="00A404FD">
              <w:rPr>
                <w:rFonts w:cs="Arial"/>
                <w:szCs w:val="16"/>
                <w:highlight w:val="cyan"/>
              </w:rPr>
              <w:t>36000</w:t>
            </w:r>
          </w:p>
        </w:tc>
        <w:tc>
          <w:tcPr>
            <w:tcW w:w="366" w:type="dxa"/>
            <w:tcBorders>
              <w:top w:val="single" w:sz="6" w:space="0" w:color="auto"/>
              <w:left w:val="single" w:sz="6" w:space="0" w:color="auto"/>
              <w:bottom w:val="single" w:sz="6" w:space="0" w:color="auto"/>
              <w:right w:val="single" w:sz="6" w:space="0" w:color="auto"/>
            </w:tcBorders>
            <w:vAlign w:val="center"/>
          </w:tcPr>
          <w:p w:rsidR="009E795D" w:rsidRPr="00A404FD" w:rsidDel="009D7993" w:rsidRDefault="009E795D" w:rsidP="00DB7AF3">
            <w:pPr>
              <w:pStyle w:val="TAC"/>
              <w:rPr>
                <w:rFonts w:cs="Arial"/>
                <w:szCs w:val="16"/>
                <w:highlight w:val="cyan"/>
              </w:rPr>
            </w:pPr>
            <w:r w:rsidRPr="00A404FD">
              <w:rPr>
                <w:rFonts w:cs="Arial"/>
                <w:szCs w:val="16"/>
                <w:highlight w:val="cyan"/>
              </w:rPr>
              <w:t>-</w:t>
            </w:r>
          </w:p>
        </w:tc>
        <w:tc>
          <w:tcPr>
            <w:tcW w:w="783" w:type="dxa"/>
            <w:tcBorders>
              <w:top w:val="single" w:sz="6" w:space="0" w:color="auto"/>
              <w:left w:val="single" w:sz="6" w:space="0" w:color="auto"/>
              <w:bottom w:val="single" w:sz="6" w:space="0" w:color="auto"/>
              <w:right w:val="single" w:sz="6" w:space="0" w:color="auto"/>
            </w:tcBorders>
            <w:vAlign w:val="center"/>
          </w:tcPr>
          <w:p w:rsidR="009E795D" w:rsidRPr="00A404FD" w:rsidDel="009D7993" w:rsidRDefault="009E795D" w:rsidP="00DB7AF3">
            <w:pPr>
              <w:pStyle w:val="TAL"/>
              <w:rPr>
                <w:rFonts w:cs="Arial"/>
                <w:szCs w:val="16"/>
                <w:highlight w:val="cyan"/>
              </w:rPr>
            </w:pPr>
            <w:r w:rsidRPr="00A404FD">
              <w:rPr>
                <w:rFonts w:cs="Arial"/>
                <w:szCs w:val="16"/>
                <w:highlight w:val="cyan"/>
              </w:rPr>
              <w:t>37000</w:t>
            </w:r>
          </w:p>
        </w:tc>
        <w:tc>
          <w:tcPr>
            <w:tcW w:w="1148" w:type="dxa"/>
            <w:tcBorders>
              <w:top w:val="single" w:sz="6" w:space="0" w:color="auto"/>
              <w:left w:val="single" w:sz="6" w:space="0" w:color="auto"/>
              <w:bottom w:val="single" w:sz="6" w:space="0" w:color="auto"/>
              <w:right w:val="single" w:sz="6" w:space="0" w:color="auto"/>
            </w:tcBorders>
            <w:vAlign w:val="center"/>
          </w:tcPr>
          <w:p w:rsidR="009E795D" w:rsidRPr="00A404FD" w:rsidDel="009D7993" w:rsidRDefault="009E795D" w:rsidP="00DB7AF3">
            <w:pPr>
              <w:pStyle w:val="TAC"/>
              <w:rPr>
                <w:rFonts w:cs="Arial"/>
                <w:szCs w:val="16"/>
                <w:highlight w:val="cyan"/>
              </w:rPr>
            </w:pPr>
            <w:r w:rsidRPr="00A404FD">
              <w:rPr>
                <w:rFonts w:cs="Arial"/>
                <w:szCs w:val="16"/>
                <w:highlight w:val="cyan"/>
              </w:rPr>
              <w:t>7</w:t>
            </w:r>
          </w:p>
        </w:tc>
        <w:tc>
          <w:tcPr>
            <w:tcW w:w="862" w:type="dxa"/>
            <w:tcBorders>
              <w:top w:val="single" w:sz="6" w:space="0" w:color="auto"/>
              <w:left w:val="single" w:sz="6" w:space="0" w:color="auto"/>
              <w:bottom w:val="single" w:sz="6" w:space="0" w:color="auto"/>
              <w:right w:val="single" w:sz="6" w:space="0" w:color="auto"/>
            </w:tcBorders>
            <w:noWrap/>
            <w:vAlign w:val="center"/>
          </w:tcPr>
          <w:p w:rsidR="009E795D" w:rsidRPr="00A404FD" w:rsidDel="009D7993" w:rsidRDefault="009E795D" w:rsidP="00DB7AF3">
            <w:pPr>
              <w:pStyle w:val="TAC"/>
              <w:rPr>
                <w:rFonts w:cs="Arial"/>
                <w:szCs w:val="16"/>
                <w:highlight w:val="cyan"/>
              </w:rPr>
            </w:pPr>
            <w:r w:rsidRPr="00A404FD">
              <w:rPr>
                <w:rFonts w:cs="Arial"/>
                <w:szCs w:val="16"/>
                <w:highlight w:val="cyan"/>
              </w:rPr>
              <w:t>1000</w:t>
            </w:r>
          </w:p>
        </w:tc>
        <w:tc>
          <w:tcPr>
            <w:tcW w:w="943" w:type="dxa"/>
            <w:tcBorders>
              <w:top w:val="single" w:sz="6" w:space="0" w:color="auto"/>
              <w:left w:val="single" w:sz="6" w:space="0" w:color="auto"/>
              <w:bottom w:val="single" w:sz="6" w:space="0" w:color="auto"/>
              <w:right w:val="single" w:sz="4" w:space="0" w:color="auto"/>
            </w:tcBorders>
            <w:noWrap/>
          </w:tcPr>
          <w:p w:rsidR="009E795D" w:rsidRPr="00A404FD" w:rsidDel="009D7993" w:rsidRDefault="009E795D" w:rsidP="00DB7AF3">
            <w:pPr>
              <w:pStyle w:val="TAC"/>
              <w:rPr>
                <w:rFonts w:cs="Arial"/>
                <w:szCs w:val="16"/>
                <w:highlight w:val="cyan"/>
              </w:rPr>
            </w:pPr>
            <w:r w:rsidRPr="00A404FD">
              <w:rPr>
                <w:rFonts w:eastAsia="游明朝" w:cs="Arial" w:hint="eastAsia"/>
                <w:szCs w:val="16"/>
                <w:highlight w:val="cyan"/>
                <w:lang w:eastAsia="ja-JP"/>
              </w:rPr>
              <w:t>3</w:t>
            </w:r>
          </w:p>
        </w:tc>
      </w:tr>
      <w:tr w:rsidR="009E795D" w:rsidRPr="00A404FD" w:rsidTr="00DB7AF3">
        <w:trPr>
          <w:trHeight w:val="108"/>
          <w:jc w:val="center"/>
        </w:trPr>
        <w:tc>
          <w:tcPr>
            <w:tcW w:w="1411" w:type="dxa"/>
            <w:vMerge/>
            <w:tcBorders>
              <w:left w:val="single" w:sz="4" w:space="0" w:color="auto"/>
              <w:bottom w:val="single" w:sz="6" w:space="0" w:color="auto"/>
              <w:right w:val="single" w:sz="6" w:space="0" w:color="auto"/>
            </w:tcBorders>
            <w:vAlign w:val="center"/>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L"/>
              <w:rPr>
                <w:rFonts w:cs="Arial"/>
                <w:szCs w:val="16"/>
              </w:rPr>
            </w:pPr>
            <w:r w:rsidRPr="00A404F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R"/>
              <w:rPr>
                <w:rFonts w:cs="Arial"/>
                <w:szCs w:val="16"/>
              </w:rPr>
            </w:pPr>
            <w:r w:rsidRPr="00A404F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L"/>
              <w:rPr>
                <w:rFonts w:cs="Arial"/>
                <w:szCs w:val="16"/>
              </w:rPr>
            </w:pPr>
            <w:r w:rsidRPr="00A404F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C"/>
              <w:rPr>
                <w:rFonts w:cs="Arial"/>
                <w:szCs w:val="16"/>
              </w:rPr>
            </w:pPr>
            <w:r w:rsidRPr="00A404F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r w:rsidRPr="00A404FD">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r w:rsidRPr="00A404FD">
              <w:rPr>
                <w:rFonts w:cs="Arial"/>
                <w:szCs w:val="16"/>
              </w:rPr>
              <w:t>2</w:t>
            </w:r>
          </w:p>
        </w:tc>
      </w:tr>
      <w:tr w:rsidR="009E795D" w:rsidRPr="00A404FD" w:rsidTr="00DB7AF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r w:rsidRPr="00A404F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NR Band 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L"/>
              <w:rPr>
                <w:rFonts w:cs="Arial"/>
                <w:szCs w:val="16"/>
              </w:rPr>
            </w:pPr>
            <w:r w:rsidRPr="00A404FD">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R"/>
              <w:rPr>
                <w:rFonts w:cs="Arial"/>
                <w:szCs w:val="16"/>
              </w:rPr>
            </w:pPr>
            <w:r w:rsidRPr="00A404FD">
              <w:rPr>
                <w:rFonts w:cs="Arial"/>
                <w:szCs w:val="16"/>
              </w:rPr>
              <w:t>F</w:t>
            </w:r>
            <w:r w:rsidRPr="00A404FD">
              <w:rPr>
                <w:rFonts w:cs="Arial"/>
                <w:szCs w:val="16"/>
                <w:vertAlign w:val="subscript"/>
              </w:rPr>
              <w:t>DL_low</w:t>
            </w:r>
            <w:r w:rsidRPr="00A404F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L"/>
              <w:rPr>
                <w:rFonts w:cs="Arial"/>
                <w:szCs w:val="16"/>
              </w:rPr>
            </w:pPr>
            <w:r w:rsidRPr="00A404FD">
              <w:rPr>
                <w:rFonts w:cs="Arial"/>
                <w:szCs w:val="16"/>
              </w:rPr>
              <w:t>F</w:t>
            </w:r>
            <w:r w:rsidRPr="00A404F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C"/>
              <w:rPr>
                <w:rFonts w:cs="Arial"/>
                <w:szCs w:val="16"/>
              </w:rPr>
            </w:pPr>
            <w:r w:rsidRPr="00A404F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r w:rsidRPr="00A404FD">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r w:rsidRPr="00A404FD">
              <w:rPr>
                <w:rFonts w:cs="Arial"/>
                <w:szCs w:val="16"/>
              </w:rPr>
              <w:t>2</w:t>
            </w:r>
          </w:p>
        </w:tc>
      </w:tr>
      <w:tr w:rsidR="009E795D" w:rsidRPr="00A404FD" w:rsidTr="00DB7AF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r w:rsidRPr="00A404F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9E795D" w:rsidRPr="00A404FD" w:rsidRDefault="009E795D" w:rsidP="00DB7AF3">
            <w:pPr>
              <w:pStyle w:val="TAN"/>
            </w:pPr>
            <w:r w:rsidRPr="00A404FD">
              <w:lastRenderedPageBreak/>
              <w:t>NOTE 1:</w:t>
            </w:r>
            <w:r w:rsidRPr="00A404FD">
              <w:tab/>
              <w:t>F</w:t>
            </w:r>
            <w:r w:rsidRPr="00A404FD">
              <w:rPr>
                <w:vertAlign w:val="subscript"/>
              </w:rPr>
              <w:t>DL_low</w:t>
            </w:r>
            <w:r w:rsidRPr="00A404FD">
              <w:t xml:space="preserve"> and F</w:t>
            </w:r>
            <w:r w:rsidRPr="00A404FD">
              <w:rPr>
                <w:vertAlign w:val="subscript"/>
              </w:rPr>
              <w:t>DL_high</w:t>
            </w:r>
            <w:r w:rsidRPr="00A404FD">
              <w:t xml:space="preserve"> refer to each NR frequency band specified in Table 5.2-1</w:t>
            </w:r>
          </w:p>
          <w:p w:rsidR="009E795D" w:rsidRPr="00A404FD" w:rsidRDefault="009E795D" w:rsidP="00DB7AF3">
            <w:pPr>
              <w:pStyle w:val="TAN"/>
            </w:pPr>
            <w:r w:rsidRPr="00A404FD">
              <w:t>NOTE 2:</w:t>
            </w:r>
            <w:r w:rsidRPr="00A404FD">
              <w:tab/>
              <w:t>The protection of frequency range 23600 - 2400 MHz is meant for protection of satellite passive services.</w:t>
            </w:r>
          </w:p>
          <w:p w:rsidR="009E795D" w:rsidRPr="00A404FD" w:rsidRDefault="009E795D" w:rsidP="00DB7AF3">
            <w:pPr>
              <w:pStyle w:val="TAN"/>
              <w:rPr>
                <w:rFonts w:cs="Arial"/>
              </w:rPr>
            </w:pPr>
            <w:r w:rsidRPr="00A404FD">
              <w:rPr>
                <w:highlight w:val="cyan"/>
              </w:rPr>
              <w:t>NOTE 3:  The requirement applies when any portion of the UL transmission bandwidth is inside 39.5 - 40.5GHz.</w:t>
            </w:r>
          </w:p>
        </w:tc>
      </w:tr>
    </w:tbl>
    <w:p w:rsidR="009E795D" w:rsidRPr="00A404FD" w:rsidRDefault="009E795D" w:rsidP="009E795D">
      <w:pPr>
        <w:pStyle w:val="Guidance"/>
        <w:rPr>
          <w:rFonts w:eastAsia="游明朝"/>
          <w:i w:val="0"/>
          <w:color w:val="000000"/>
          <w:lang w:eastAsia="ja-JP"/>
        </w:rPr>
      </w:pPr>
    </w:p>
    <w:bookmarkEnd w:id="1"/>
    <w:p w:rsidR="00112485" w:rsidRPr="00A30055" w:rsidRDefault="00112485" w:rsidP="00112485">
      <w:pPr>
        <w:rPr>
          <w:rFonts w:ascii="Arial" w:hAnsi="Arial" w:cs="Arial"/>
          <w:sz w:val="36"/>
          <w:szCs w:val="36"/>
        </w:rPr>
      </w:pPr>
      <w:r w:rsidRPr="00A30055">
        <w:rPr>
          <w:rFonts w:ascii="Arial" w:hAnsi="Arial" w:cs="Arial"/>
          <w:sz w:val="36"/>
          <w:szCs w:val="36"/>
        </w:rPr>
        <w:t>2.</w:t>
      </w:r>
      <w:r>
        <w:rPr>
          <w:rFonts w:ascii="Arial" w:hAnsi="Arial" w:cs="Arial"/>
          <w:sz w:val="36"/>
          <w:szCs w:val="36"/>
        </w:rPr>
        <w:t>3</w:t>
      </w:r>
      <w:r w:rsidRPr="00A30055">
        <w:rPr>
          <w:rFonts w:ascii="Arial" w:hAnsi="Arial" w:cs="Arial"/>
          <w:sz w:val="36"/>
          <w:szCs w:val="36"/>
        </w:rPr>
        <w:tab/>
      </w:r>
      <w:r>
        <w:rPr>
          <w:rFonts w:ascii="Arial" w:hAnsi="Arial" w:cs="Arial"/>
          <w:sz w:val="36"/>
          <w:szCs w:val="36"/>
        </w:rPr>
        <w:t>Necessity of A-MPR and NS</w:t>
      </w:r>
    </w:p>
    <w:p w:rsidR="0028738A" w:rsidRDefault="00C27157" w:rsidP="00A30055">
      <w:r>
        <w:t>Figure 2</w:t>
      </w:r>
      <w:r w:rsidR="00D22ECF">
        <w:t>.2</w:t>
      </w:r>
      <w:r>
        <w:t>-</w:t>
      </w:r>
      <w:r w:rsidR="00D22ECF">
        <w:t>1</w:t>
      </w:r>
      <w:r w:rsidR="00A30055">
        <w:t xml:space="preserve"> </w:t>
      </w:r>
      <w:r w:rsidR="00D22ECF">
        <w:t xml:space="preserve">indicates </w:t>
      </w:r>
      <w:r>
        <w:t xml:space="preserve">that n259 UEs have at least 2.5 GHz frequency separation (37 - 39.5GHz) to meet </w:t>
      </w:r>
      <w:r w:rsidR="00D22ECF">
        <w:t xml:space="preserve">the unwanted </w:t>
      </w:r>
      <w:r>
        <w:t>emission limit.</w:t>
      </w:r>
    </w:p>
    <w:p w:rsidR="00C27157" w:rsidRPr="00C27157" w:rsidRDefault="00C27157" w:rsidP="00A30055">
      <w:pPr>
        <w:rPr>
          <w:rFonts w:eastAsiaTheme="minorEastAsia"/>
          <w:lang w:eastAsia="ja-JP"/>
        </w:rPr>
      </w:pPr>
      <w:r>
        <w:rPr>
          <w:rFonts w:eastAsiaTheme="minorEastAsia"/>
          <w:lang w:eastAsia="ja-JP"/>
        </w:rPr>
        <w:t xml:space="preserve">Next, we discuss </w:t>
      </w:r>
      <w:r w:rsidR="00D22ECF">
        <w:rPr>
          <w:rFonts w:eastAsiaTheme="minorEastAsia"/>
          <w:lang w:eastAsia="ja-JP"/>
        </w:rPr>
        <w:t xml:space="preserve">the </w:t>
      </w:r>
      <w:r>
        <w:rPr>
          <w:rFonts w:eastAsiaTheme="minorEastAsia"/>
          <w:lang w:eastAsia="ja-JP"/>
        </w:rPr>
        <w:t>unwanted</w:t>
      </w:r>
      <w:r>
        <w:rPr>
          <w:rFonts w:eastAsiaTheme="minorEastAsia" w:hint="eastAsia"/>
          <w:lang w:eastAsia="ja-JP"/>
        </w:rPr>
        <w:t xml:space="preserve"> </w:t>
      </w:r>
      <w:r>
        <w:rPr>
          <w:rFonts w:eastAsiaTheme="minorEastAsia"/>
          <w:lang w:eastAsia="ja-JP"/>
        </w:rPr>
        <w:t>emission level</w:t>
      </w:r>
      <w:r w:rsidR="00D22ECF">
        <w:rPr>
          <w:rFonts w:eastAsiaTheme="minorEastAsia"/>
          <w:lang w:eastAsia="ja-JP"/>
        </w:rPr>
        <w:t>s</w:t>
      </w:r>
      <w:r>
        <w:rPr>
          <w:rFonts w:eastAsiaTheme="minorEastAsia"/>
          <w:lang w:eastAsia="ja-JP"/>
        </w:rPr>
        <w:t xml:space="preserve">. There are two requirements. One is -43 dB(W/MHz), which is equal to -13 dBm/MHz. This is exactly the same as </w:t>
      </w:r>
      <w:r w:rsidR="00D22ECF">
        <w:rPr>
          <w:rFonts w:eastAsiaTheme="minorEastAsia"/>
          <w:lang w:eastAsia="ja-JP"/>
        </w:rPr>
        <w:t xml:space="preserve">the </w:t>
      </w:r>
      <w:r>
        <w:rPr>
          <w:rFonts w:eastAsiaTheme="minorEastAsia"/>
          <w:lang w:eastAsia="ja-JP"/>
        </w:rPr>
        <w:t xml:space="preserve">general spurious emission limit so that we do not have to discuss it. The other one is -23 dB(W/GHz), which is equal to 7 dBm/GHz, which is equivalent to 0 dBm/200MHz.  </w:t>
      </w:r>
    </w:p>
    <w:p w:rsidR="00C27157" w:rsidRDefault="00C27157" w:rsidP="00C27157">
      <w:pPr>
        <w:rPr>
          <w:rFonts w:eastAsiaTheme="minorEastAsia"/>
          <w:lang w:eastAsia="ja-JP"/>
        </w:rPr>
      </w:pPr>
      <w:r>
        <w:rPr>
          <w:rFonts w:eastAsiaTheme="minorEastAsia"/>
          <w:lang w:eastAsia="ja-JP"/>
        </w:rPr>
        <w:t xml:space="preserve">To understand how challenging to meet 7 dBm/GHz (close to 0 dBm/200MHz) with 2.5 GHz offset, we take a look at </w:t>
      </w:r>
      <w:r w:rsidR="00D22ECF">
        <w:rPr>
          <w:rFonts w:eastAsiaTheme="minorEastAsia"/>
          <w:lang w:eastAsia="ja-JP"/>
        </w:rPr>
        <w:t xml:space="preserve">the </w:t>
      </w:r>
      <w:r>
        <w:rPr>
          <w:rFonts w:eastAsiaTheme="minorEastAsia"/>
          <w:lang w:eastAsia="ja-JP"/>
        </w:rPr>
        <w:t xml:space="preserve">EESS </w:t>
      </w:r>
      <w:r w:rsidR="00D22ECF">
        <w:rPr>
          <w:rFonts w:eastAsiaTheme="minorEastAsia"/>
          <w:lang w:eastAsia="ja-JP"/>
        </w:rPr>
        <w:t xml:space="preserve">(passive) </w:t>
      </w:r>
      <w:r>
        <w:rPr>
          <w:rFonts w:eastAsiaTheme="minorEastAsia"/>
          <w:lang w:eastAsia="ja-JP"/>
        </w:rPr>
        <w:t>protection requirement for n25</w:t>
      </w:r>
      <w:r w:rsidR="00112485">
        <w:rPr>
          <w:rFonts w:eastAsiaTheme="minorEastAsia"/>
          <w:lang w:eastAsia="ja-JP"/>
        </w:rPr>
        <w:t>8</w:t>
      </w:r>
      <w:r>
        <w:rPr>
          <w:rFonts w:eastAsiaTheme="minorEastAsia"/>
          <w:lang w:eastAsia="ja-JP"/>
        </w:rPr>
        <w:t xml:space="preserve"> UEs to meet.</w:t>
      </w:r>
    </w:p>
    <w:p w:rsidR="00592EB4" w:rsidRDefault="0095456F" w:rsidP="00112485">
      <w:pPr>
        <w:rPr>
          <w:rFonts w:ascii="Arial" w:hAnsi="Arial" w:cs="Arial"/>
        </w:rPr>
      </w:pPr>
      <w:r>
        <w:rPr>
          <w:rFonts w:eastAsiaTheme="minorEastAsia"/>
          <w:lang w:eastAsia="ja-JP"/>
        </w:rPr>
        <w:t>According to the latest TS 38.101-2, n</w:t>
      </w:r>
      <w:r>
        <w:rPr>
          <w:rFonts w:eastAsiaTheme="minorEastAsia" w:hint="eastAsia"/>
          <w:lang w:eastAsia="ja-JP"/>
        </w:rPr>
        <w:t>2</w:t>
      </w:r>
      <w:r>
        <w:rPr>
          <w:rFonts w:eastAsiaTheme="minorEastAsia"/>
          <w:lang w:eastAsia="ja-JP"/>
        </w:rPr>
        <w:t>5</w:t>
      </w:r>
      <w:r w:rsidR="00112485">
        <w:rPr>
          <w:rFonts w:eastAsiaTheme="minorEastAsia"/>
          <w:lang w:eastAsia="ja-JP"/>
        </w:rPr>
        <w:t>8</w:t>
      </w:r>
      <w:r>
        <w:rPr>
          <w:rFonts w:eastAsiaTheme="minorEastAsia"/>
          <w:lang w:eastAsia="ja-JP"/>
        </w:rPr>
        <w:t xml:space="preserve"> UEs in </w:t>
      </w:r>
      <w:r w:rsidR="00112485">
        <w:rPr>
          <w:rFonts w:eastAsiaTheme="minorEastAsia"/>
          <w:lang w:eastAsia="ja-JP"/>
        </w:rPr>
        <w:t>single/</w:t>
      </w:r>
      <w:r>
        <w:rPr>
          <w:rFonts w:eastAsiaTheme="minorEastAsia"/>
          <w:lang w:eastAsia="ja-JP"/>
        </w:rPr>
        <w:t>CA mode shall meet -8 dBm/200MHz@ 23.6 - 24 GHz.</w:t>
      </w:r>
      <w:r w:rsidR="00112485">
        <w:rPr>
          <w:rFonts w:eastAsiaTheme="minorEastAsia"/>
          <w:lang w:eastAsia="ja-JP"/>
        </w:rPr>
        <w:t xml:space="preserve"> T</w:t>
      </w:r>
      <w:r>
        <w:rPr>
          <w:rFonts w:eastAsiaTheme="minorEastAsia"/>
          <w:lang w:eastAsia="ja-JP"/>
        </w:rPr>
        <w:t>he requirement of -8 dBm/200MHz is 8 dB tighter than 0 dBm/200MHz</w:t>
      </w:r>
      <w:r w:rsidR="00D22ECF">
        <w:rPr>
          <w:rFonts w:eastAsiaTheme="minorEastAsia"/>
          <w:lang w:eastAsia="ja-JP"/>
        </w:rPr>
        <w:t xml:space="preserve"> </w:t>
      </w:r>
      <w:r w:rsidR="00112485">
        <w:rPr>
          <w:rFonts w:eastAsiaTheme="minorEastAsia"/>
          <w:lang w:eastAsia="ja-JP"/>
        </w:rPr>
        <w:t>(</w:t>
      </w:r>
      <w:r>
        <w:rPr>
          <w:rFonts w:eastAsiaTheme="minorEastAsia"/>
          <w:lang w:eastAsia="ja-JP"/>
        </w:rPr>
        <w:t>Note that we replace 7 dBm/GHz with 0 dBm/200MHz. This implies that in practice, meeting 7 dBm/GHz is easier than meeting 0 dBm/200MHz</w:t>
      </w:r>
      <w:r w:rsidR="00112485">
        <w:rPr>
          <w:rFonts w:eastAsiaTheme="minorEastAsia"/>
          <w:lang w:eastAsia="ja-JP"/>
        </w:rPr>
        <w:t>)</w:t>
      </w:r>
      <w:r>
        <w:rPr>
          <w:rFonts w:eastAsiaTheme="minorEastAsia"/>
          <w:lang w:eastAsia="ja-JP"/>
        </w:rPr>
        <w:t>.</w:t>
      </w:r>
      <w:r w:rsidR="00112485">
        <w:rPr>
          <w:rFonts w:eastAsiaTheme="minorEastAsia"/>
          <w:lang w:eastAsia="ja-JP"/>
        </w:rPr>
        <w:t xml:space="preserve"> n258 is not allowed to use A-MPR with 500MHz offset even for </w:t>
      </w:r>
      <w:r w:rsidR="00112485" w:rsidRPr="00112485">
        <w:rPr>
          <w:rFonts w:eastAsiaTheme="minorEastAsia"/>
          <w:lang w:eastAsia="ja-JP"/>
        </w:rPr>
        <w:t>CA non-contiguous RB allocations</w:t>
      </w:r>
      <w:r w:rsidR="00112485">
        <w:rPr>
          <w:rFonts w:eastAsiaTheme="minorEastAsia"/>
          <w:lang w:eastAsia="ja-JP"/>
        </w:rPr>
        <w:t xml:space="preserve"> case. The required ACLR is, however different from n258 and n259. </w:t>
      </w:r>
      <w:r>
        <w:rPr>
          <w:rFonts w:eastAsiaTheme="minorEastAsia"/>
          <w:lang w:eastAsia="ja-JP"/>
        </w:rPr>
        <w:t>From the above, we can draw the following observations summarized in the Table 2.3-1.</w:t>
      </w:r>
      <w:r w:rsidR="00112485" w:rsidRPr="00112485">
        <w:rPr>
          <w:rFonts w:ascii="Arial" w:hAnsi="Arial" w:cs="Arial"/>
        </w:rPr>
        <w:t xml:space="preserve"> </w:t>
      </w:r>
    </w:p>
    <w:p w:rsidR="00112485" w:rsidRDefault="00592EB4" w:rsidP="00592EB4">
      <w:pPr>
        <w:jc w:val="center"/>
        <w:rPr>
          <w:rFonts w:ascii="Arial" w:hAnsi="Arial" w:cs="Arial"/>
        </w:rPr>
      </w:pPr>
      <w:r>
        <w:rPr>
          <w:rFonts w:ascii="Arial" w:hAnsi="Arial" w:cs="Arial"/>
        </w:rPr>
        <w:t>Table 2.3-1: Difference between n258 and n259</w:t>
      </w:r>
    </w:p>
    <w:tbl>
      <w:tblPr>
        <w:tblStyle w:val="5-1"/>
        <w:tblW w:w="0" w:type="auto"/>
        <w:jc w:val="center"/>
        <w:tblLook w:val="04A0" w:firstRow="1" w:lastRow="0" w:firstColumn="1" w:lastColumn="0" w:noHBand="0" w:noVBand="1"/>
      </w:tblPr>
      <w:tblGrid>
        <w:gridCol w:w="1992"/>
        <w:gridCol w:w="1992"/>
        <w:gridCol w:w="2038"/>
        <w:gridCol w:w="1993"/>
      </w:tblGrid>
      <w:tr w:rsidR="0095456F" w:rsidTr="0011248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tcPr>
          <w:p w:rsidR="0095456F" w:rsidRDefault="0095456F" w:rsidP="00C27157">
            <w:pPr>
              <w:rPr>
                <w:rFonts w:eastAsiaTheme="minorEastAsia"/>
                <w:lang w:eastAsia="ja-JP"/>
              </w:rPr>
            </w:pPr>
          </w:p>
        </w:tc>
        <w:tc>
          <w:tcPr>
            <w:tcW w:w="1992" w:type="dxa"/>
          </w:tcPr>
          <w:p w:rsidR="0095456F" w:rsidRDefault="0095456F" w:rsidP="0095456F">
            <w:pPr>
              <w:cnfStyle w:val="100000000000" w:firstRow="1"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lang w:eastAsia="ja-JP"/>
              </w:rPr>
              <w:t>n25</w:t>
            </w:r>
            <w:r w:rsidR="00112485">
              <w:rPr>
                <w:rFonts w:eastAsiaTheme="minorEastAsia"/>
                <w:lang w:eastAsia="ja-JP"/>
              </w:rPr>
              <w:t>8</w:t>
            </w:r>
          </w:p>
        </w:tc>
        <w:tc>
          <w:tcPr>
            <w:tcW w:w="2038" w:type="dxa"/>
          </w:tcPr>
          <w:p w:rsidR="0095456F" w:rsidRDefault="0095456F" w:rsidP="00C27157">
            <w:pPr>
              <w:cnfStyle w:val="100000000000" w:firstRow="1"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lang w:eastAsia="ja-JP"/>
              </w:rPr>
              <w:t>n</w:t>
            </w:r>
            <w:r>
              <w:rPr>
                <w:rFonts w:eastAsiaTheme="minorEastAsia" w:hint="eastAsia"/>
                <w:lang w:eastAsia="ja-JP"/>
              </w:rPr>
              <w:t>2</w:t>
            </w:r>
            <w:r>
              <w:rPr>
                <w:rFonts w:eastAsiaTheme="minorEastAsia"/>
                <w:lang w:eastAsia="ja-JP"/>
              </w:rPr>
              <w:t>59</w:t>
            </w:r>
          </w:p>
        </w:tc>
        <w:tc>
          <w:tcPr>
            <w:tcW w:w="1993" w:type="dxa"/>
          </w:tcPr>
          <w:p w:rsidR="0095456F" w:rsidRDefault="0095456F" w:rsidP="00C27157">
            <w:pPr>
              <w:cnfStyle w:val="100000000000" w:firstRow="1"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hint="eastAsia"/>
                <w:lang w:eastAsia="ja-JP"/>
              </w:rPr>
              <w:t>remarks</w:t>
            </w:r>
          </w:p>
        </w:tc>
      </w:tr>
      <w:tr w:rsidR="0095456F" w:rsidTr="001124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tcPr>
          <w:p w:rsidR="0095456F" w:rsidRDefault="0095456F" w:rsidP="00C27157">
            <w:pPr>
              <w:rPr>
                <w:rFonts w:eastAsiaTheme="minorEastAsia"/>
                <w:lang w:eastAsia="ja-JP"/>
              </w:rPr>
            </w:pPr>
            <w:r>
              <w:rPr>
                <w:rFonts w:eastAsiaTheme="minorEastAsia" w:hint="eastAsia"/>
                <w:lang w:eastAsia="ja-JP"/>
              </w:rPr>
              <w:t>Emission limit</w:t>
            </w:r>
          </w:p>
        </w:tc>
        <w:tc>
          <w:tcPr>
            <w:tcW w:w="1992" w:type="dxa"/>
          </w:tcPr>
          <w:p w:rsidR="0095456F" w:rsidRDefault="0095456F" w:rsidP="00112485">
            <w:pPr>
              <w:cnfStyle w:val="000000100000" w:firstRow="0" w:lastRow="0" w:firstColumn="0" w:lastColumn="0" w:oddVBand="0" w:evenVBand="0" w:oddHBand="1" w:evenHBand="0" w:firstRowFirstColumn="0" w:firstRowLastColumn="0" w:lastRowFirstColumn="0" w:lastRowLastColumn="0"/>
              <w:rPr>
                <w:rFonts w:eastAsiaTheme="minorEastAsia"/>
                <w:lang w:eastAsia="ja-JP"/>
              </w:rPr>
            </w:pPr>
            <w:r>
              <w:rPr>
                <w:rFonts w:eastAsiaTheme="minorEastAsia" w:hint="eastAsia"/>
                <w:lang w:eastAsia="ja-JP"/>
              </w:rPr>
              <w:t>-8dBm/200MHz</w:t>
            </w:r>
          </w:p>
        </w:tc>
        <w:tc>
          <w:tcPr>
            <w:tcW w:w="2038" w:type="dxa"/>
          </w:tcPr>
          <w:p w:rsidR="0095456F" w:rsidRPr="0095456F" w:rsidRDefault="0095456F" w:rsidP="00112485">
            <w:pPr>
              <w:cnfStyle w:val="000000100000" w:firstRow="0" w:lastRow="0" w:firstColumn="0" w:lastColumn="0" w:oddVBand="0" w:evenVBand="0" w:oddHBand="1" w:evenHBand="0" w:firstRowFirstColumn="0" w:firstRowLastColumn="0" w:lastRowFirstColumn="0" w:lastRowLastColumn="0"/>
              <w:rPr>
                <w:rFonts w:eastAsiaTheme="minorEastAsia"/>
                <w:lang w:eastAsia="ja-JP"/>
              </w:rPr>
            </w:pPr>
            <w:r>
              <w:rPr>
                <w:rFonts w:eastAsiaTheme="minorEastAsia"/>
                <w:lang w:eastAsia="ja-JP"/>
              </w:rPr>
              <w:t>7dBm/GHz</w:t>
            </w:r>
            <w:r w:rsidR="00D22ECF">
              <w:rPr>
                <w:rFonts w:eastAsiaTheme="minorEastAsia"/>
                <w:lang w:eastAsia="ja-JP"/>
              </w:rPr>
              <w:t xml:space="preserve"> </w:t>
            </w:r>
            <w:r>
              <w:rPr>
                <w:rFonts w:eastAsiaTheme="minorEastAsia"/>
                <w:lang w:eastAsia="ja-JP"/>
              </w:rPr>
              <w:t xml:space="preserve">(equivalent to 0dBm/200MHz) </w:t>
            </w:r>
          </w:p>
        </w:tc>
        <w:tc>
          <w:tcPr>
            <w:tcW w:w="1993" w:type="dxa"/>
          </w:tcPr>
          <w:p w:rsidR="0095456F" w:rsidRDefault="0095456F" w:rsidP="00112485">
            <w:pPr>
              <w:cnfStyle w:val="000000100000" w:firstRow="0" w:lastRow="0" w:firstColumn="0" w:lastColumn="0" w:oddVBand="0" w:evenVBand="0" w:oddHBand="1" w:evenHBand="0" w:firstRowFirstColumn="0" w:firstRowLastColumn="0" w:lastRowFirstColumn="0" w:lastRowLastColumn="0"/>
              <w:rPr>
                <w:rFonts w:eastAsiaTheme="minorEastAsia"/>
                <w:lang w:eastAsia="ja-JP"/>
              </w:rPr>
            </w:pPr>
            <w:r>
              <w:rPr>
                <w:rFonts w:eastAsiaTheme="minorEastAsia"/>
                <w:lang w:eastAsia="ja-JP"/>
              </w:rPr>
              <w:t>n</w:t>
            </w:r>
            <w:r>
              <w:rPr>
                <w:rFonts w:eastAsiaTheme="minorEastAsia" w:hint="eastAsia"/>
                <w:lang w:eastAsia="ja-JP"/>
              </w:rPr>
              <w:t>2</w:t>
            </w:r>
            <w:r>
              <w:rPr>
                <w:rFonts w:eastAsiaTheme="minorEastAsia"/>
                <w:lang w:eastAsia="ja-JP"/>
              </w:rPr>
              <w:t>5</w:t>
            </w:r>
            <w:r w:rsidR="00112485">
              <w:rPr>
                <w:rFonts w:eastAsiaTheme="minorEastAsia"/>
                <w:lang w:eastAsia="ja-JP"/>
              </w:rPr>
              <w:t>8</w:t>
            </w:r>
            <w:r>
              <w:rPr>
                <w:rFonts w:eastAsiaTheme="minorEastAsia"/>
                <w:lang w:eastAsia="ja-JP"/>
              </w:rPr>
              <w:t xml:space="preserve"> requirement is </w:t>
            </w:r>
            <w:r w:rsidRPr="00112485">
              <w:rPr>
                <w:rFonts w:eastAsiaTheme="minorEastAsia"/>
                <w:b/>
                <w:color w:val="0000FF"/>
                <w:lang w:eastAsia="ja-JP"/>
              </w:rPr>
              <w:t>at least 8 dB more stringent</w:t>
            </w:r>
            <w:r>
              <w:rPr>
                <w:rFonts w:eastAsiaTheme="minorEastAsia"/>
                <w:lang w:eastAsia="ja-JP"/>
              </w:rPr>
              <w:t xml:space="preserve"> than that for n259.</w:t>
            </w:r>
          </w:p>
        </w:tc>
      </w:tr>
      <w:tr w:rsidR="0095456F" w:rsidTr="00112485">
        <w:trPr>
          <w:jc w:val="center"/>
        </w:trPr>
        <w:tc>
          <w:tcPr>
            <w:cnfStyle w:val="001000000000" w:firstRow="0" w:lastRow="0" w:firstColumn="1" w:lastColumn="0" w:oddVBand="0" w:evenVBand="0" w:oddHBand="0" w:evenHBand="0" w:firstRowFirstColumn="0" w:firstRowLastColumn="0" w:lastRowFirstColumn="0" w:lastRowLastColumn="0"/>
            <w:tcW w:w="1992" w:type="dxa"/>
          </w:tcPr>
          <w:p w:rsidR="0095456F" w:rsidRDefault="0095456F" w:rsidP="00C27157">
            <w:pPr>
              <w:rPr>
                <w:rFonts w:eastAsiaTheme="minorEastAsia"/>
                <w:lang w:eastAsia="ja-JP"/>
              </w:rPr>
            </w:pPr>
            <w:r>
              <w:rPr>
                <w:rFonts w:eastAsiaTheme="minorEastAsia"/>
                <w:lang w:eastAsia="ja-JP"/>
              </w:rPr>
              <w:t>ACLR</w:t>
            </w:r>
          </w:p>
        </w:tc>
        <w:tc>
          <w:tcPr>
            <w:tcW w:w="1992" w:type="dxa"/>
          </w:tcPr>
          <w:p w:rsidR="0095456F" w:rsidRDefault="0095456F" w:rsidP="0095456F">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hint="eastAsia"/>
                <w:lang w:eastAsia="ja-JP"/>
              </w:rPr>
              <w:t>1</w:t>
            </w:r>
            <w:r>
              <w:rPr>
                <w:rFonts w:eastAsiaTheme="minorEastAsia"/>
                <w:lang w:eastAsia="ja-JP"/>
              </w:rPr>
              <w:t xml:space="preserve">7 </w:t>
            </w:r>
            <w:r>
              <w:rPr>
                <w:rFonts w:eastAsiaTheme="minorEastAsia" w:hint="eastAsia"/>
                <w:lang w:eastAsia="ja-JP"/>
              </w:rPr>
              <w:t>dB</w:t>
            </w:r>
          </w:p>
        </w:tc>
        <w:tc>
          <w:tcPr>
            <w:tcW w:w="2038" w:type="dxa"/>
          </w:tcPr>
          <w:p w:rsidR="0095456F" w:rsidRPr="0095456F" w:rsidRDefault="0095456F" w:rsidP="0095456F">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lang w:eastAsia="ja-JP"/>
              </w:rPr>
              <w:t>16 dB</w:t>
            </w:r>
          </w:p>
        </w:tc>
        <w:tc>
          <w:tcPr>
            <w:tcW w:w="1993" w:type="dxa"/>
          </w:tcPr>
          <w:p w:rsidR="0095456F" w:rsidRDefault="0095456F" w:rsidP="00C27157">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lang w:eastAsia="ja-JP"/>
              </w:rPr>
              <w:t>n2</w:t>
            </w:r>
            <w:r>
              <w:rPr>
                <w:rFonts w:eastAsiaTheme="minorEastAsia" w:hint="eastAsia"/>
                <w:lang w:eastAsia="ja-JP"/>
              </w:rPr>
              <w:t>5</w:t>
            </w:r>
            <w:r>
              <w:rPr>
                <w:rFonts w:eastAsiaTheme="minorEastAsia"/>
                <w:lang w:eastAsia="ja-JP"/>
              </w:rPr>
              <w:t>9 ACLR is one dB less stringent than that for n257.</w:t>
            </w:r>
          </w:p>
        </w:tc>
      </w:tr>
      <w:tr w:rsidR="0095456F" w:rsidTr="001124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tcPr>
          <w:p w:rsidR="0095456F" w:rsidRDefault="0095456F" w:rsidP="0095456F">
            <w:pPr>
              <w:rPr>
                <w:rFonts w:eastAsiaTheme="minorEastAsia"/>
                <w:lang w:eastAsia="ja-JP"/>
              </w:rPr>
            </w:pPr>
            <w:r>
              <w:rPr>
                <w:rFonts w:eastAsiaTheme="minorEastAsia"/>
                <w:lang w:eastAsia="ja-JP"/>
              </w:rPr>
              <w:t>Required A-</w:t>
            </w:r>
            <w:r>
              <w:rPr>
                <w:rFonts w:eastAsiaTheme="minorEastAsia" w:hint="eastAsia"/>
                <w:lang w:eastAsia="ja-JP"/>
              </w:rPr>
              <w:t>MPR</w:t>
            </w:r>
            <w:r w:rsidR="00112485">
              <w:rPr>
                <w:rFonts w:eastAsiaTheme="minorEastAsia"/>
                <w:lang w:eastAsia="ja-JP"/>
              </w:rPr>
              <w:t xml:space="preserve"> with offset</w:t>
            </w:r>
          </w:p>
        </w:tc>
        <w:tc>
          <w:tcPr>
            <w:tcW w:w="1992" w:type="dxa"/>
          </w:tcPr>
          <w:p w:rsidR="0095456F" w:rsidRDefault="0095456F" w:rsidP="0095456F">
            <w:pPr>
              <w:cnfStyle w:val="000000100000" w:firstRow="0" w:lastRow="0" w:firstColumn="0" w:lastColumn="0" w:oddVBand="0" w:evenVBand="0" w:oddHBand="1" w:evenHBand="0" w:firstRowFirstColumn="0" w:firstRowLastColumn="0" w:lastRowFirstColumn="0" w:lastRowLastColumn="0"/>
              <w:rPr>
                <w:rFonts w:eastAsiaTheme="minorEastAsia"/>
                <w:lang w:eastAsia="ja-JP"/>
              </w:rPr>
            </w:pPr>
            <w:r>
              <w:rPr>
                <w:rFonts w:eastAsiaTheme="minorEastAsia"/>
                <w:lang w:eastAsia="ja-JP"/>
              </w:rPr>
              <w:t>NONE</w:t>
            </w:r>
            <w:r w:rsidR="00112485">
              <w:rPr>
                <w:rFonts w:eastAsiaTheme="minorEastAsia"/>
                <w:lang w:eastAsia="ja-JP"/>
              </w:rPr>
              <w:t xml:space="preserve"> with </w:t>
            </w:r>
            <w:r w:rsidR="00112485" w:rsidRPr="00112485">
              <w:rPr>
                <w:rFonts w:eastAsiaTheme="minorEastAsia"/>
                <w:b/>
                <w:color w:val="0000FF"/>
                <w:lang w:eastAsia="ja-JP"/>
              </w:rPr>
              <w:t>500MHz</w:t>
            </w:r>
            <w:r w:rsidR="00112485">
              <w:rPr>
                <w:rFonts w:eastAsiaTheme="minorEastAsia"/>
                <w:lang w:eastAsia="ja-JP"/>
              </w:rPr>
              <w:t xml:space="preserve"> offset from victim to aggressor</w:t>
            </w:r>
          </w:p>
        </w:tc>
        <w:tc>
          <w:tcPr>
            <w:tcW w:w="2038" w:type="dxa"/>
          </w:tcPr>
          <w:p w:rsidR="0095456F" w:rsidRPr="0095456F" w:rsidRDefault="0095456F" w:rsidP="0095456F">
            <w:pPr>
              <w:cnfStyle w:val="000000100000" w:firstRow="0" w:lastRow="0" w:firstColumn="0" w:lastColumn="0" w:oddVBand="0" w:evenVBand="0" w:oddHBand="1" w:evenHBand="0" w:firstRowFirstColumn="0" w:firstRowLastColumn="0" w:lastRowFirstColumn="0" w:lastRowLastColumn="0"/>
              <w:rPr>
                <w:rFonts w:eastAsiaTheme="minorEastAsia"/>
                <w:lang w:eastAsia="ja-JP"/>
              </w:rPr>
            </w:pPr>
            <w:r>
              <w:rPr>
                <w:rFonts w:eastAsiaTheme="minorEastAsia"/>
                <w:lang w:eastAsia="ja-JP"/>
              </w:rPr>
              <w:t>Point being discussed</w:t>
            </w:r>
            <w:r w:rsidR="00112485">
              <w:rPr>
                <w:rFonts w:eastAsiaTheme="minorEastAsia"/>
                <w:lang w:eastAsia="ja-JP"/>
              </w:rPr>
              <w:t xml:space="preserve"> with </w:t>
            </w:r>
            <w:r w:rsidR="00112485" w:rsidRPr="00112485">
              <w:rPr>
                <w:rFonts w:eastAsiaTheme="minorEastAsia"/>
                <w:b/>
                <w:color w:val="0000FF"/>
                <w:lang w:eastAsia="ja-JP"/>
              </w:rPr>
              <w:t>2.5GHz</w:t>
            </w:r>
            <w:r w:rsidR="00112485">
              <w:rPr>
                <w:rFonts w:eastAsiaTheme="minorEastAsia"/>
                <w:lang w:eastAsia="ja-JP"/>
              </w:rPr>
              <w:t xml:space="preserve"> offset</w:t>
            </w:r>
          </w:p>
        </w:tc>
        <w:tc>
          <w:tcPr>
            <w:tcW w:w="1993" w:type="dxa"/>
          </w:tcPr>
          <w:p w:rsidR="0095456F" w:rsidRDefault="0095456F" w:rsidP="0095456F">
            <w:pPr>
              <w:cnfStyle w:val="000000100000" w:firstRow="0" w:lastRow="0" w:firstColumn="0" w:lastColumn="0" w:oddVBand="0" w:evenVBand="0" w:oddHBand="1" w:evenHBand="0" w:firstRowFirstColumn="0" w:firstRowLastColumn="0" w:lastRowFirstColumn="0" w:lastRowLastColumn="0"/>
              <w:rPr>
                <w:rFonts w:eastAsiaTheme="minorEastAsia"/>
                <w:lang w:eastAsia="ja-JP"/>
              </w:rPr>
            </w:pPr>
          </w:p>
        </w:tc>
      </w:tr>
    </w:tbl>
    <w:p w:rsidR="00112485" w:rsidRDefault="00112485" w:rsidP="00362FB2">
      <w:pPr>
        <w:rPr>
          <w:b/>
          <w:i/>
          <w:u w:val="single"/>
        </w:rPr>
      </w:pPr>
    </w:p>
    <w:p w:rsidR="00112485" w:rsidRDefault="00112485" w:rsidP="00A30055">
      <w:pPr>
        <w:rPr>
          <w:rFonts w:eastAsia="游明朝"/>
          <w:lang w:eastAsia="ja-JP"/>
        </w:rPr>
      </w:pPr>
      <w:r>
        <w:rPr>
          <w:rFonts w:eastAsia="游明朝"/>
          <w:lang w:eastAsia="ja-JP"/>
        </w:rPr>
        <w:t>Though ACLR of n259 is one dB less stringent than that of n258, the required emission limit for n259 is at least 8 dB less stringent and offset for n259 between victim and aggressor is larger than that for n258 by five times.</w:t>
      </w:r>
    </w:p>
    <w:p w:rsidR="00112485" w:rsidRDefault="00112485" w:rsidP="00735EB6">
      <w:pPr>
        <w:rPr>
          <w:rFonts w:eastAsia="游明朝"/>
          <w:lang w:eastAsia="ja-JP"/>
        </w:rPr>
      </w:pPr>
      <w:r>
        <w:rPr>
          <w:rFonts w:eastAsia="游明朝"/>
          <w:lang w:eastAsia="ja-JP"/>
        </w:rPr>
        <w:t>Hence, we believe that n259 does not have to use A-MPR to meet 7 dBm/GHz with 2.5GHz offset from n259.</w:t>
      </w:r>
    </w:p>
    <w:p w:rsidR="00112485" w:rsidRDefault="00112485" w:rsidP="00112485">
      <w:pPr>
        <w:rPr>
          <w:b/>
        </w:rPr>
      </w:pPr>
      <w:r>
        <w:rPr>
          <w:b/>
        </w:rPr>
        <w:t xml:space="preserve">Proposal 2: Power class 3 n259 UEs do not have to use A-MPR to meet </w:t>
      </w:r>
      <w:r w:rsidR="00D22ECF">
        <w:rPr>
          <w:b/>
        </w:rPr>
        <w:t xml:space="preserve">the unwanted </w:t>
      </w:r>
      <w:r>
        <w:rPr>
          <w:b/>
        </w:rPr>
        <w:t>emission requirement</w:t>
      </w:r>
      <w:r w:rsidR="00D22ECF">
        <w:rPr>
          <w:b/>
        </w:rPr>
        <w:t>s</w:t>
      </w:r>
      <w:r>
        <w:rPr>
          <w:b/>
        </w:rPr>
        <w:t xml:space="preserve"> to protect </w:t>
      </w:r>
      <w:r w:rsidR="00D22ECF">
        <w:rPr>
          <w:b/>
        </w:rPr>
        <w:t xml:space="preserve">the </w:t>
      </w:r>
      <w:r>
        <w:rPr>
          <w:b/>
        </w:rPr>
        <w:t>EESS</w:t>
      </w:r>
      <w:r w:rsidR="00D22ECF">
        <w:rPr>
          <w:b/>
        </w:rPr>
        <w:t xml:space="preserve"> (passive)</w:t>
      </w:r>
      <w:r>
        <w:rPr>
          <w:b/>
        </w:rPr>
        <w:t>.</w:t>
      </w:r>
    </w:p>
    <w:p w:rsidR="00112485" w:rsidRDefault="00112485" w:rsidP="00112485">
      <w:pPr>
        <w:rPr>
          <w:b/>
        </w:rPr>
      </w:pPr>
      <w:r>
        <w:rPr>
          <w:b/>
        </w:rPr>
        <w:t>Note: The above applies to CA with aggregated bandwidth up to at least 800MHz.</w:t>
      </w:r>
    </w:p>
    <w:p w:rsidR="00112485" w:rsidRDefault="00D22ECF" w:rsidP="00112485">
      <w:pPr>
        <w:rPr>
          <w:rFonts w:eastAsia="游明朝"/>
          <w:lang w:eastAsia="ja-JP"/>
        </w:rPr>
      </w:pPr>
      <w:r>
        <w:rPr>
          <w:rFonts w:eastAsia="游明朝"/>
          <w:lang w:eastAsia="ja-JP"/>
        </w:rPr>
        <w:t xml:space="preserve">Since the </w:t>
      </w:r>
      <w:r w:rsidR="00112485">
        <w:rPr>
          <w:rFonts w:eastAsia="游明朝"/>
          <w:lang w:eastAsia="ja-JP"/>
        </w:rPr>
        <w:t xml:space="preserve">EESS </w:t>
      </w:r>
      <w:r>
        <w:rPr>
          <w:rFonts w:eastAsia="游明朝"/>
          <w:lang w:eastAsia="ja-JP"/>
        </w:rPr>
        <w:t xml:space="preserve">(passive) </w:t>
      </w:r>
      <w:r w:rsidR="00112485">
        <w:rPr>
          <w:rFonts w:eastAsia="游明朝"/>
          <w:lang w:eastAsia="ja-JP"/>
        </w:rPr>
        <w:t>protection is required</w:t>
      </w:r>
      <w:r>
        <w:rPr>
          <w:rFonts w:eastAsia="游明朝"/>
          <w:lang w:eastAsia="ja-JP"/>
        </w:rPr>
        <w:t xml:space="preserve"> globally</w:t>
      </w:r>
      <w:r w:rsidR="00112485">
        <w:rPr>
          <w:rFonts w:eastAsia="游明朝"/>
          <w:lang w:eastAsia="ja-JP"/>
        </w:rPr>
        <w:t xml:space="preserve">, adding a new NS to n259 would not </w:t>
      </w:r>
      <w:r>
        <w:rPr>
          <w:rFonts w:eastAsia="游明朝"/>
          <w:lang w:eastAsia="ja-JP"/>
        </w:rPr>
        <w:t xml:space="preserve">be </w:t>
      </w:r>
      <w:r w:rsidR="00112485">
        <w:rPr>
          <w:rFonts w:eastAsia="游明朝"/>
          <w:lang w:eastAsia="ja-JP"/>
        </w:rPr>
        <w:t>necessary.</w:t>
      </w:r>
    </w:p>
    <w:p w:rsidR="008229B1" w:rsidRPr="00112485" w:rsidRDefault="00112485" w:rsidP="00D0185A">
      <w:pPr>
        <w:rPr>
          <w:b/>
        </w:rPr>
      </w:pPr>
      <w:r>
        <w:rPr>
          <w:b/>
        </w:rPr>
        <w:t>Proposal 3: A new NS(s) is not required for n259 for both single and CA cases.</w:t>
      </w:r>
    </w:p>
    <w:p w:rsidR="00F20E33" w:rsidRDefault="00F20E33" w:rsidP="00F20E33">
      <w:pPr>
        <w:pStyle w:val="10"/>
        <w:numPr>
          <w:ilvl w:val="0"/>
          <w:numId w:val="3"/>
        </w:numPr>
        <w:pBdr>
          <w:top w:val="single" w:sz="12" w:space="12" w:color="auto"/>
        </w:pBdr>
        <w:rPr>
          <w:rFonts w:cs="Arial"/>
          <w:lang w:val="en-US"/>
        </w:rPr>
      </w:pPr>
      <w:r>
        <w:rPr>
          <w:rFonts w:cs="Arial"/>
          <w:lang w:val="en-US"/>
        </w:rPr>
        <w:lastRenderedPageBreak/>
        <w:t>Conclusion</w:t>
      </w:r>
    </w:p>
    <w:p w:rsidR="00112485" w:rsidRDefault="008229B1" w:rsidP="00F20E33">
      <w:pPr>
        <w:rPr>
          <w:rFonts w:eastAsia="游明朝"/>
          <w:lang w:val="en-US" w:eastAsia="ja-JP"/>
        </w:rPr>
      </w:pPr>
      <w:r>
        <w:rPr>
          <w:rFonts w:eastAsia="游明朝"/>
          <w:lang w:val="en-US" w:eastAsia="ja-JP"/>
        </w:rPr>
        <w:t xml:space="preserve">This contribution </w:t>
      </w:r>
      <w:r w:rsidR="00112485">
        <w:rPr>
          <w:rFonts w:eastAsia="游明朝"/>
          <w:lang w:val="en-US" w:eastAsia="ja-JP"/>
        </w:rPr>
        <w:t xml:space="preserve">discussed how to incorporate WRC19 conclusion for EESS protection in 36-37GHz into 3GPP specification and necessity of A-MPR and NS for n259. Based on the discussion, we propose the followings. </w:t>
      </w:r>
    </w:p>
    <w:p w:rsidR="00112485" w:rsidRDefault="00112485" w:rsidP="00112485">
      <w:pPr>
        <w:rPr>
          <w:b/>
        </w:rPr>
      </w:pPr>
      <w:r>
        <w:rPr>
          <w:b/>
        </w:rPr>
        <w:t xml:space="preserve">Proposal 1: </w:t>
      </w:r>
      <w:r w:rsidR="00D22ECF">
        <w:rPr>
          <w:b/>
        </w:rPr>
        <w:t>n259 UEs shall meet the unwanted emission limits to protect the EESS (passive) only when any portion of the UL transmission bandwidth is inside 39.5 - 40.5GHz.</w:t>
      </w:r>
    </w:p>
    <w:p w:rsidR="00112485" w:rsidRDefault="00112485" w:rsidP="00112485">
      <w:pPr>
        <w:rPr>
          <w:b/>
        </w:rPr>
      </w:pPr>
      <w:r>
        <w:rPr>
          <w:b/>
        </w:rPr>
        <w:t xml:space="preserve">Proposal 2: </w:t>
      </w:r>
      <w:r w:rsidR="00D22ECF">
        <w:rPr>
          <w:b/>
        </w:rPr>
        <w:t>Power class 3 n259 UEs do not have to use A-MPR to meet the unwanted emission requirements to protect the EESS (passive).</w:t>
      </w:r>
    </w:p>
    <w:p w:rsidR="00112485" w:rsidRDefault="00112485" w:rsidP="00112485">
      <w:pPr>
        <w:rPr>
          <w:b/>
        </w:rPr>
      </w:pPr>
      <w:r>
        <w:rPr>
          <w:b/>
        </w:rPr>
        <w:t>Note: The above applies to CA with aggregated bandwidth up to at least 800MHz.</w:t>
      </w:r>
    </w:p>
    <w:p w:rsidR="00DE3FA9" w:rsidRPr="00112485" w:rsidRDefault="00112485" w:rsidP="00F20E33">
      <w:pPr>
        <w:rPr>
          <w:b/>
        </w:rPr>
      </w:pPr>
      <w:r>
        <w:rPr>
          <w:b/>
        </w:rPr>
        <w:t>Proposal 3: A new NS(s) is not required for n259 for both single and CA cases.</w:t>
      </w:r>
    </w:p>
    <w:p w:rsidR="00F20E33" w:rsidRPr="00F20E33" w:rsidRDefault="00F20E33" w:rsidP="00F20E33">
      <w:pPr>
        <w:pStyle w:val="10"/>
        <w:numPr>
          <w:ilvl w:val="0"/>
          <w:numId w:val="3"/>
        </w:numPr>
        <w:pBdr>
          <w:top w:val="single" w:sz="12" w:space="12" w:color="auto"/>
        </w:pBdr>
        <w:rPr>
          <w:rFonts w:cs="Arial"/>
          <w:lang w:val="en-US"/>
        </w:rPr>
      </w:pPr>
      <w:r w:rsidRPr="00FF2077">
        <w:rPr>
          <w:rFonts w:cs="Arial"/>
          <w:lang w:val="en-US"/>
        </w:rPr>
        <w:t>References</w:t>
      </w:r>
    </w:p>
    <w:p w:rsidR="007B1DC1" w:rsidRDefault="007B1DC1" w:rsidP="007B1DC1">
      <w:pPr>
        <w:ind w:left="360"/>
        <w:rPr>
          <w:rFonts w:eastAsia="游明朝"/>
          <w:lang w:val="en-US" w:eastAsia="ja-JP"/>
        </w:rPr>
      </w:pPr>
      <w:r>
        <w:rPr>
          <w:rFonts w:eastAsia="游明朝"/>
          <w:lang w:val="en-US" w:eastAsia="ja-JP"/>
        </w:rPr>
        <w:t>[1]</w:t>
      </w:r>
      <w:r w:rsidRPr="00D25C7C">
        <w:t xml:space="preserve"> </w:t>
      </w:r>
      <w:hyperlink r:id="rId9" w:history="1">
        <w:r w:rsidR="00790189" w:rsidRPr="00790189">
          <w:rPr>
            <w:rStyle w:val="aff4"/>
          </w:rPr>
          <w:t>https://www.itu.int/en/ITU-R/conferences/wrc/2019/Documents/PFA-WRC19-E.pdf</w:t>
        </w:r>
      </w:hyperlink>
    </w:p>
    <w:p w:rsidR="00655E20" w:rsidRPr="00112485" w:rsidRDefault="00655E20" w:rsidP="00810E18">
      <w:pPr>
        <w:ind w:left="360"/>
        <w:rPr>
          <w:rFonts w:eastAsia="游明朝"/>
          <w:lang w:val="en-US" w:eastAsia="ja-JP"/>
        </w:rPr>
      </w:pPr>
    </w:p>
    <w:sectPr w:rsidR="00655E20" w:rsidRPr="00112485" w:rsidSect="00D9045F">
      <w:headerReference w:type="even" r:id="rId10"/>
      <w:footerReference w:type="even" r:id="rId11"/>
      <w:footerReference w:type="default" r:id="rId1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BCA" w:rsidRDefault="00D63BCA">
      <w:r>
        <w:separator/>
      </w:r>
    </w:p>
  </w:endnote>
  <w:endnote w:type="continuationSeparator" w:id="0">
    <w:p w:rsidR="00D63BCA" w:rsidRDefault="00D63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00000000"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6A46E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A46E0" w:rsidRDefault="006A46E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6A46E0" w:rsidP="00450D3B">
    <w:pPr>
      <w:pStyle w:val="af"/>
      <w:ind w:right="360"/>
    </w:pPr>
    <w:r>
      <w:rPr>
        <w:rStyle w:val="af7"/>
      </w:rPr>
      <w:fldChar w:fldCharType="begin"/>
    </w:r>
    <w:r>
      <w:rPr>
        <w:rStyle w:val="af7"/>
      </w:rPr>
      <w:instrText xml:space="preserve"> PAGE </w:instrText>
    </w:r>
    <w:r>
      <w:rPr>
        <w:rStyle w:val="af7"/>
      </w:rPr>
      <w:fldChar w:fldCharType="separate"/>
    </w:r>
    <w:r w:rsidR="00592EB4">
      <w:rPr>
        <w:rStyle w:val="af7"/>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592EB4">
      <w:rPr>
        <w:rStyle w:val="af7"/>
      </w:rPr>
      <w:t>5</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BCA" w:rsidRDefault="00D63BCA">
      <w:r>
        <w:separator/>
      </w:r>
    </w:p>
  </w:footnote>
  <w:footnote w:type="continuationSeparator" w:id="0">
    <w:p w:rsidR="00D63BCA" w:rsidRDefault="00D63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6A46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5470834"/>
    <w:multiLevelType w:val="hybridMultilevel"/>
    <w:tmpl w:val="B01A8268"/>
    <w:lvl w:ilvl="0" w:tplc="31167364">
      <w:start w:val="1"/>
      <w:numFmt w:val="bullet"/>
      <w:lvlText w:val="•"/>
      <w:lvlJc w:val="left"/>
      <w:pPr>
        <w:tabs>
          <w:tab w:val="num" w:pos="720"/>
        </w:tabs>
        <w:ind w:left="720" w:hanging="360"/>
      </w:pPr>
      <w:rPr>
        <w:rFonts w:ascii="Arial" w:hAnsi="Arial" w:hint="default"/>
      </w:rPr>
    </w:lvl>
    <w:lvl w:ilvl="1" w:tplc="5C8E4C2A">
      <w:start w:val="1"/>
      <w:numFmt w:val="bullet"/>
      <w:lvlText w:val="•"/>
      <w:lvlJc w:val="left"/>
      <w:pPr>
        <w:tabs>
          <w:tab w:val="num" w:pos="1440"/>
        </w:tabs>
        <w:ind w:left="1440" w:hanging="360"/>
      </w:pPr>
      <w:rPr>
        <w:rFonts w:ascii="Arial" w:hAnsi="Arial" w:hint="default"/>
      </w:rPr>
    </w:lvl>
    <w:lvl w:ilvl="2" w:tplc="67B06C0A" w:tentative="1">
      <w:start w:val="1"/>
      <w:numFmt w:val="bullet"/>
      <w:lvlText w:val="•"/>
      <w:lvlJc w:val="left"/>
      <w:pPr>
        <w:tabs>
          <w:tab w:val="num" w:pos="2160"/>
        </w:tabs>
        <w:ind w:left="2160" w:hanging="360"/>
      </w:pPr>
      <w:rPr>
        <w:rFonts w:ascii="Arial" w:hAnsi="Arial" w:hint="default"/>
      </w:rPr>
    </w:lvl>
    <w:lvl w:ilvl="3" w:tplc="31E692A2" w:tentative="1">
      <w:start w:val="1"/>
      <w:numFmt w:val="bullet"/>
      <w:lvlText w:val="•"/>
      <w:lvlJc w:val="left"/>
      <w:pPr>
        <w:tabs>
          <w:tab w:val="num" w:pos="2880"/>
        </w:tabs>
        <w:ind w:left="2880" w:hanging="360"/>
      </w:pPr>
      <w:rPr>
        <w:rFonts w:ascii="Arial" w:hAnsi="Arial" w:hint="default"/>
      </w:rPr>
    </w:lvl>
    <w:lvl w:ilvl="4" w:tplc="D1AAE7D8" w:tentative="1">
      <w:start w:val="1"/>
      <w:numFmt w:val="bullet"/>
      <w:lvlText w:val="•"/>
      <w:lvlJc w:val="left"/>
      <w:pPr>
        <w:tabs>
          <w:tab w:val="num" w:pos="3600"/>
        </w:tabs>
        <w:ind w:left="3600" w:hanging="360"/>
      </w:pPr>
      <w:rPr>
        <w:rFonts w:ascii="Arial" w:hAnsi="Arial" w:hint="default"/>
      </w:rPr>
    </w:lvl>
    <w:lvl w:ilvl="5" w:tplc="F1504C40" w:tentative="1">
      <w:start w:val="1"/>
      <w:numFmt w:val="bullet"/>
      <w:lvlText w:val="•"/>
      <w:lvlJc w:val="left"/>
      <w:pPr>
        <w:tabs>
          <w:tab w:val="num" w:pos="4320"/>
        </w:tabs>
        <w:ind w:left="4320" w:hanging="360"/>
      </w:pPr>
      <w:rPr>
        <w:rFonts w:ascii="Arial" w:hAnsi="Arial" w:hint="default"/>
      </w:rPr>
    </w:lvl>
    <w:lvl w:ilvl="6" w:tplc="9EBE68BE" w:tentative="1">
      <w:start w:val="1"/>
      <w:numFmt w:val="bullet"/>
      <w:lvlText w:val="•"/>
      <w:lvlJc w:val="left"/>
      <w:pPr>
        <w:tabs>
          <w:tab w:val="num" w:pos="5040"/>
        </w:tabs>
        <w:ind w:left="5040" w:hanging="360"/>
      </w:pPr>
      <w:rPr>
        <w:rFonts w:ascii="Arial" w:hAnsi="Arial" w:hint="default"/>
      </w:rPr>
    </w:lvl>
    <w:lvl w:ilvl="7" w:tplc="D94CF13C" w:tentative="1">
      <w:start w:val="1"/>
      <w:numFmt w:val="bullet"/>
      <w:lvlText w:val="•"/>
      <w:lvlJc w:val="left"/>
      <w:pPr>
        <w:tabs>
          <w:tab w:val="num" w:pos="5760"/>
        </w:tabs>
        <w:ind w:left="5760" w:hanging="360"/>
      </w:pPr>
      <w:rPr>
        <w:rFonts w:ascii="Arial" w:hAnsi="Arial" w:hint="default"/>
      </w:rPr>
    </w:lvl>
    <w:lvl w:ilvl="8" w:tplc="394CA1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683212"/>
    <w:multiLevelType w:val="hybridMultilevel"/>
    <w:tmpl w:val="0D5CDDA6"/>
    <w:lvl w:ilvl="0" w:tplc="ACB65D68">
      <w:start w:val="1"/>
      <w:numFmt w:val="bullet"/>
      <w:lvlText w:val="•"/>
      <w:lvlJc w:val="left"/>
      <w:pPr>
        <w:tabs>
          <w:tab w:val="num" w:pos="720"/>
        </w:tabs>
        <w:ind w:left="720" w:hanging="360"/>
      </w:pPr>
      <w:rPr>
        <w:rFonts w:ascii="Arial" w:hAnsi="Arial" w:hint="default"/>
      </w:rPr>
    </w:lvl>
    <w:lvl w:ilvl="1" w:tplc="EA463052">
      <w:start w:val="1"/>
      <w:numFmt w:val="bullet"/>
      <w:lvlText w:val="•"/>
      <w:lvlJc w:val="left"/>
      <w:pPr>
        <w:tabs>
          <w:tab w:val="num" w:pos="1440"/>
        </w:tabs>
        <w:ind w:left="1440" w:hanging="360"/>
      </w:pPr>
      <w:rPr>
        <w:rFonts w:ascii="Arial" w:hAnsi="Arial" w:hint="default"/>
      </w:rPr>
    </w:lvl>
    <w:lvl w:ilvl="2" w:tplc="0A801D52" w:tentative="1">
      <w:start w:val="1"/>
      <w:numFmt w:val="bullet"/>
      <w:lvlText w:val="•"/>
      <w:lvlJc w:val="left"/>
      <w:pPr>
        <w:tabs>
          <w:tab w:val="num" w:pos="2160"/>
        </w:tabs>
        <w:ind w:left="2160" w:hanging="360"/>
      </w:pPr>
      <w:rPr>
        <w:rFonts w:ascii="Arial" w:hAnsi="Arial" w:hint="default"/>
      </w:rPr>
    </w:lvl>
    <w:lvl w:ilvl="3" w:tplc="37D2BBA0" w:tentative="1">
      <w:start w:val="1"/>
      <w:numFmt w:val="bullet"/>
      <w:lvlText w:val="•"/>
      <w:lvlJc w:val="left"/>
      <w:pPr>
        <w:tabs>
          <w:tab w:val="num" w:pos="2880"/>
        </w:tabs>
        <w:ind w:left="2880" w:hanging="360"/>
      </w:pPr>
      <w:rPr>
        <w:rFonts w:ascii="Arial" w:hAnsi="Arial" w:hint="default"/>
      </w:rPr>
    </w:lvl>
    <w:lvl w:ilvl="4" w:tplc="775A29D0" w:tentative="1">
      <w:start w:val="1"/>
      <w:numFmt w:val="bullet"/>
      <w:lvlText w:val="•"/>
      <w:lvlJc w:val="left"/>
      <w:pPr>
        <w:tabs>
          <w:tab w:val="num" w:pos="3600"/>
        </w:tabs>
        <w:ind w:left="3600" w:hanging="360"/>
      </w:pPr>
      <w:rPr>
        <w:rFonts w:ascii="Arial" w:hAnsi="Arial" w:hint="default"/>
      </w:rPr>
    </w:lvl>
    <w:lvl w:ilvl="5" w:tplc="82EE43B0" w:tentative="1">
      <w:start w:val="1"/>
      <w:numFmt w:val="bullet"/>
      <w:lvlText w:val="•"/>
      <w:lvlJc w:val="left"/>
      <w:pPr>
        <w:tabs>
          <w:tab w:val="num" w:pos="4320"/>
        </w:tabs>
        <w:ind w:left="4320" w:hanging="360"/>
      </w:pPr>
      <w:rPr>
        <w:rFonts w:ascii="Arial" w:hAnsi="Arial" w:hint="default"/>
      </w:rPr>
    </w:lvl>
    <w:lvl w:ilvl="6" w:tplc="2F007840" w:tentative="1">
      <w:start w:val="1"/>
      <w:numFmt w:val="bullet"/>
      <w:lvlText w:val="•"/>
      <w:lvlJc w:val="left"/>
      <w:pPr>
        <w:tabs>
          <w:tab w:val="num" w:pos="5040"/>
        </w:tabs>
        <w:ind w:left="5040" w:hanging="360"/>
      </w:pPr>
      <w:rPr>
        <w:rFonts w:ascii="Arial" w:hAnsi="Arial" w:hint="default"/>
      </w:rPr>
    </w:lvl>
    <w:lvl w:ilvl="7" w:tplc="C33A0A74" w:tentative="1">
      <w:start w:val="1"/>
      <w:numFmt w:val="bullet"/>
      <w:lvlText w:val="•"/>
      <w:lvlJc w:val="left"/>
      <w:pPr>
        <w:tabs>
          <w:tab w:val="num" w:pos="5760"/>
        </w:tabs>
        <w:ind w:left="5760" w:hanging="360"/>
      </w:pPr>
      <w:rPr>
        <w:rFonts w:ascii="Arial" w:hAnsi="Arial" w:hint="default"/>
      </w:rPr>
    </w:lvl>
    <w:lvl w:ilvl="8" w:tplc="541AEF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7E0A04"/>
    <w:multiLevelType w:val="hybridMultilevel"/>
    <w:tmpl w:val="B9F0DCC2"/>
    <w:lvl w:ilvl="0" w:tplc="B7CCB316">
      <w:start w:val="1"/>
      <w:numFmt w:val="bullet"/>
      <w:lvlText w:val="•"/>
      <w:lvlJc w:val="left"/>
      <w:pPr>
        <w:tabs>
          <w:tab w:val="num" w:pos="720"/>
        </w:tabs>
        <w:ind w:left="720" w:hanging="360"/>
      </w:pPr>
      <w:rPr>
        <w:rFonts w:ascii="Arial" w:hAnsi="Arial" w:hint="default"/>
      </w:rPr>
    </w:lvl>
    <w:lvl w:ilvl="1" w:tplc="F4D2E6F2">
      <w:start w:val="1"/>
      <w:numFmt w:val="bullet"/>
      <w:lvlText w:val="•"/>
      <w:lvlJc w:val="left"/>
      <w:pPr>
        <w:tabs>
          <w:tab w:val="num" w:pos="1440"/>
        </w:tabs>
        <w:ind w:left="1440" w:hanging="360"/>
      </w:pPr>
      <w:rPr>
        <w:rFonts w:ascii="Arial" w:hAnsi="Arial" w:hint="default"/>
      </w:rPr>
    </w:lvl>
    <w:lvl w:ilvl="2" w:tplc="5FFA5CAE" w:tentative="1">
      <w:start w:val="1"/>
      <w:numFmt w:val="bullet"/>
      <w:lvlText w:val="•"/>
      <w:lvlJc w:val="left"/>
      <w:pPr>
        <w:tabs>
          <w:tab w:val="num" w:pos="2160"/>
        </w:tabs>
        <w:ind w:left="2160" w:hanging="360"/>
      </w:pPr>
      <w:rPr>
        <w:rFonts w:ascii="Arial" w:hAnsi="Arial" w:hint="default"/>
      </w:rPr>
    </w:lvl>
    <w:lvl w:ilvl="3" w:tplc="F86E46C8" w:tentative="1">
      <w:start w:val="1"/>
      <w:numFmt w:val="bullet"/>
      <w:lvlText w:val="•"/>
      <w:lvlJc w:val="left"/>
      <w:pPr>
        <w:tabs>
          <w:tab w:val="num" w:pos="2880"/>
        </w:tabs>
        <w:ind w:left="2880" w:hanging="360"/>
      </w:pPr>
      <w:rPr>
        <w:rFonts w:ascii="Arial" w:hAnsi="Arial" w:hint="default"/>
      </w:rPr>
    </w:lvl>
    <w:lvl w:ilvl="4" w:tplc="F5789898" w:tentative="1">
      <w:start w:val="1"/>
      <w:numFmt w:val="bullet"/>
      <w:lvlText w:val="•"/>
      <w:lvlJc w:val="left"/>
      <w:pPr>
        <w:tabs>
          <w:tab w:val="num" w:pos="3600"/>
        </w:tabs>
        <w:ind w:left="3600" w:hanging="360"/>
      </w:pPr>
      <w:rPr>
        <w:rFonts w:ascii="Arial" w:hAnsi="Arial" w:hint="default"/>
      </w:rPr>
    </w:lvl>
    <w:lvl w:ilvl="5" w:tplc="66B487F2" w:tentative="1">
      <w:start w:val="1"/>
      <w:numFmt w:val="bullet"/>
      <w:lvlText w:val="•"/>
      <w:lvlJc w:val="left"/>
      <w:pPr>
        <w:tabs>
          <w:tab w:val="num" w:pos="4320"/>
        </w:tabs>
        <w:ind w:left="4320" w:hanging="360"/>
      </w:pPr>
      <w:rPr>
        <w:rFonts w:ascii="Arial" w:hAnsi="Arial" w:hint="default"/>
      </w:rPr>
    </w:lvl>
    <w:lvl w:ilvl="6" w:tplc="F210FCC4" w:tentative="1">
      <w:start w:val="1"/>
      <w:numFmt w:val="bullet"/>
      <w:lvlText w:val="•"/>
      <w:lvlJc w:val="left"/>
      <w:pPr>
        <w:tabs>
          <w:tab w:val="num" w:pos="5040"/>
        </w:tabs>
        <w:ind w:left="5040" w:hanging="360"/>
      </w:pPr>
      <w:rPr>
        <w:rFonts w:ascii="Arial" w:hAnsi="Arial" w:hint="default"/>
      </w:rPr>
    </w:lvl>
    <w:lvl w:ilvl="7" w:tplc="A74A3D90" w:tentative="1">
      <w:start w:val="1"/>
      <w:numFmt w:val="bullet"/>
      <w:lvlText w:val="•"/>
      <w:lvlJc w:val="left"/>
      <w:pPr>
        <w:tabs>
          <w:tab w:val="num" w:pos="5760"/>
        </w:tabs>
        <w:ind w:left="5760" w:hanging="360"/>
      </w:pPr>
      <w:rPr>
        <w:rFonts w:ascii="Arial" w:hAnsi="Arial" w:hint="default"/>
      </w:rPr>
    </w:lvl>
    <w:lvl w:ilvl="8" w:tplc="51A24C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D876FCA"/>
    <w:multiLevelType w:val="hybridMultilevel"/>
    <w:tmpl w:val="BD7837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3"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5"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26" w15:restartNumberingAfterBreak="0">
    <w:nsid w:val="6CBA5A47"/>
    <w:multiLevelType w:val="hybridMultilevel"/>
    <w:tmpl w:val="001EC1A8"/>
    <w:lvl w:ilvl="0" w:tplc="C5AC0E46">
      <w:numFmt w:val="bullet"/>
      <w:lvlText w:val="-"/>
      <w:lvlJc w:val="left"/>
      <w:pPr>
        <w:ind w:left="644" w:hanging="360"/>
      </w:pPr>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29"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0"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9"/>
  </w:num>
  <w:num w:numId="3">
    <w:abstractNumId w:val="3"/>
  </w:num>
  <w:num w:numId="4">
    <w:abstractNumId w:val="32"/>
  </w:num>
  <w:num w:numId="5">
    <w:abstractNumId w:val="30"/>
  </w:num>
  <w:num w:numId="6">
    <w:abstractNumId w:val="22"/>
  </w:num>
  <w:num w:numId="7">
    <w:abstractNumId w:val="29"/>
  </w:num>
  <w:num w:numId="8">
    <w:abstractNumId w:val="12"/>
  </w:num>
  <w:num w:numId="9">
    <w:abstractNumId w:val="15"/>
  </w:num>
  <w:num w:numId="10">
    <w:abstractNumId w:val="6"/>
  </w:num>
  <w:num w:numId="11">
    <w:abstractNumId w:val="4"/>
  </w:num>
  <w:num w:numId="12">
    <w:abstractNumId w:val="25"/>
  </w:num>
  <w:num w:numId="13">
    <w:abstractNumId w:val="31"/>
  </w:num>
  <w:num w:numId="14">
    <w:abstractNumId w:val="11"/>
  </w:num>
  <w:num w:numId="15">
    <w:abstractNumId w:val="5"/>
  </w:num>
  <w:num w:numId="16">
    <w:abstractNumId w:val="16"/>
  </w:num>
  <w:num w:numId="17">
    <w:abstractNumId w:val="13"/>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0"/>
  </w:num>
  <w:num w:numId="22">
    <w:abstractNumId w:val="28"/>
  </w:num>
  <w:num w:numId="23">
    <w:abstractNumId w:val="23"/>
  </w:num>
  <w:num w:numId="24">
    <w:abstractNumId w:val="27"/>
  </w:num>
  <w:num w:numId="25">
    <w:abstractNumId w:val="21"/>
  </w:num>
  <w:num w:numId="26">
    <w:abstractNumId w:val="33"/>
  </w:num>
  <w:num w:numId="27">
    <w:abstractNumId w:val="7"/>
  </w:num>
  <w:num w:numId="28">
    <w:abstractNumId w:val="2"/>
  </w:num>
  <w:num w:numId="29">
    <w:abstractNumId w:val="2"/>
  </w:num>
  <w:num w:numId="30">
    <w:abstractNumId w:val="19"/>
  </w:num>
  <w:num w:numId="31">
    <w:abstractNumId w:val="26"/>
  </w:num>
  <w:num w:numId="32">
    <w:abstractNumId w:val="17"/>
  </w:num>
  <w:num w:numId="33">
    <w:abstractNumId w:val="14"/>
  </w:num>
  <w:num w:numId="3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D17"/>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202A5"/>
    <w:rsid w:val="00020331"/>
    <w:rsid w:val="00020420"/>
    <w:rsid w:val="000205C1"/>
    <w:rsid w:val="000208B8"/>
    <w:rsid w:val="00020D61"/>
    <w:rsid w:val="0002130A"/>
    <w:rsid w:val="00021606"/>
    <w:rsid w:val="0002165C"/>
    <w:rsid w:val="00021897"/>
    <w:rsid w:val="00021C67"/>
    <w:rsid w:val="00021DEC"/>
    <w:rsid w:val="00021F6F"/>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8F5"/>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2EC4"/>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98"/>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ADC"/>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485"/>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12B"/>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8E7"/>
    <w:rsid w:val="00131AC6"/>
    <w:rsid w:val="00131B1C"/>
    <w:rsid w:val="001321B6"/>
    <w:rsid w:val="001321CE"/>
    <w:rsid w:val="001322B0"/>
    <w:rsid w:val="00132686"/>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7EC"/>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24E"/>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60D"/>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619"/>
    <w:rsid w:val="001B6C77"/>
    <w:rsid w:val="001B6E29"/>
    <w:rsid w:val="001B70CF"/>
    <w:rsid w:val="001B7120"/>
    <w:rsid w:val="001B716B"/>
    <w:rsid w:val="001B748B"/>
    <w:rsid w:val="001B79F4"/>
    <w:rsid w:val="001C002C"/>
    <w:rsid w:val="001C007D"/>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815"/>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07"/>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7F9"/>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CB7"/>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9B4"/>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376"/>
    <w:rsid w:val="0028738A"/>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65D8"/>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21E"/>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72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7F6"/>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58D"/>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792"/>
    <w:rsid w:val="00332962"/>
    <w:rsid w:val="00332A33"/>
    <w:rsid w:val="00332E6D"/>
    <w:rsid w:val="003338C8"/>
    <w:rsid w:val="00333BD2"/>
    <w:rsid w:val="00334770"/>
    <w:rsid w:val="00334B4F"/>
    <w:rsid w:val="00334B90"/>
    <w:rsid w:val="00334F98"/>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B3"/>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533"/>
    <w:rsid w:val="0036262C"/>
    <w:rsid w:val="00362C5A"/>
    <w:rsid w:val="00362FB2"/>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20"/>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384A"/>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2F4"/>
    <w:rsid w:val="003C07D7"/>
    <w:rsid w:val="003C0985"/>
    <w:rsid w:val="003C0D37"/>
    <w:rsid w:val="003C1493"/>
    <w:rsid w:val="003C170C"/>
    <w:rsid w:val="003C1E8C"/>
    <w:rsid w:val="003C1EC9"/>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D7EF9"/>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7C6"/>
    <w:rsid w:val="00401B06"/>
    <w:rsid w:val="00402261"/>
    <w:rsid w:val="004024AB"/>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18"/>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47C28"/>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18E"/>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A09"/>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BD5"/>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54"/>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2371"/>
    <w:rsid w:val="004C252E"/>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50F"/>
    <w:rsid w:val="00504639"/>
    <w:rsid w:val="0050485E"/>
    <w:rsid w:val="00504A2B"/>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28BE"/>
    <w:rsid w:val="00513074"/>
    <w:rsid w:val="0051385C"/>
    <w:rsid w:val="005138DA"/>
    <w:rsid w:val="00513924"/>
    <w:rsid w:val="00513F0C"/>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1B5"/>
    <w:rsid w:val="00580282"/>
    <w:rsid w:val="005806B0"/>
    <w:rsid w:val="005809EB"/>
    <w:rsid w:val="00580E45"/>
    <w:rsid w:val="00581014"/>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2EB4"/>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353"/>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643B"/>
    <w:rsid w:val="005C7340"/>
    <w:rsid w:val="005C7973"/>
    <w:rsid w:val="005C7A54"/>
    <w:rsid w:val="005C7AF1"/>
    <w:rsid w:val="005C7CAD"/>
    <w:rsid w:val="005C7DEE"/>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C01"/>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EEC"/>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DD2"/>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18B"/>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B1"/>
    <w:rsid w:val="00641EE8"/>
    <w:rsid w:val="00642505"/>
    <w:rsid w:val="006426C0"/>
    <w:rsid w:val="00642D10"/>
    <w:rsid w:val="006431FA"/>
    <w:rsid w:val="00643769"/>
    <w:rsid w:val="006437A9"/>
    <w:rsid w:val="00643973"/>
    <w:rsid w:val="00644114"/>
    <w:rsid w:val="00644200"/>
    <w:rsid w:val="0064428B"/>
    <w:rsid w:val="00644511"/>
    <w:rsid w:val="00644681"/>
    <w:rsid w:val="0064486C"/>
    <w:rsid w:val="00644E60"/>
    <w:rsid w:val="0064552C"/>
    <w:rsid w:val="006457B7"/>
    <w:rsid w:val="00646556"/>
    <w:rsid w:val="006473FF"/>
    <w:rsid w:val="0064750E"/>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E20"/>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1E99"/>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8C5"/>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601"/>
    <w:rsid w:val="006B5801"/>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DCB"/>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D5C"/>
    <w:rsid w:val="006C5FF1"/>
    <w:rsid w:val="006C6287"/>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290C"/>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679A"/>
    <w:rsid w:val="006D7396"/>
    <w:rsid w:val="006D7598"/>
    <w:rsid w:val="006D7B93"/>
    <w:rsid w:val="006D7DAD"/>
    <w:rsid w:val="006D7E70"/>
    <w:rsid w:val="006E0B16"/>
    <w:rsid w:val="006E0E60"/>
    <w:rsid w:val="006E0ED0"/>
    <w:rsid w:val="006E174B"/>
    <w:rsid w:val="006E176F"/>
    <w:rsid w:val="006E1C1B"/>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6B"/>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5EB6"/>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492"/>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89"/>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DC1"/>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6E5"/>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867"/>
    <w:rsid w:val="00804B2F"/>
    <w:rsid w:val="0080638C"/>
    <w:rsid w:val="00806662"/>
    <w:rsid w:val="00806979"/>
    <w:rsid w:val="0080699F"/>
    <w:rsid w:val="00806D29"/>
    <w:rsid w:val="0080738D"/>
    <w:rsid w:val="0080770D"/>
    <w:rsid w:val="008078EA"/>
    <w:rsid w:val="00807AA4"/>
    <w:rsid w:val="00807D28"/>
    <w:rsid w:val="00807D5E"/>
    <w:rsid w:val="00807E1B"/>
    <w:rsid w:val="00807FED"/>
    <w:rsid w:val="0081012C"/>
    <w:rsid w:val="00810B82"/>
    <w:rsid w:val="00810C3E"/>
    <w:rsid w:val="00810DE9"/>
    <w:rsid w:val="00810E18"/>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29B1"/>
    <w:rsid w:val="008231DB"/>
    <w:rsid w:val="00823335"/>
    <w:rsid w:val="008237B2"/>
    <w:rsid w:val="008237E7"/>
    <w:rsid w:val="00823F61"/>
    <w:rsid w:val="008240C9"/>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68A"/>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23A"/>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37"/>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C2"/>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56F"/>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5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2FA8"/>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5D"/>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6FA5"/>
    <w:rsid w:val="009F709D"/>
    <w:rsid w:val="009F7169"/>
    <w:rsid w:val="009F7441"/>
    <w:rsid w:val="009F76CB"/>
    <w:rsid w:val="009F7883"/>
    <w:rsid w:val="009F7B0A"/>
    <w:rsid w:val="009F7DDF"/>
    <w:rsid w:val="00A003F4"/>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1DA"/>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055"/>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85A"/>
    <w:rsid w:val="00A32C37"/>
    <w:rsid w:val="00A33A04"/>
    <w:rsid w:val="00A33C1F"/>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3556"/>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5F9B"/>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2567"/>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27D"/>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BA9"/>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085"/>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338"/>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5D87"/>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6A16"/>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86B"/>
    <w:rsid w:val="00C25D3A"/>
    <w:rsid w:val="00C263AE"/>
    <w:rsid w:val="00C26871"/>
    <w:rsid w:val="00C2695A"/>
    <w:rsid w:val="00C27157"/>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4E29"/>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1F5"/>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98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672"/>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858"/>
    <w:rsid w:val="00CE212D"/>
    <w:rsid w:val="00CE22AA"/>
    <w:rsid w:val="00CE253D"/>
    <w:rsid w:val="00CE2561"/>
    <w:rsid w:val="00CE3257"/>
    <w:rsid w:val="00CE46E9"/>
    <w:rsid w:val="00CE5AD7"/>
    <w:rsid w:val="00CE5BB4"/>
    <w:rsid w:val="00CE5D2C"/>
    <w:rsid w:val="00CE5E0C"/>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5A"/>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2ECF"/>
    <w:rsid w:val="00D23556"/>
    <w:rsid w:val="00D2390D"/>
    <w:rsid w:val="00D23A36"/>
    <w:rsid w:val="00D23B89"/>
    <w:rsid w:val="00D23CE2"/>
    <w:rsid w:val="00D23EAA"/>
    <w:rsid w:val="00D24FEC"/>
    <w:rsid w:val="00D25A07"/>
    <w:rsid w:val="00D25C7C"/>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4A9"/>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5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333"/>
    <w:rsid w:val="00D63BAD"/>
    <w:rsid w:val="00D63BCA"/>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69B9"/>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3FA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E000AA"/>
    <w:rsid w:val="00E003A4"/>
    <w:rsid w:val="00E004D1"/>
    <w:rsid w:val="00E00633"/>
    <w:rsid w:val="00E00A07"/>
    <w:rsid w:val="00E00EFF"/>
    <w:rsid w:val="00E0138A"/>
    <w:rsid w:val="00E015AA"/>
    <w:rsid w:val="00E01945"/>
    <w:rsid w:val="00E019EA"/>
    <w:rsid w:val="00E01B2D"/>
    <w:rsid w:val="00E028E6"/>
    <w:rsid w:val="00E02C20"/>
    <w:rsid w:val="00E032C1"/>
    <w:rsid w:val="00E039C0"/>
    <w:rsid w:val="00E03EFA"/>
    <w:rsid w:val="00E046C1"/>
    <w:rsid w:val="00E049EC"/>
    <w:rsid w:val="00E04A79"/>
    <w:rsid w:val="00E04D6C"/>
    <w:rsid w:val="00E04EE6"/>
    <w:rsid w:val="00E04FB3"/>
    <w:rsid w:val="00E05406"/>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8FD"/>
    <w:rsid w:val="00E30A72"/>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6E78"/>
    <w:rsid w:val="00E37074"/>
    <w:rsid w:val="00E370DC"/>
    <w:rsid w:val="00E377BF"/>
    <w:rsid w:val="00E37C25"/>
    <w:rsid w:val="00E40362"/>
    <w:rsid w:val="00E40DAE"/>
    <w:rsid w:val="00E41A3E"/>
    <w:rsid w:val="00E41D2F"/>
    <w:rsid w:val="00E42328"/>
    <w:rsid w:val="00E42A4B"/>
    <w:rsid w:val="00E42FF3"/>
    <w:rsid w:val="00E432AE"/>
    <w:rsid w:val="00E4356E"/>
    <w:rsid w:val="00E43F1E"/>
    <w:rsid w:val="00E43F8B"/>
    <w:rsid w:val="00E43FBE"/>
    <w:rsid w:val="00E44020"/>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462"/>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BBE"/>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E33"/>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2B7"/>
    <w:rsid w:val="00F3755F"/>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67EBA"/>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AE0"/>
    <w:rsid w:val="00F73D87"/>
    <w:rsid w:val="00F73F43"/>
    <w:rsid w:val="00F74609"/>
    <w:rsid w:val="00F74664"/>
    <w:rsid w:val="00F74791"/>
    <w:rsid w:val="00F74A7A"/>
    <w:rsid w:val="00F74DB3"/>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05F"/>
    <w:rsid w:val="00FB12FA"/>
    <w:rsid w:val="00FB15D5"/>
    <w:rsid w:val="00FB1694"/>
    <w:rsid w:val="00FB18E8"/>
    <w:rsid w:val="00FB19D8"/>
    <w:rsid w:val="00FB2115"/>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B7F50"/>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22E"/>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3F8F"/>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5DDDD04"/>
  <w15:chartTrackingRefBased/>
  <w15:docId w15:val="{607BD2A1-DE16-4150-8C5C-1A4328B0B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67EBA"/>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semiHidden/>
    <w:rsid w:val="00F1403E"/>
    <w:rPr>
      <w:rFonts w:ascii="Times New Roman" w:hAnsi="Times New Roman"/>
      <w:lang w:val="en-GB" w:eastAsia="en-US"/>
    </w:rPr>
  </w:style>
  <w:style w:type="paragraph" w:styleId="Web">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table" w:styleId="5-1">
    <w:name w:val="Grid Table 5 Dark Accent 1"/>
    <w:basedOn w:val="a3"/>
    <w:uiPriority w:val="50"/>
    <w:rsid w:val="001124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451373">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60354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8834408">
      <w:bodyDiv w:val="1"/>
      <w:marLeft w:val="0"/>
      <w:marRight w:val="0"/>
      <w:marTop w:val="0"/>
      <w:marBottom w:val="0"/>
      <w:divBdr>
        <w:top w:val="none" w:sz="0" w:space="0" w:color="auto"/>
        <w:left w:val="none" w:sz="0" w:space="0" w:color="auto"/>
        <w:bottom w:val="none" w:sz="0" w:space="0" w:color="auto"/>
        <w:right w:val="none" w:sz="0" w:space="0" w:color="auto"/>
      </w:divBdr>
      <w:divsChild>
        <w:div w:id="2048797523">
          <w:marLeft w:val="1080"/>
          <w:marRight w:val="0"/>
          <w:marTop w:val="120"/>
          <w:marBottom w:val="0"/>
          <w:divBdr>
            <w:top w:val="none" w:sz="0" w:space="0" w:color="auto"/>
            <w:left w:val="none" w:sz="0" w:space="0" w:color="auto"/>
            <w:bottom w:val="none" w:sz="0" w:space="0" w:color="auto"/>
            <w:right w:val="none" w:sz="0" w:space="0" w:color="auto"/>
          </w:divBdr>
        </w:div>
      </w:divsChild>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554326">
      <w:bodyDiv w:val="1"/>
      <w:marLeft w:val="0"/>
      <w:marRight w:val="0"/>
      <w:marTop w:val="0"/>
      <w:marBottom w:val="0"/>
      <w:divBdr>
        <w:top w:val="none" w:sz="0" w:space="0" w:color="auto"/>
        <w:left w:val="none" w:sz="0" w:space="0" w:color="auto"/>
        <w:bottom w:val="none" w:sz="0" w:space="0" w:color="auto"/>
        <w:right w:val="none" w:sz="0" w:space="0" w:color="auto"/>
      </w:divBdr>
      <w:divsChild>
        <w:div w:id="35392854">
          <w:marLeft w:val="1080"/>
          <w:marRight w:val="0"/>
          <w:marTop w:val="120"/>
          <w:marBottom w:val="0"/>
          <w:divBdr>
            <w:top w:val="none" w:sz="0" w:space="0" w:color="auto"/>
            <w:left w:val="none" w:sz="0" w:space="0" w:color="auto"/>
            <w:bottom w:val="none" w:sz="0" w:space="0" w:color="auto"/>
            <w:right w:val="none" w:sz="0" w:space="0" w:color="auto"/>
          </w:divBdr>
        </w:div>
      </w:divsChild>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160783">
      <w:bodyDiv w:val="1"/>
      <w:marLeft w:val="0"/>
      <w:marRight w:val="0"/>
      <w:marTop w:val="0"/>
      <w:marBottom w:val="0"/>
      <w:divBdr>
        <w:top w:val="none" w:sz="0" w:space="0" w:color="auto"/>
        <w:left w:val="none" w:sz="0" w:space="0" w:color="auto"/>
        <w:bottom w:val="none" w:sz="0" w:space="0" w:color="auto"/>
        <w:right w:val="none" w:sz="0" w:space="0" w:color="auto"/>
      </w:divBdr>
      <w:divsChild>
        <w:div w:id="932708516">
          <w:marLeft w:val="0"/>
          <w:marRight w:val="0"/>
          <w:marTop w:val="0"/>
          <w:marBottom w:val="0"/>
          <w:divBdr>
            <w:top w:val="none" w:sz="0" w:space="0" w:color="auto"/>
            <w:left w:val="none" w:sz="0" w:space="0" w:color="auto"/>
            <w:bottom w:val="none" w:sz="0" w:space="0" w:color="auto"/>
            <w:right w:val="none" w:sz="0" w:space="0" w:color="auto"/>
          </w:divBdr>
          <w:divsChild>
            <w:div w:id="1699771892">
              <w:marLeft w:val="0"/>
              <w:marRight w:val="0"/>
              <w:marTop w:val="0"/>
              <w:marBottom w:val="0"/>
              <w:divBdr>
                <w:top w:val="none" w:sz="0" w:space="0" w:color="auto"/>
                <w:left w:val="none" w:sz="0" w:space="0" w:color="auto"/>
                <w:bottom w:val="none" w:sz="0" w:space="0" w:color="auto"/>
                <w:right w:val="none" w:sz="0" w:space="0" w:color="auto"/>
              </w:divBdr>
              <w:divsChild>
                <w:div w:id="1132674819">
                  <w:marLeft w:val="0"/>
                  <w:marRight w:val="0"/>
                  <w:marTop w:val="0"/>
                  <w:marBottom w:val="0"/>
                  <w:divBdr>
                    <w:top w:val="none" w:sz="0" w:space="0" w:color="auto"/>
                    <w:left w:val="none" w:sz="0" w:space="0" w:color="auto"/>
                    <w:bottom w:val="none" w:sz="0" w:space="0" w:color="auto"/>
                    <w:right w:val="none" w:sz="0" w:space="0" w:color="auto"/>
                  </w:divBdr>
                  <w:divsChild>
                    <w:div w:id="1517232379">
                      <w:marLeft w:val="30"/>
                      <w:marRight w:val="0"/>
                      <w:marTop w:val="0"/>
                      <w:marBottom w:val="0"/>
                      <w:divBdr>
                        <w:top w:val="none" w:sz="0" w:space="0" w:color="auto"/>
                        <w:left w:val="none" w:sz="0" w:space="0" w:color="auto"/>
                        <w:bottom w:val="none" w:sz="0" w:space="0" w:color="auto"/>
                        <w:right w:val="none" w:sz="0" w:space="0" w:color="auto"/>
                      </w:divBdr>
                      <w:divsChild>
                        <w:div w:id="2011524029">
                          <w:marLeft w:val="0"/>
                          <w:marRight w:val="0"/>
                          <w:marTop w:val="75"/>
                          <w:marBottom w:val="0"/>
                          <w:divBdr>
                            <w:top w:val="none" w:sz="0" w:space="0" w:color="auto"/>
                            <w:left w:val="none" w:sz="0" w:space="0" w:color="auto"/>
                            <w:bottom w:val="none" w:sz="0" w:space="0" w:color="auto"/>
                            <w:right w:val="none" w:sz="0" w:space="0" w:color="auto"/>
                          </w:divBdr>
                          <w:divsChild>
                            <w:div w:id="6371465">
                              <w:marLeft w:val="0"/>
                              <w:marRight w:val="0"/>
                              <w:marTop w:val="0"/>
                              <w:marBottom w:val="0"/>
                              <w:divBdr>
                                <w:top w:val="none" w:sz="0" w:space="0" w:color="auto"/>
                                <w:left w:val="none" w:sz="0" w:space="0" w:color="auto"/>
                                <w:bottom w:val="none" w:sz="0" w:space="0" w:color="auto"/>
                                <w:right w:val="none" w:sz="0" w:space="0" w:color="auto"/>
                              </w:divBdr>
                              <w:divsChild>
                                <w:div w:id="1630622522">
                                  <w:marLeft w:val="0"/>
                                  <w:marRight w:val="0"/>
                                  <w:marTop w:val="0"/>
                                  <w:marBottom w:val="0"/>
                                  <w:divBdr>
                                    <w:top w:val="none" w:sz="0" w:space="0" w:color="auto"/>
                                    <w:left w:val="none" w:sz="0" w:space="0" w:color="auto"/>
                                    <w:bottom w:val="none" w:sz="0" w:space="0" w:color="auto"/>
                                    <w:right w:val="none" w:sz="0" w:space="0" w:color="auto"/>
                                  </w:divBdr>
                                  <w:divsChild>
                                    <w:div w:id="1004161575">
                                      <w:marLeft w:val="0"/>
                                      <w:marRight w:val="0"/>
                                      <w:marTop w:val="0"/>
                                      <w:marBottom w:val="0"/>
                                      <w:divBdr>
                                        <w:top w:val="none" w:sz="0" w:space="0" w:color="auto"/>
                                        <w:left w:val="none" w:sz="0" w:space="0" w:color="auto"/>
                                        <w:bottom w:val="none" w:sz="0" w:space="0" w:color="auto"/>
                                        <w:right w:val="none" w:sz="0" w:space="0" w:color="auto"/>
                                      </w:divBdr>
                                      <w:divsChild>
                                        <w:div w:id="122664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2452768">
      <w:bodyDiv w:val="1"/>
      <w:marLeft w:val="0"/>
      <w:marRight w:val="0"/>
      <w:marTop w:val="0"/>
      <w:marBottom w:val="0"/>
      <w:divBdr>
        <w:top w:val="none" w:sz="0" w:space="0" w:color="auto"/>
        <w:left w:val="none" w:sz="0" w:space="0" w:color="auto"/>
        <w:bottom w:val="none" w:sz="0" w:space="0" w:color="auto"/>
        <w:right w:val="none" w:sz="0" w:space="0" w:color="auto"/>
      </w:divBdr>
      <w:divsChild>
        <w:div w:id="462388048">
          <w:marLeft w:val="1080"/>
          <w:marRight w:val="0"/>
          <w:marTop w:val="120"/>
          <w:marBottom w:val="0"/>
          <w:divBdr>
            <w:top w:val="none" w:sz="0" w:space="0" w:color="auto"/>
            <w:left w:val="none" w:sz="0" w:space="0" w:color="auto"/>
            <w:bottom w:val="none" w:sz="0" w:space="0" w:color="auto"/>
            <w:right w:val="none" w:sz="0" w:space="0" w:color="auto"/>
          </w:divBdr>
        </w:div>
        <w:div w:id="1037508479">
          <w:marLeft w:val="1080"/>
          <w:marRight w:val="0"/>
          <w:marTop w:val="100"/>
          <w:marBottom w:val="0"/>
          <w:divBdr>
            <w:top w:val="none" w:sz="0" w:space="0" w:color="auto"/>
            <w:left w:val="none" w:sz="0" w:space="0" w:color="auto"/>
            <w:bottom w:val="none" w:sz="0" w:space="0" w:color="auto"/>
            <w:right w:val="none" w:sz="0" w:space="0" w:color="auto"/>
          </w:divBdr>
        </w:div>
        <w:div w:id="1786776015">
          <w:marLeft w:val="1080"/>
          <w:marRight w:val="0"/>
          <w:marTop w:val="10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916547">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en/ITU-R/conferences/wrc/2019/Documents/PFA-WRC19-E.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1382</Words>
  <Characters>7018</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0172918</cp:lastModifiedBy>
  <cp:revision>2</cp:revision>
  <cp:lastPrinted>2011-11-09T06:49:00Z</cp:lastPrinted>
  <dcterms:created xsi:type="dcterms:W3CDTF">2020-02-12T08:21:00Z</dcterms:created>
  <dcterms:modified xsi:type="dcterms:W3CDTF">2020-02-12T08:21:00Z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