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18EF0" w14:textId="5B7B4806" w:rsidR="00006351" w:rsidRPr="00DB3907" w:rsidRDefault="00006351" w:rsidP="00006351">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008475CA">
        <w:rPr>
          <w:rFonts w:cs="Arial"/>
          <w:sz w:val="24"/>
          <w:szCs w:val="24"/>
          <w:lang w:val="de-DE"/>
        </w:rPr>
        <w:t>bis</w:t>
      </w:r>
      <w:r w:rsidRPr="00DB3907">
        <w:rPr>
          <w:rFonts w:cs="Arial"/>
          <w:sz w:val="24"/>
          <w:szCs w:val="24"/>
          <w:lang w:val="de-DE"/>
        </w:rPr>
        <w:tab/>
        <w:t>R4-</w:t>
      </w:r>
      <w:r>
        <w:rPr>
          <w:rFonts w:cs="Arial"/>
          <w:sz w:val="24"/>
          <w:szCs w:val="24"/>
          <w:lang w:val="de-DE"/>
        </w:rPr>
        <w:t>19</w:t>
      </w:r>
      <w:r w:rsidR="008475CA">
        <w:rPr>
          <w:rFonts w:cs="Arial"/>
          <w:sz w:val="24"/>
          <w:szCs w:val="24"/>
          <w:lang w:val="de-DE"/>
        </w:rPr>
        <w:t>1</w:t>
      </w:r>
      <w:r w:rsidR="00D12961">
        <w:rPr>
          <w:rFonts w:cs="Arial"/>
          <w:sz w:val="24"/>
          <w:szCs w:val="24"/>
          <w:lang w:val="de-DE"/>
        </w:rPr>
        <w:t>2490</w:t>
      </w:r>
      <w:bookmarkStart w:id="0" w:name="_GoBack"/>
      <w:bookmarkEnd w:id="0"/>
    </w:p>
    <w:p w14:paraId="62C54E00" w14:textId="0E48C7FC" w:rsidR="00006351" w:rsidRPr="00DB3907" w:rsidRDefault="00B32606" w:rsidP="00006351">
      <w:pPr>
        <w:pStyle w:val="Header"/>
        <w:tabs>
          <w:tab w:val="left" w:pos="6521"/>
        </w:tabs>
        <w:rPr>
          <w:rFonts w:cs="Arial"/>
          <w:sz w:val="24"/>
          <w:szCs w:val="24"/>
        </w:rPr>
      </w:pPr>
      <w:r>
        <w:rPr>
          <w:rFonts w:cs="Arial"/>
          <w:sz w:val="24"/>
          <w:szCs w:val="24"/>
        </w:rPr>
        <w:t>October</w:t>
      </w:r>
      <w:r w:rsidR="00006351">
        <w:rPr>
          <w:rFonts w:cs="Arial"/>
          <w:sz w:val="24"/>
          <w:szCs w:val="24"/>
        </w:rPr>
        <w:t xml:space="preserve"> </w:t>
      </w:r>
      <w:r>
        <w:rPr>
          <w:rFonts w:cs="Arial"/>
          <w:sz w:val="24"/>
          <w:szCs w:val="24"/>
        </w:rPr>
        <w:t>14</w:t>
      </w:r>
      <w:r w:rsidR="00006351">
        <w:rPr>
          <w:rFonts w:cs="Arial"/>
          <w:sz w:val="24"/>
          <w:szCs w:val="24"/>
          <w:vertAlign w:val="superscript"/>
        </w:rPr>
        <w:t>th</w:t>
      </w:r>
      <w:r w:rsidR="00006351">
        <w:rPr>
          <w:rFonts w:cs="Arial"/>
          <w:sz w:val="24"/>
          <w:szCs w:val="24"/>
        </w:rPr>
        <w:t xml:space="preserve"> ‒ </w:t>
      </w:r>
      <w:r>
        <w:rPr>
          <w:rFonts w:cs="Arial"/>
          <w:sz w:val="24"/>
          <w:szCs w:val="24"/>
        </w:rPr>
        <w:t>18</w:t>
      </w:r>
      <w:r w:rsidR="00006351">
        <w:rPr>
          <w:rFonts w:cs="Arial"/>
          <w:sz w:val="24"/>
          <w:szCs w:val="24"/>
          <w:vertAlign w:val="superscript"/>
        </w:rPr>
        <w:t>th</w:t>
      </w:r>
      <w:r w:rsidR="00006351">
        <w:rPr>
          <w:rFonts w:cs="Arial"/>
          <w:sz w:val="24"/>
          <w:szCs w:val="24"/>
        </w:rPr>
        <w:t>, 2019</w:t>
      </w:r>
    </w:p>
    <w:p w14:paraId="464E3469" w14:textId="291E997E" w:rsidR="00006351" w:rsidRPr="00DB3907" w:rsidRDefault="00D548D5" w:rsidP="00006351">
      <w:pPr>
        <w:pStyle w:val="Header"/>
        <w:rPr>
          <w:rFonts w:cs="Arial"/>
          <w:sz w:val="24"/>
          <w:szCs w:val="24"/>
        </w:rPr>
      </w:pPr>
      <w:r>
        <w:rPr>
          <w:rFonts w:cs="Arial"/>
          <w:sz w:val="24"/>
          <w:szCs w:val="24"/>
        </w:rPr>
        <w:t>Chongqing, CN</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EC782D1"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CA5120">
        <w:rPr>
          <w:rFonts w:ascii="Arial" w:hAnsi="Arial"/>
          <w:sz w:val="24"/>
          <w:lang w:val="en-US"/>
        </w:rPr>
        <w:t>8.1.2.1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1E9B118A"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F1E5D">
        <w:rPr>
          <w:rFonts w:ascii="Arial" w:hAnsi="Arial"/>
          <w:sz w:val="24"/>
          <w:lang w:val="en-US"/>
        </w:rPr>
        <w:t>Power class 3 for NR-U</w:t>
      </w:r>
    </w:p>
    <w:p w14:paraId="013F978F" w14:textId="2CC16A5A"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F1E5D">
        <w:rPr>
          <w:rFonts w:ascii="Arial" w:hAnsi="Arial"/>
          <w:sz w:val="24"/>
          <w:lang w:val="en-US"/>
        </w:rPr>
        <w:t>Discussion</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2D2CBA01" w14:textId="7D152F4A" w:rsidR="0047024D" w:rsidRDefault="0001249C" w:rsidP="00E12531">
      <w:pPr>
        <w:rPr>
          <w:lang w:val="en-US"/>
        </w:rPr>
      </w:pPr>
      <w:r>
        <w:rPr>
          <w:lang w:val="en-US"/>
        </w:rPr>
        <w:t>There was discussion during the RAN4 #92 meeting regarding the UE power class definition for NR-U</w:t>
      </w:r>
      <w:r w:rsidR="00465DCE">
        <w:rPr>
          <w:lang w:val="en-US"/>
        </w:rPr>
        <w:t xml:space="preserve"> and whether PC3 or other power classes should be defined in addition to PC5.  This contribution provides </w:t>
      </w:r>
      <w:r w:rsidR="00976088">
        <w:rPr>
          <w:lang w:val="en-US"/>
        </w:rPr>
        <w:t>further discussion on the utility of PC3 for NR-U as well as the challenges associated with including it within the current work scope.  Finally, several options are presented on how to introduce PC3 into the NR-U specifications.</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7FBCC6F6" w14:textId="77777777" w:rsidR="00176053" w:rsidRDefault="0001249C" w:rsidP="00981ED4">
      <w:pPr>
        <w:rPr>
          <w:lang w:val="en-US"/>
        </w:rPr>
      </w:pPr>
      <w:r>
        <w:rPr>
          <w:lang w:val="en-US"/>
        </w:rPr>
        <w:t xml:space="preserve">To date, the work done in RAN4 to define UE Tx requirements for NR-U has been focused on a power class 5 (20 dBm) maximum output power level.  However, there is also an interest from companies </w:t>
      </w:r>
      <w:r w:rsidR="00351EAD">
        <w:rPr>
          <w:lang w:val="en-US"/>
        </w:rPr>
        <w:t xml:space="preserve">including Qualcomm </w:t>
      </w:r>
      <w:r>
        <w:rPr>
          <w:lang w:val="en-US"/>
        </w:rPr>
        <w:t>in defining requirements for other power classes as well, including power class 3 (23 dBm)</w:t>
      </w:r>
      <w:r w:rsidR="00D32826">
        <w:rPr>
          <w:lang w:val="en-US"/>
        </w:rPr>
        <w:t xml:space="preserve">.  It is important, however, to understand when and where a higher power class may be beneficial and how it might also be detrimental.  </w:t>
      </w:r>
    </w:p>
    <w:p w14:paraId="44C72521" w14:textId="059B8CCE" w:rsidR="00176053" w:rsidRDefault="00176053" w:rsidP="00176053">
      <w:pPr>
        <w:pStyle w:val="Heading2"/>
        <w:rPr>
          <w:lang w:val="en-US"/>
        </w:rPr>
      </w:pPr>
      <w:r>
        <w:rPr>
          <w:lang w:val="en-US"/>
        </w:rPr>
        <w:t>Benefit and cost of higher power class</w:t>
      </w:r>
    </w:p>
    <w:p w14:paraId="070D7598" w14:textId="277B3705" w:rsidR="00AA0BB4" w:rsidRDefault="00176053" w:rsidP="00981ED4">
      <w:pPr>
        <w:rPr>
          <w:lang w:val="en-US"/>
        </w:rPr>
      </w:pPr>
      <w:r>
        <w:rPr>
          <w:lang w:val="en-US"/>
        </w:rPr>
        <w:t xml:space="preserve">Regulatory rules for operating in 5 GHz and 6 GHz bands often include a limitation on maximum output power or on </w:t>
      </w:r>
      <w:r w:rsidR="00274484">
        <w:rPr>
          <w:lang w:val="en-US"/>
        </w:rPr>
        <w:t>output power spectral density (</w:t>
      </w:r>
      <w:r>
        <w:rPr>
          <w:lang w:val="en-US"/>
        </w:rPr>
        <w:t>PSD</w:t>
      </w:r>
      <w:r w:rsidR="00274484">
        <w:rPr>
          <w:lang w:val="en-US"/>
        </w:rPr>
        <w:t>)</w:t>
      </w:r>
      <w:r>
        <w:rPr>
          <w:lang w:val="en-US"/>
        </w:rPr>
        <w:t xml:space="preserve">.  For example, ETSI rules in 5 GHz impose a limitation of 10 dBm/MHz on the transmit PSD.  Therefore, in order to be able to take advantage of higher maximum output power, i.e., PC3 instead of PC5, the transmission bandwidth must be greater than 10 </w:t>
      </w:r>
      <w:proofErr w:type="spellStart"/>
      <w:r>
        <w:rPr>
          <w:lang w:val="en-US"/>
        </w:rPr>
        <w:t>MHz.</w:t>
      </w:r>
      <w:proofErr w:type="spellEnd"/>
      <w:r>
        <w:rPr>
          <w:lang w:val="en-US"/>
        </w:rPr>
        <w:t xml:space="preserve">  For example, an interlace-0 waveform in a 20 MHz channel with 30 kHz SCS contains 10 or 11 RB’s.  Since the transmission of each RB within the interlace is limited by the PSD constraint, the maximum total power with which the waveform can be transmitted is 20 dBm or 20.4 dBm.  Since sparse waveforms such as interlace-0 are used as a guide for uplink coverage, the uplink coverage does not necessarily benefit from a higher power class where there is a PSD limit.  </w:t>
      </w:r>
      <w:r w:rsidR="00AA0BB4">
        <w:rPr>
          <w:lang w:val="en-US"/>
        </w:rPr>
        <w:t>Therefore, the benefit from a higher power class is realized when a greater number of RB’s is transmitted either by transmitting multiple interlaces or by transmitting in a wideband channel.  The biggest benefit is likely to be observed with transmitting multiple interlaces.  Transmission over wider bandwidth channels, while enabling higher power for a fixed PSD, may be hampered by MPR or A-MPR</w:t>
      </w:r>
      <w:r w:rsidR="009508D7">
        <w:rPr>
          <w:lang w:val="en-US"/>
        </w:rPr>
        <w:t xml:space="preserve"> instead as described next</w:t>
      </w:r>
      <w:r w:rsidR="00AA0BB4">
        <w:rPr>
          <w:lang w:val="en-US"/>
        </w:rPr>
        <w:t>.</w:t>
      </w:r>
    </w:p>
    <w:p w14:paraId="43334907" w14:textId="510990FA" w:rsidR="00AA0BB4" w:rsidRDefault="00B7405A" w:rsidP="00981ED4">
      <w:pPr>
        <w:rPr>
          <w:lang w:val="en-US"/>
        </w:rPr>
      </w:pPr>
      <w:r>
        <w:rPr>
          <w:lang w:val="en-US"/>
        </w:rPr>
        <w:t xml:space="preserve">Another limitation to maximum output power is MPR and A-MPR.  If MPR and/or A-MPR are large, then there is little practical benefit offered by a higher power class.  For example, for </w:t>
      </w:r>
      <w:proofErr w:type="spellStart"/>
      <w:r>
        <w:rPr>
          <w:lang w:val="en-US"/>
        </w:rPr>
        <w:t>eLAA</w:t>
      </w:r>
      <w:proofErr w:type="spellEnd"/>
      <w:r>
        <w:rPr>
          <w:lang w:val="en-US"/>
        </w:rPr>
        <w:t xml:space="preserve"> the MPR is defined </w:t>
      </w:r>
      <w:r w:rsidR="00AA0BB4">
        <w:rPr>
          <w:lang w:val="en-US"/>
        </w:rPr>
        <w:t xml:space="preserve">in TS 36.101 </w:t>
      </w:r>
      <w:r>
        <w:rPr>
          <w:lang w:val="en-US"/>
        </w:rPr>
        <w:t xml:space="preserve">as 2.5 dB, 3 dB, and 4 dB for QPSK, 16QAM, and 64QAM modulation with any allocation other than fully allocated.  On top of this, when NS_28, NS_29, NS_30, or NS_31 are signaled, the A-MPR can be from 1 dB to 16 </w:t>
      </w:r>
      <w:proofErr w:type="spellStart"/>
      <w:r>
        <w:rPr>
          <w:lang w:val="en-US"/>
        </w:rPr>
        <w:t>dB.</w:t>
      </w:r>
      <w:proofErr w:type="spellEnd"/>
      <w:r>
        <w:rPr>
          <w:lang w:val="en-US"/>
        </w:rPr>
        <w:t xml:space="preserve">  With such large power </w:t>
      </w:r>
      <w:proofErr w:type="spellStart"/>
      <w:r>
        <w:rPr>
          <w:lang w:val="en-US"/>
        </w:rPr>
        <w:t>backoff</w:t>
      </w:r>
      <w:proofErr w:type="spellEnd"/>
      <w:r>
        <w:rPr>
          <w:lang w:val="en-US"/>
        </w:rPr>
        <w:t xml:space="preserve"> allowances needed to meet emission requirements, </w:t>
      </w:r>
      <w:r w:rsidR="00AA0BB4">
        <w:rPr>
          <w:lang w:val="en-US"/>
        </w:rPr>
        <w:t>there may only be little to no benefit in uplink power from a PC3 UE compared to a PC5 UE.  On the other hand, the benefit from a higher power class UE may come if the PA is designed for greater linearity.  For example, a PC3 PA backed off by 3 dB may have a more linear response than a PC5 PA at full power</w:t>
      </w:r>
      <w:r w:rsidR="009508D7">
        <w:rPr>
          <w:lang w:val="en-US"/>
        </w:rPr>
        <w:t xml:space="preserve"> in compression</w:t>
      </w:r>
      <w:r w:rsidR="00AA0BB4">
        <w:rPr>
          <w:lang w:val="en-US"/>
        </w:rPr>
        <w:t>.  Therefore, for small or moderate MPR and A-MPR values, the PC3 PA may be able to deliver higher output power than the PC5 PA while meeting the same emission limits.  The price to be paid for this, however, is decreased PA efficiency</w:t>
      </w:r>
      <w:r w:rsidR="001664CF">
        <w:rPr>
          <w:lang w:val="en-US"/>
        </w:rPr>
        <w:t xml:space="preserve">, </w:t>
      </w:r>
      <w:r w:rsidR="00AA0BB4">
        <w:rPr>
          <w:lang w:val="en-US"/>
        </w:rPr>
        <w:t>higher current consumption</w:t>
      </w:r>
      <w:r w:rsidR="001664CF">
        <w:rPr>
          <w:lang w:val="en-US"/>
        </w:rPr>
        <w:t>, and more heat generation</w:t>
      </w:r>
      <w:r w:rsidR="00AA0BB4">
        <w:rPr>
          <w:lang w:val="en-US"/>
        </w:rPr>
        <w:t xml:space="preserve">.  At large power </w:t>
      </w:r>
      <w:proofErr w:type="spellStart"/>
      <w:r w:rsidR="00AA0BB4">
        <w:rPr>
          <w:lang w:val="en-US"/>
        </w:rPr>
        <w:t>backoff</w:t>
      </w:r>
      <w:proofErr w:type="spellEnd"/>
      <w:r w:rsidR="00AA0BB4">
        <w:rPr>
          <w:lang w:val="en-US"/>
        </w:rPr>
        <w:t xml:space="preserve"> values, </w:t>
      </w:r>
      <w:r w:rsidR="005E5781">
        <w:rPr>
          <w:lang w:val="en-US"/>
        </w:rPr>
        <w:t>there is not likely to be any linearity advantage offered by a larger PA.</w:t>
      </w:r>
    </w:p>
    <w:p w14:paraId="42C21A73" w14:textId="36C156F7" w:rsidR="00AA0BB4" w:rsidRDefault="00176053" w:rsidP="00AA0BB4">
      <w:pPr>
        <w:pStyle w:val="Heading2"/>
        <w:rPr>
          <w:lang w:val="en-US"/>
        </w:rPr>
      </w:pPr>
      <w:r>
        <w:rPr>
          <w:lang w:val="en-US"/>
        </w:rPr>
        <w:t xml:space="preserve">  </w:t>
      </w:r>
      <w:r w:rsidR="00AA0BB4">
        <w:rPr>
          <w:lang w:val="en-US"/>
        </w:rPr>
        <w:t>Challenges to defining PC3</w:t>
      </w:r>
    </w:p>
    <w:p w14:paraId="078FF7DD" w14:textId="011435E0" w:rsidR="00563530" w:rsidRDefault="00351EAD" w:rsidP="00981ED4">
      <w:pPr>
        <w:rPr>
          <w:lang w:val="en-US"/>
        </w:rPr>
      </w:pPr>
      <w:r>
        <w:rPr>
          <w:lang w:val="en-US"/>
        </w:rPr>
        <w:t>There are at least two obstacles to overcome in order to be able to defin</w:t>
      </w:r>
      <w:r w:rsidR="005B5C4B">
        <w:rPr>
          <w:lang w:val="en-US"/>
        </w:rPr>
        <w:t>e</w:t>
      </w:r>
      <w:r>
        <w:rPr>
          <w:lang w:val="en-US"/>
        </w:rPr>
        <w:t xml:space="preserve"> meaningful PC3 requirements – the time remaining to complete the work item is only t</w:t>
      </w:r>
      <w:r w:rsidR="00274273">
        <w:rPr>
          <w:lang w:val="en-US"/>
        </w:rPr>
        <w:t>hree</w:t>
      </w:r>
      <w:r>
        <w:rPr>
          <w:lang w:val="en-US"/>
        </w:rPr>
        <w:t xml:space="preserve"> working group meetings </w:t>
      </w:r>
      <w:r w:rsidR="00274273">
        <w:rPr>
          <w:lang w:val="en-US"/>
        </w:rPr>
        <w:t>a</w:t>
      </w:r>
      <w:r w:rsidR="001664CF">
        <w:rPr>
          <w:lang w:val="en-US"/>
        </w:rPr>
        <w:t>ssuming that an additional ad-hoc meeting is not added to the calendar</w:t>
      </w:r>
      <w:r w:rsidR="00274273">
        <w:rPr>
          <w:lang w:val="en-US"/>
        </w:rPr>
        <w:t>,</w:t>
      </w:r>
      <w:r>
        <w:rPr>
          <w:lang w:val="en-US"/>
        </w:rPr>
        <w:t xml:space="preserve"> and the lack of suitable PC3 PA’s capable of operating at transmit frequencies up to 7 GHz.</w:t>
      </w:r>
      <w:r w:rsidR="001664CF">
        <w:rPr>
          <w:lang w:val="en-US"/>
        </w:rPr>
        <w:t xml:space="preserve">  </w:t>
      </w:r>
      <w:r w:rsidR="00567568">
        <w:rPr>
          <w:lang w:val="en-US"/>
        </w:rPr>
        <w:lastRenderedPageBreak/>
        <w:t xml:space="preserve">Even if there are three meetings, the TU allocation </w:t>
      </w:r>
      <w:r w:rsidR="0005343D">
        <w:rPr>
          <w:lang w:val="en-US"/>
        </w:rPr>
        <w:t xml:space="preserve">from RAN #84 </w:t>
      </w:r>
      <w:r w:rsidR="00465DCE">
        <w:rPr>
          <w:lang w:val="en-US"/>
        </w:rPr>
        <w:t>only provides 2 TU’s for each of two meetings (#92bis and #93) for RAN4 RF discussion.  There are no TU’s currently allocated for RAN4 RF in the third meeting (#94)</w:t>
      </w:r>
      <w:r w:rsidR="0005343D">
        <w:rPr>
          <w:lang w:val="en-US"/>
        </w:rPr>
        <w:t xml:space="preserve"> which appears to be an oversight</w:t>
      </w:r>
      <w:r w:rsidR="00465DCE">
        <w:rPr>
          <w:lang w:val="en-US"/>
        </w:rPr>
        <w:t xml:space="preserve">.  This means a total of </w:t>
      </w:r>
      <w:r w:rsidR="0005343D">
        <w:rPr>
          <w:lang w:val="en-US"/>
        </w:rPr>
        <w:t xml:space="preserve">six </w:t>
      </w:r>
      <w:r w:rsidR="00465DCE">
        <w:rPr>
          <w:lang w:val="en-US"/>
        </w:rPr>
        <w:t>hours remaining in allocated TU’s to complete the core requirements in RF.</w:t>
      </w:r>
      <w:r w:rsidR="0005343D">
        <w:rPr>
          <w:lang w:val="en-US"/>
        </w:rPr>
        <w:t xml:space="preserve">  </w:t>
      </w:r>
    </w:p>
    <w:p w14:paraId="6AB7B574" w14:textId="09A7A405" w:rsidR="001664CF" w:rsidRDefault="001664CF" w:rsidP="00981ED4">
      <w:pPr>
        <w:rPr>
          <w:lang w:val="en-US"/>
        </w:rPr>
      </w:pPr>
      <w:r>
        <w:rPr>
          <w:lang w:val="en-US"/>
        </w:rPr>
        <w:t xml:space="preserve">The work required for a new power class is significant.  </w:t>
      </w:r>
      <w:r w:rsidR="00274273">
        <w:rPr>
          <w:lang w:val="en-US"/>
        </w:rPr>
        <w:t xml:space="preserve">The new power class requires agreement on PA calibration, MPR, A-MPR, ACLR, etc.  For PC5, these discussions have been ongoing already for </w:t>
      </w:r>
      <w:r w:rsidR="00045021">
        <w:rPr>
          <w:lang w:val="en-US"/>
        </w:rPr>
        <w:t>more than six months</w:t>
      </w:r>
      <w:r w:rsidR="00274273">
        <w:rPr>
          <w:lang w:val="en-US"/>
        </w:rPr>
        <w:t xml:space="preserve"> without agreement on </w:t>
      </w:r>
      <w:proofErr w:type="gramStart"/>
      <w:r w:rsidR="00274273">
        <w:rPr>
          <w:lang w:val="en-US"/>
        </w:rPr>
        <w:t>a single one</w:t>
      </w:r>
      <w:proofErr w:type="gramEnd"/>
      <w:r w:rsidR="00274273">
        <w:rPr>
          <w:lang w:val="en-US"/>
        </w:rPr>
        <w:t xml:space="preserve"> of these points yet.  MPR and A-MPR will require very large simulation and/or measurement campaigns from multiple companies to achieve a </w:t>
      </w:r>
      <w:proofErr w:type="gramStart"/>
      <w:r w:rsidR="00274273">
        <w:rPr>
          <w:lang w:val="en-US"/>
        </w:rPr>
        <w:t>high quality</w:t>
      </w:r>
      <w:proofErr w:type="gramEnd"/>
      <w:r w:rsidR="00274273">
        <w:rPr>
          <w:lang w:val="en-US"/>
        </w:rPr>
        <w:t xml:space="preserve"> result.  The number of </w:t>
      </w:r>
      <w:proofErr w:type="gramStart"/>
      <w:r w:rsidR="00274273">
        <w:rPr>
          <w:lang w:val="en-US"/>
        </w:rPr>
        <w:t>waveform</w:t>
      </w:r>
      <w:proofErr w:type="gramEnd"/>
      <w:r w:rsidR="00274273">
        <w:rPr>
          <w:lang w:val="en-US"/>
        </w:rPr>
        <w:t xml:space="preserve">, configuration, and channel possibilities is large for NR-U where each requires simulation.  For </w:t>
      </w:r>
      <w:proofErr w:type="spellStart"/>
      <w:r w:rsidR="00274273">
        <w:rPr>
          <w:lang w:val="en-US"/>
        </w:rPr>
        <w:t>eLAA</w:t>
      </w:r>
      <w:proofErr w:type="spellEnd"/>
      <w:r w:rsidR="00274273">
        <w:rPr>
          <w:lang w:val="en-US"/>
        </w:rPr>
        <w:t>, four A-MPR tables were defined for Band 46</w:t>
      </w:r>
      <w:r w:rsidR="00B65A6F">
        <w:rPr>
          <w:lang w:val="en-US"/>
        </w:rPr>
        <w:t>; it is expected that the same number of tables will be required for NR-U as well.  This amount of work is considerable even for a single power class, e.g., PC5, but seems overly ambitious for two power classes given the time allotted.</w:t>
      </w:r>
    </w:p>
    <w:p w14:paraId="787BF068" w14:textId="2BA46B86" w:rsidR="00710555" w:rsidRDefault="00B65A6F" w:rsidP="00981ED4">
      <w:pPr>
        <w:rPr>
          <w:lang w:val="en-US"/>
        </w:rPr>
      </w:pPr>
      <w:r>
        <w:rPr>
          <w:lang w:val="en-US"/>
        </w:rPr>
        <w:t xml:space="preserve">The second challenge is the availability of PC3 capable PA’s and their mathematical models suitable for NR-U at frequencies up to 7 GHz.  </w:t>
      </w:r>
      <w:r w:rsidR="00AA7EF2">
        <w:rPr>
          <w:lang w:val="en-US"/>
        </w:rPr>
        <w:t xml:space="preserve">There are no </w:t>
      </w:r>
      <w:r w:rsidR="009508D7">
        <w:rPr>
          <w:lang w:val="en-US"/>
        </w:rPr>
        <w:t xml:space="preserve">commercial, well characterized </w:t>
      </w:r>
      <w:r w:rsidR="00AA7EF2">
        <w:rPr>
          <w:lang w:val="en-US"/>
        </w:rPr>
        <w:t xml:space="preserve">PA’s in existence that the author is aware of to support cellular type requirements at 7 GHz.  The closest approximations are PA’s designed for </w:t>
      </w:r>
      <w:proofErr w:type="spellStart"/>
      <w:r w:rsidR="00AA7EF2">
        <w:rPr>
          <w:lang w:val="en-US"/>
        </w:rPr>
        <w:t>eLAA</w:t>
      </w:r>
      <w:proofErr w:type="spellEnd"/>
      <w:r w:rsidR="00AA7EF2">
        <w:rPr>
          <w:lang w:val="en-US"/>
        </w:rPr>
        <w:t xml:space="preserve"> in Band 46 or a PA designed for Band n79.  Unfortunately, there are no Band 46 PA’s commercially available and the PA for Band n79 only reaches 5 GHz.  The PA design to be able to provide </w:t>
      </w:r>
      <w:proofErr w:type="gramStart"/>
      <w:r w:rsidR="00AA7EF2">
        <w:rPr>
          <w:lang w:val="en-US"/>
        </w:rPr>
        <w:t>sufficient</w:t>
      </w:r>
      <w:proofErr w:type="gramEnd"/>
      <w:r w:rsidR="00AA7EF2">
        <w:rPr>
          <w:lang w:val="en-US"/>
        </w:rPr>
        <w:t xml:space="preserve"> gain over wide bandwidth at 7 GHz is significantly different from one designed for lower frequencies.  Therefore, using a PA designed for a lower frequency may not accurately reflect the performance that a PA could achieve at 7 GHz.  However, if attention can be restricted to only Band n46 </w:t>
      </w:r>
      <w:proofErr w:type="gramStart"/>
      <w:r w:rsidR="00AA7EF2">
        <w:rPr>
          <w:lang w:val="en-US"/>
        </w:rPr>
        <w:t>at the moment</w:t>
      </w:r>
      <w:proofErr w:type="gramEnd"/>
      <w:r w:rsidR="00AA7EF2">
        <w:rPr>
          <w:lang w:val="en-US"/>
        </w:rPr>
        <w:t xml:space="preserve">, then </w:t>
      </w:r>
      <w:r w:rsidR="00FB3E26">
        <w:rPr>
          <w:lang w:val="en-US"/>
        </w:rPr>
        <w:t xml:space="preserve">a Band n79 PA could be used as a proxy.  </w:t>
      </w:r>
    </w:p>
    <w:p w14:paraId="25456B05" w14:textId="07DB7D10" w:rsidR="00B65A6F" w:rsidRDefault="00FB3E26" w:rsidP="00981ED4">
      <w:pPr>
        <w:rPr>
          <w:lang w:val="en-US"/>
        </w:rPr>
      </w:pPr>
      <w:r>
        <w:rPr>
          <w:lang w:val="en-US"/>
        </w:rPr>
        <w:t xml:space="preserve">An alternative idea to support PC3 is to combine two PC5 PA’s with separate antennas instead of a single PC3 PA.  </w:t>
      </w:r>
      <w:r w:rsidR="00710555">
        <w:rPr>
          <w:lang w:val="en-US"/>
        </w:rPr>
        <w:t xml:space="preserve">However, there is additional work required to enable a dual PA solution.  In other similar scenarios, for example using two PC3 PA’s to enable PC2, the requirements have been derived assuming a single higher power PA.  Such requirements tend to be more challenging since the enhanced linearity of the higher power PA is incorporated into the derived requirements.  Then, </w:t>
      </w:r>
      <w:r w:rsidR="00E54E6A">
        <w:rPr>
          <w:lang w:val="en-US"/>
        </w:rPr>
        <w:t xml:space="preserve">implementations choosing to use dual PA’s are required to meet the requirements derived from a single PA.  In this case, the reference to derive requirements could be the dual PC5 PA’s rather than the PC3 PA.  </w:t>
      </w:r>
      <w:r w:rsidR="009508D7">
        <w:rPr>
          <w:lang w:val="en-US"/>
        </w:rPr>
        <w:t>If agreed, t</w:t>
      </w:r>
      <w:r w:rsidR="00E54E6A">
        <w:rPr>
          <w:lang w:val="en-US"/>
        </w:rPr>
        <w:t>he implications of this would need to be understood.</w:t>
      </w:r>
    </w:p>
    <w:p w14:paraId="5E78A139" w14:textId="4E58E680" w:rsidR="00E54E6A" w:rsidRDefault="00E54E6A" w:rsidP="00E54E6A">
      <w:pPr>
        <w:pStyle w:val="Heading2"/>
        <w:rPr>
          <w:lang w:val="en-US"/>
        </w:rPr>
      </w:pPr>
      <w:r>
        <w:rPr>
          <w:lang w:val="en-US"/>
        </w:rPr>
        <w:t xml:space="preserve">  Options</w:t>
      </w:r>
    </w:p>
    <w:p w14:paraId="438F930B" w14:textId="396F6433" w:rsidR="00E54E6A" w:rsidRDefault="00E54E6A" w:rsidP="00E54E6A">
      <w:pPr>
        <w:rPr>
          <w:lang w:val="en-US"/>
        </w:rPr>
      </w:pPr>
      <w:r>
        <w:rPr>
          <w:lang w:val="en-US"/>
        </w:rPr>
        <w:t xml:space="preserve">In the above sections, this contribution has discussed the workload and timeline challenges associated with defining both PC3 and PC5 power classes, as well as the challenges in finding appropriate PA models to perform the technical </w:t>
      </w:r>
      <w:r w:rsidR="00464E40">
        <w:rPr>
          <w:lang w:val="en-US"/>
        </w:rPr>
        <w:t>analyses</w:t>
      </w:r>
      <w:r>
        <w:rPr>
          <w:lang w:val="en-US"/>
        </w:rPr>
        <w:t>.  Nonetheless, there remains a desire from multiple companies to include both PC3 and PC5 requirements in the specification.  Several options are listed below</w:t>
      </w:r>
    </w:p>
    <w:p w14:paraId="7A4911AA" w14:textId="06DACE1D" w:rsidR="00E54E6A" w:rsidRDefault="00E54E6A" w:rsidP="00E54E6A">
      <w:pPr>
        <w:pStyle w:val="ListParagraph"/>
        <w:numPr>
          <w:ilvl w:val="0"/>
          <w:numId w:val="16"/>
        </w:numPr>
        <w:rPr>
          <w:lang w:val="en-US"/>
        </w:rPr>
      </w:pPr>
      <w:r w:rsidRPr="00874898">
        <w:rPr>
          <w:u w:val="single"/>
          <w:lang w:val="en-US"/>
        </w:rPr>
        <w:t>Best effort</w:t>
      </w:r>
      <w:r w:rsidR="00874898">
        <w:rPr>
          <w:u w:val="single"/>
          <w:lang w:val="en-US"/>
        </w:rPr>
        <w:t xml:space="preserve"> to define PC5 and PC3</w:t>
      </w:r>
      <w:r>
        <w:rPr>
          <w:lang w:val="en-US"/>
        </w:rPr>
        <w:t>.  One problem is that companies are now required to at least monitor if not contribute to two efforts at the same time</w:t>
      </w:r>
      <w:r w:rsidR="00D96737">
        <w:rPr>
          <w:lang w:val="en-US"/>
        </w:rPr>
        <w:t>.  The quality is likely to suffer</w:t>
      </w:r>
      <w:r w:rsidR="000A69A9">
        <w:rPr>
          <w:lang w:val="en-US"/>
        </w:rPr>
        <w:t xml:space="preserve"> since resources are limited</w:t>
      </w:r>
      <w:r w:rsidR="00D96737">
        <w:rPr>
          <w:lang w:val="en-US"/>
        </w:rPr>
        <w:t>.  The ability to leverage decisions or agreements from one power class to another is diminished since both are occurring in parallel.</w:t>
      </w:r>
    </w:p>
    <w:p w14:paraId="03486FCE" w14:textId="54D4EA2F" w:rsidR="00D96737" w:rsidRDefault="00D96737" w:rsidP="00E54E6A">
      <w:pPr>
        <w:pStyle w:val="ListParagraph"/>
        <w:numPr>
          <w:ilvl w:val="0"/>
          <w:numId w:val="16"/>
        </w:numPr>
        <w:rPr>
          <w:lang w:val="en-US"/>
        </w:rPr>
      </w:pPr>
      <w:r w:rsidRPr="00874898">
        <w:rPr>
          <w:u w:val="single"/>
          <w:lang w:val="en-US"/>
        </w:rPr>
        <w:t>Complete PC5 first before starting PC3</w:t>
      </w:r>
      <w:r>
        <w:rPr>
          <w:lang w:val="en-US"/>
        </w:rPr>
        <w:t>.  One advantage is that companies can focus on one power class at a time leading to greater attention from companies and a correspondingly higher quality result.  Furthermore, agreements for PC5 can be leveraged to PC3 thereby possibly reducing redundant work for PC3.  The challenge is that the timeline to complete the work item may not support serializing the work.</w:t>
      </w:r>
    </w:p>
    <w:p w14:paraId="0728ED5C" w14:textId="52ED1D0F" w:rsidR="00D96737" w:rsidRDefault="00874898" w:rsidP="00E54E6A">
      <w:pPr>
        <w:pStyle w:val="ListParagraph"/>
        <w:numPr>
          <w:ilvl w:val="0"/>
          <w:numId w:val="16"/>
        </w:numPr>
        <w:rPr>
          <w:lang w:val="en-US"/>
        </w:rPr>
      </w:pPr>
      <w:r>
        <w:rPr>
          <w:u w:val="single"/>
          <w:lang w:val="en-US"/>
        </w:rPr>
        <w:t>Request</w:t>
      </w:r>
      <w:r w:rsidR="00D96737" w:rsidRPr="00874898">
        <w:rPr>
          <w:u w:val="single"/>
          <w:lang w:val="en-US"/>
        </w:rPr>
        <w:t xml:space="preserve"> an addition</w:t>
      </w:r>
      <w:r>
        <w:rPr>
          <w:u w:val="single"/>
          <w:lang w:val="en-US"/>
        </w:rPr>
        <w:t>al ad-hoc</w:t>
      </w:r>
      <w:r w:rsidR="00D96737" w:rsidRPr="00874898">
        <w:rPr>
          <w:u w:val="single"/>
          <w:lang w:val="en-US"/>
        </w:rPr>
        <w:t xml:space="preserve"> meeting and/or extend the completion deadline</w:t>
      </w:r>
      <w:r w:rsidR="00D96737">
        <w:rPr>
          <w:lang w:val="en-US"/>
        </w:rPr>
        <w:t xml:space="preserve">.  As it becomes more evident that the required work cannot be completed in the time allotted, then one possibility is to add a meeting to the calendar.  A focused meeting on a single topic or few topics has proven to be effective in the past.  Extending the completion deadline also allows for more time to complete the </w:t>
      </w:r>
      <w:proofErr w:type="gramStart"/>
      <w:r w:rsidR="00D96737">
        <w:rPr>
          <w:lang w:val="en-US"/>
        </w:rPr>
        <w:t>work, but</w:t>
      </w:r>
      <w:proofErr w:type="gramEnd"/>
      <w:r w:rsidR="00D96737">
        <w:rPr>
          <w:lang w:val="en-US"/>
        </w:rPr>
        <w:t xml:space="preserve"> is ultimately a decision that can only be made at RAN plenary.</w:t>
      </w:r>
    </w:p>
    <w:p w14:paraId="141C588C" w14:textId="13A56CCA" w:rsidR="00D96737" w:rsidRDefault="00D96737" w:rsidP="00E54E6A">
      <w:pPr>
        <w:pStyle w:val="ListParagraph"/>
        <w:numPr>
          <w:ilvl w:val="0"/>
          <w:numId w:val="16"/>
        </w:numPr>
        <w:rPr>
          <w:lang w:val="en-US"/>
        </w:rPr>
      </w:pPr>
      <w:r w:rsidRPr="00874898">
        <w:rPr>
          <w:u w:val="single"/>
          <w:lang w:val="en-US"/>
        </w:rPr>
        <w:t>Complete only PC5 in this work item</w:t>
      </w:r>
      <w:r w:rsidR="00874898" w:rsidRPr="00874898">
        <w:rPr>
          <w:u w:val="single"/>
          <w:lang w:val="en-US"/>
        </w:rPr>
        <w:t xml:space="preserve"> and defer</w:t>
      </w:r>
      <w:r w:rsidRPr="00874898">
        <w:rPr>
          <w:u w:val="single"/>
          <w:lang w:val="en-US"/>
        </w:rPr>
        <w:t xml:space="preserve"> PC3 </w:t>
      </w:r>
      <w:r w:rsidR="00874898" w:rsidRPr="00874898">
        <w:rPr>
          <w:u w:val="single"/>
          <w:lang w:val="en-US"/>
        </w:rPr>
        <w:t xml:space="preserve">to </w:t>
      </w:r>
      <w:r w:rsidRPr="00874898">
        <w:rPr>
          <w:u w:val="single"/>
          <w:lang w:val="en-US"/>
        </w:rPr>
        <w:t>a follow-</w:t>
      </w:r>
      <w:r w:rsidR="00874898" w:rsidRPr="00874898">
        <w:rPr>
          <w:u w:val="single"/>
          <w:lang w:val="en-US"/>
        </w:rPr>
        <w:t>on</w:t>
      </w:r>
      <w:r w:rsidRPr="00874898">
        <w:rPr>
          <w:u w:val="single"/>
          <w:lang w:val="en-US"/>
        </w:rPr>
        <w:t xml:space="preserve"> work item</w:t>
      </w:r>
      <w:r>
        <w:rPr>
          <w:lang w:val="en-US"/>
        </w:rPr>
        <w:t xml:space="preserve">.  It is expected that there will be follow-on work required for NR-U in Rel-17.  PC3 can be included in the follow-on work item. Furthermore, it is already understood that the scope of the existing Rel-16 work item only defines band numbering for two NR-U bands at 6 GHz, but not the RF requirements.  Therefore, </w:t>
      </w:r>
      <w:proofErr w:type="gramStart"/>
      <w:r>
        <w:rPr>
          <w:lang w:val="en-US"/>
        </w:rPr>
        <w:t>it is clear that additional</w:t>
      </w:r>
      <w:proofErr w:type="gramEnd"/>
      <w:r>
        <w:rPr>
          <w:lang w:val="en-US"/>
        </w:rPr>
        <w:t xml:space="preserve"> work for NR-U will be required in the future.  One open question is whether PC3</w:t>
      </w:r>
      <w:r w:rsidR="00874898">
        <w:rPr>
          <w:lang w:val="en-US"/>
        </w:rPr>
        <w:t>, if defined in Rel-17, could be made release independent to Rel-16.</w:t>
      </w:r>
    </w:p>
    <w:p w14:paraId="33211D76" w14:textId="3E54C488" w:rsidR="001748B7" w:rsidRDefault="001748B7" w:rsidP="001748B7">
      <w:pPr>
        <w:pStyle w:val="Heading1"/>
        <w:tabs>
          <w:tab w:val="clear" w:pos="432"/>
          <w:tab w:val="num" w:pos="522"/>
        </w:tabs>
        <w:ind w:left="522" w:hanging="522"/>
        <w:rPr>
          <w:lang w:val="en-US"/>
        </w:rPr>
      </w:pPr>
      <w:r>
        <w:rPr>
          <w:lang w:val="en-US"/>
        </w:rPr>
        <w:lastRenderedPageBreak/>
        <w:t>Conclusion</w:t>
      </w:r>
    </w:p>
    <w:p w14:paraId="550458FE" w14:textId="1A72046A" w:rsidR="003B0D36" w:rsidRPr="003B0D36" w:rsidRDefault="00B42509" w:rsidP="003B0D36">
      <w:pPr>
        <w:rPr>
          <w:lang w:val="en-US"/>
        </w:rPr>
      </w:pPr>
      <w:r>
        <w:rPr>
          <w:lang w:val="en-US"/>
        </w:rPr>
        <w:t xml:space="preserve">In this contribution, the introduction of PC3 in addition to PC5 for NR-U has been discussed.  While there is certainly </w:t>
      </w:r>
      <w:proofErr w:type="gramStart"/>
      <w:r>
        <w:rPr>
          <w:lang w:val="en-US"/>
        </w:rPr>
        <w:t>benefit</w:t>
      </w:r>
      <w:proofErr w:type="gramEnd"/>
      <w:r>
        <w:rPr>
          <w:lang w:val="en-US"/>
        </w:rPr>
        <w:t xml:space="preserve"> to introducing a 23 dBm power class for NR-U in some scenarios, it is suggested in this contribution that the benefit may not be realized where there are other limits imposed on maximum output power.  For example, regulatory limits</w:t>
      </w:r>
      <w:r w:rsidR="00D80128">
        <w:rPr>
          <w:lang w:val="en-US"/>
        </w:rPr>
        <w:t xml:space="preserve"> on transmitted power spectral density effectively negate the benefit of higher power for relatively sparse waveforms that are generally used to gauge uplink coverage.  Also, MPR and A-MPR power </w:t>
      </w:r>
      <w:proofErr w:type="spellStart"/>
      <w:r w:rsidR="00D80128">
        <w:rPr>
          <w:lang w:val="en-US"/>
        </w:rPr>
        <w:t>backoff</w:t>
      </w:r>
      <w:proofErr w:type="spellEnd"/>
      <w:r w:rsidR="00D80128">
        <w:rPr>
          <w:lang w:val="en-US"/>
        </w:rPr>
        <w:t xml:space="preserve"> necessary to meet emission requirements also has a dampening effect on a higher power class since the higher power may not be available anyways.  To introduce PC3 in addition to PC5 is challenging due to workload and schedule, as well as due to a lack of PA’s available to support operation up to 7 GHz.  Options and suggestions are presented for consideration.</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7F28CFE" w14:textId="6D22E90A" w:rsidR="00563530" w:rsidRDefault="00563530" w:rsidP="00563530">
      <w:pPr>
        <w:tabs>
          <w:tab w:val="left" w:pos="1080"/>
        </w:tabs>
        <w:ind w:left="360"/>
        <w:rPr>
          <w:lang w:val="en-US" w:eastAsia="x-none"/>
        </w:rPr>
      </w:pPr>
    </w:p>
    <w:sectPr w:rsidR="00563530"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27FCB" w14:textId="77777777" w:rsidR="004A43FC" w:rsidRDefault="004A43FC">
      <w:r>
        <w:separator/>
      </w:r>
    </w:p>
  </w:endnote>
  <w:endnote w:type="continuationSeparator" w:id="0">
    <w:p w14:paraId="482F59A7" w14:textId="77777777" w:rsidR="004A43FC" w:rsidRDefault="004A4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A6706C" w:rsidRDefault="00A6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A6706C" w:rsidRDefault="00A670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9A292" w14:textId="77777777" w:rsidR="004A43FC" w:rsidRDefault="004A43FC">
      <w:r>
        <w:separator/>
      </w:r>
    </w:p>
  </w:footnote>
  <w:footnote w:type="continuationSeparator" w:id="0">
    <w:p w14:paraId="38956358" w14:textId="77777777" w:rsidR="004A43FC" w:rsidRDefault="004A43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1E0DD8"/>
    <w:multiLevelType w:val="hybridMultilevel"/>
    <w:tmpl w:val="2A5EC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1"/>
  </w:num>
  <w:num w:numId="3">
    <w:abstractNumId w:val="13"/>
  </w:num>
  <w:num w:numId="4">
    <w:abstractNumId w:val="14"/>
  </w:num>
  <w:num w:numId="5">
    <w:abstractNumId w:val="9"/>
  </w:num>
  <w:num w:numId="6">
    <w:abstractNumId w:val="3"/>
  </w:num>
  <w:num w:numId="7">
    <w:abstractNumId w:val="0"/>
  </w:num>
  <w:num w:numId="8">
    <w:abstractNumId w:val="12"/>
  </w:num>
  <w:num w:numId="9">
    <w:abstractNumId w:val="4"/>
  </w:num>
  <w:num w:numId="10">
    <w:abstractNumId w:val="8"/>
  </w:num>
  <w:num w:numId="11">
    <w:abstractNumId w:val="15"/>
  </w:num>
  <w:num w:numId="12">
    <w:abstractNumId w:val="2"/>
  </w:num>
  <w:num w:numId="13">
    <w:abstractNumId w:val="7"/>
  </w:num>
  <w:num w:numId="14">
    <w:abstractNumId w:val="1"/>
  </w:num>
  <w:num w:numId="15">
    <w:abstractNumId w:val="6"/>
  </w:num>
  <w:num w:numId="1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021"/>
    <w:rsid w:val="0004511D"/>
    <w:rsid w:val="00045318"/>
    <w:rsid w:val="00045774"/>
    <w:rsid w:val="0004795F"/>
    <w:rsid w:val="00047A40"/>
    <w:rsid w:val="00051030"/>
    <w:rsid w:val="00051601"/>
    <w:rsid w:val="0005186B"/>
    <w:rsid w:val="0005277B"/>
    <w:rsid w:val="0005343D"/>
    <w:rsid w:val="00053989"/>
    <w:rsid w:val="00053E42"/>
    <w:rsid w:val="000542DF"/>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69A9"/>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64CF"/>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053"/>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5D"/>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0BD0"/>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273"/>
    <w:rsid w:val="00274484"/>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BB7"/>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7D5"/>
    <w:rsid w:val="002F3A50"/>
    <w:rsid w:val="002F4302"/>
    <w:rsid w:val="002F48A3"/>
    <w:rsid w:val="002F48FD"/>
    <w:rsid w:val="002F4A63"/>
    <w:rsid w:val="002F4C00"/>
    <w:rsid w:val="002F4EDB"/>
    <w:rsid w:val="002F5DEB"/>
    <w:rsid w:val="002F7510"/>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628"/>
    <w:rsid w:val="0034670C"/>
    <w:rsid w:val="00346BAD"/>
    <w:rsid w:val="00347822"/>
    <w:rsid w:val="003478F5"/>
    <w:rsid w:val="0035071D"/>
    <w:rsid w:val="003508AD"/>
    <w:rsid w:val="003512A1"/>
    <w:rsid w:val="00351328"/>
    <w:rsid w:val="003517BE"/>
    <w:rsid w:val="00351EAD"/>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E40"/>
    <w:rsid w:val="00464F9A"/>
    <w:rsid w:val="00465074"/>
    <w:rsid w:val="004655F0"/>
    <w:rsid w:val="00465BF2"/>
    <w:rsid w:val="00465DCE"/>
    <w:rsid w:val="00465E11"/>
    <w:rsid w:val="00465F0B"/>
    <w:rsid w:val="0046693F"/>
    <w:rsid w:val="00466C1F"/>
    <w:rsid w:val="00466C90"/>
    <w:rsid w:val="00466DA4"/>
    <w:rsid w:val="004672D9"/>
    <w:rsid w:val="00467417"/>
    <w:rsid w:val="0046778F"/>
    <w:rsid w:val="0047024D"/>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3FC"/>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07CED"/>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0E4D"/>
    <w:rsid w:val="0054188C"/>
    <w:rsid w:val="005427B8"/>
    <w:rsid w:val="00543144"/>
    <w:rsid w:val="00543E5A"/>
    <w:rsid w:val="00544F7A"/>
    <w:rsid w:val="00545421"/>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C10"/>
    <w:rsid w:val="00553913"/>
    <w:rsid w:val="0055477D"/>
    <w:rsid w:val="00554B68"/>
    <w:rsid w:val="00554F48"/>
    <w:rsid w:val="00554F7D"/>
    <w:rsid w:val="00555ADB"/>
    <w:rsid w:val="00555BBA"/>
    <w:rsid w:val="00555FB3"/>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568"/>
    <w:rsid w:val="0056774B"/>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C4B"/>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3AF"/>
    <w:rsid w:val="006845CA"/>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0D9"/>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92A"/>
    <w:rsid w:val="007D1D86"/>
    <w:rsid w:val="007D2289"/>
    <w:rsid w:val="007D2899"/>
    <w:rsid w:val="007D2FC2"/>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5CA"/>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898"/>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37DC"/>
    <w:rsid w:val="0094443D"/>
    <w:rsid w:val="0094506E"/>
    <w:rsid w:val="0094654A"/>
    <w:rsid w:val="00946572"/>
    <w:rsid w:val="00946BBA"/>
    <w:rsid w:val="009470D1"/>
    <w:rsid w:val="00947CE3"/>
    <w:rsid w:val="00947FA3"/>
    <w:rsid w:val="00950649"/>
    <w:rsid w:val="00950813"/>
    <w:rsid w:val="009508D7"/>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08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0FC8"/>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0BB4"/>
    <w:rsid w:val="00AA145D"/>
    <w:rsid w:val="00AA1A94"/>
    <w:rsid w:val="00AA1CC0"/>
    <w:rsid w:val="00AA1ED0"/>
    <w:rsid w:val="00AA2A27"/>
    <w:rsid w:val="00AA3476"/>
    <w:rsid w:val="00AA397D"/>
    <w:rsid w:val="00AA3F20"/>
    <w:rsid w:val="00AA4391"/>
    <w:rsid w:val="00AA490F"/>
    <w:rsid w:val="00AA4CA3"/>
    <w:rsid w:val="00AA4DBE"/>
    <w:rsid w:val="00AA539D"/>
    <w:rsid w:val="00AA5550"/>
    <w:rsid w:val="00AA5603"/>
    <w:rsid w:val="00AA5A32"/>
    <w:rsid w:val="00AA5D49"/>
    <w:rsid w:val="00AA68A8"/>
    <w:rsid w:val="00AA6C00"/>
    <w:rsid w:val="00AA7AD4"/>
    <w:rsid w:val="00AA7EF2"/>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2509"/>
    <w:rsid w:val="00B432A5"/>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3934"/>
    <w:rsid w:val="00B6436C"/>
    <w:rsid w:val="00B64F9D"/>
    <w:rsid w:val="00B65590"/>
    <w:rsid w:val="00B6564D"/>
    <w:rsid w:val="00B65A6F"/>
    <w:rsid w:val="00B65AC5"/>
    <w:rsid w:val="00B65BD4"/>
    <w:rsid w:val="00B66188"/>
    <w:rsid w:val="00B66E6D"/>
    <w:rsid w:val="00B66EC0"/>
    <w:rsid w:val="00B6755D"/>
    <w:rsid w:val="00B70BDF"/>
    <w:rsid w:val="00B72030"/>
    <w:rsid w:val="00B72124"/>
    <w:rsid w:val="00B72140"/>
    <w:rsid w:val="00B728DF"/>
    <w:rsid w:val="00B73272"/>
    <w:rsid w:val="00B738CF"/>
    <w:rsid w:val="00B7405A"/>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03DD"/>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20"/>
    <w:rsid w:val="00CA519A"/>
    <w:rsid w:val="00CA5289"/>
    <w:rsid w:val="00CA5709"/>
    <w:rsid w:val="00CA6A11"/>
    <w:rsid w:val="00CA6E50"/>
    <w:rsid w:val="00CA7AC9"/>
    <w:rsid w:val="00CA7DB9"/>
    <w:rsid w:val="00CB0D96"/>
    <w:rsid w:val="00CB0F18"/>
    <w:rsid w:val="00CB1732"/>
    <w:rsid w:val="00CB1ABD"/>
    <w:rsid w:val="00CB1E40"/>
    <w:rsid w:val="00CB2910"/>
    <w:rsid w:val="00CB2956"/>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0D45"/>
    <w:rsid w:val="00D01D21"/>
    <w:rsid w:val="00D02121"/>
    <w:rsid w:val="00D03248"/>
    <w:rsid w:val="00D03913"/>
    <w:rsid w:val="00D046FE"/>
    <w:rsid w:val="00D05121"/>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961"/>
    <w:rsid w:val="00D12F86"/>
    <w:rsid w:val="00D132B1"/>
    <w:rsid w:val="00D13FC2"/>
    <w:rsid w:val="00D14749"/>
    <w:rsid w:val="00D1499B"/>
    <w:rsid w:val="00D14C4B"/>
    <w:rsid w:val="00D14D64"/>
    <w:rsid w:val="00D15C91"/>
    <w:rsid w:val="00D15F88"/>
    <w:rsid w:val="00D16526"/>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826"/>
    <w:rsid w:val="00D32F25"/>
    <w:rsid w:val="00D33802"/>
    <w:rsid w:val="00D33AE8"/>
    <w:rsid w:val="00D342C8"/>
    <w:rsid w:val="00D34313"/>
    <w:rsid w:val="00D34B7F"/>
    <w:rsid w:val="00D35BAA"/>
    <w:rsid w:val="00D36127"/>
    <w:rsid w:val="00D36249"/>
    <w:rsid w:val="00D37310"/>
    <w:rsid w:val="00D400A9"/>
    <w:rsid w:val="00D4094B"/>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12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6737"/>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8EE"/>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4E6A"/>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461"/>
    <w:rsid w:val="00E72C3C"/>
    <w:rsid w:val="00E737E2"/>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78"/>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B5B"/>
    <w:rsid w:val="00FB2FFF"/>
    <w:rsid w:val="00FB32BF"/>
    <w:rsid w:val="00FB3A04"/>
    <w:rsid w:val="00FB3A69"/>
    <w:rsid w:val="00FB3E26"/>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79642-7392-4AE1-B4A7-4225B8349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1492</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2019-10-04T21:38:00Z</dcterms:created>
  <dcterms:modified xsi:type="dcterms:W3CDTF">2019-10-04T21:38:00Z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