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5DB5461F"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008475CA">
        <w:rPr>
          <w:rFonts w:cs="Arial"/>
          <w:sz w:val="24"/>
          <w:szCs w:val="24"/>
          <w:lang w:val="de-DE"/>
        </w:rPr>
        <w:t>bis</w:t>
      </w:r>
      <w:r w:rsidRPr="00DB3907">
        <w:rPr>
          <w:rFonts w:cs="Arial"/>
          <w:sz w:val="24"/>
          <w:szCs w:val="24"/>
          <w:lang w:val="de-DE"/>
        </w:rPr>
        <w:tab/>
        <w:t>R4-</w:t>
      </w:r>
      <w:r>
        <w:rPr>
          <w:rFonts w:cs="Arial"/>
          <w:sz w:val="24"/>
          <w:szCs w:val="24"/>
          <w:lang w:val="de-DE"/>
        </w:rPr>
        <w:t>19</w:t>
      </w:r>
      <w:r w:rsidR="008475CA">
        <w:rPr>
          <w:rFonts w:cs="Arial"/>
          <w:sz w:val="24"/>
          <w:szCs w:val="24"/>
          <w:lang w:val="de-DE"/>
        </w:rPr>
        <w:t>1</w:t>
      </w:r>
      <w:r w:rsidR="00D51CE9">
        <w:rPr>
          <w:rFonts w:cs="Arial"/>
          <w:sz w:val="24"/>
          <w:szCs w:val="24"/>
          <w:lang w:val="de-DE"/>
        </w:rPr>
        <w:t>2489</w:t>
      </w:r>
      <w:bookmarkStart w:id="0" w:name="_GoBack"/>
      <w:bookmarkEnd w:id="0"/>
    </w:p>
    <w:p w14:paraId="62C54E00" w14:textId="0E48C7FC" w:rsidR="00006351" w:rsidRPr="00DB3907" w:rsidRDefault="00B32606" w:rsidP="00006351">
      <w:pPr>
        <w:pStyle w:val="Header"/>
        <w:tabs>
          <w:tab w:val="left" w:pos="6521"/>
        </w:tabs>
        <w:rPr>
          <w:rFonts w:cs="Arial"/>
          <w:sz w:val="24"/>
          <w:szCs w:val="24"/>
        </w:rPr>
      </w:pPr>
      <w:r>
        <w:rPr>
          <w:rFonts w:cs="Arial"/>
          <w:sz w:val="24"/>
          <w:szCs w:val="24"/>
        </w:rPr>
        <w:t>October</w:t>
      </w:r>
      <w:r w:rsidR="00006351">
        <w:rPr>
          <w:rFonts w:cs="Arial"/>
          <w:sz w:val="24"/>
          <w:szCs w:val="24"/>
        </w:rPr>
        <w:t xml:space="preserve"> </w:t>
      </w:r>
      <w:r>
        <w:rPr>
          <w:rFonts w:cs="Arial"/>
          <w:sz w:val="24"/>
          <w:szCs w:val="24"/>
        </w:rPr>
        <w:t>14</w:t>
      </w:r>
      <w:r w:rsidR="00006351">
        <w:rPr>
          <w:rFonts w:cs="Arial"/>
          <w:sz w:val="24"/>
          <w:szCs w:val="24"/>
          <w:vertAlign w:val="superscript"/>
        </w:rPr>
        <w:t>th</w:t>
      </w:r>
      <w:r w:rsidR="00006351">
        <w:rPr>
          <w:rFonts w:cs="Arial"/>
          <w:sz w:val="24"/>
          <w:szCs w:val="24"/>
        </w:rPr>
        <w:t xml:space="preserve"> ‒ </w:t>
      </w:r>
      <w:r>
        <w:rPr>
          <w:rFonts w:cs="Arial"/>
          <w:sz w:val="24"/>
          <w:szCs w:val="24"/>
        </w:rPr>
        <w:t>18</w:t>
      </w:r>
      <w:r w:rsidR="00006351">
        <w:rPr>
          <w:rFonts w:cs="Arial"/>
          <w:sz w:val="24"/>
          <w:szCs w:val="24"/>
          <w:vertAlign w:val="superscript"/>
        </w:rPr>
        <w:t>th</w:t>
      </w:r>
      <w:r w:rsidR="00006351">
        <w:rPr>
          <w:rFonts w:cs="Arial"/>
          <w:sz w:val="24"/>
          <w:szCs w:val="24"/>
        </w:rPr>
        <w:t>, 2019</w:t>
      </w:r>
    </w:p>
    <w:p w14:paraId="464E3469" w14:textId="291E997E" w:rsidR="00006351" w:rsidRPr="00DB3907" w:rsidRDefault="00D548D5" w:rsidP="00006351">
      <w:pPr>
        <w:pStyle w:val="Header"/>
        <w:rPr>
          <w:rFonts w:cs="Arial"/>
          <w:sz w:val="24"/>
          <w:szCs w:val="24"/>
        </w:rPr>
      </w:pPr>
      <w:r>
        <w:rPr>
          <w:rFonts w:cs="Arial"/>
          <w:sz w:val="24"/>
          <w:szCs w:val="24"/>
        </w:rPr>
        <w:t>Chongqing, CN</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CC2CA04"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EE62E4">
        <w:rPr>
          <w:rFonts w:ascii="Arial" w:hAnsi="Arial"/>
          <w:sz w:val="24"/>
          <w:lang w:val="en-US"/>
        </w:rPr>
        <w:t>8.1.1.2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6EFD9313"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F3B18">
        <w:rPr>
          <w:rFonts w:ascii="Arial" w:hAnsi="Arial"/>
          <w:sz w:val="24"/>
          <w:lang w:val="en-US"/>
        </w:rPr>
        <w:t xml:space="preserve">NR-U </w:t>
      </w:r>
      <w:r w:rsidR="00A10599">
        <w:rPr>
          <w:rFonts w:ascii="Arial" w:hAnsi="Arial"/>
          <w:sz w:val="24"/>
          <w:lang w:val="en-US"/>
        </w:rPr>
        <w:t>wideband operation</w:t>
      </w:r>
    </w:p>
    <w:p w14:paraId="013F978F" w14:textId="15B0605C"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302C9">
        <w:rPr>
          <w:rFonts w:ascii="Arial" w:hAnsi="Arial"/>
          <w:sz w:val="24"/>
          <w:lang w:val="en-US"/>
        </w:rPr>
        <w:t>Approval</w:t>
      </w:r>
    </w:p>
    <w:p w14:paraId="7FA5F78D" w14:textId="78787FE4" w:rsidR="000A1A85" w:rsidRDefault="000E0602" w:rsidP="00453273">
      <w:pPr>
        <w:pStyle w:val="Heading1"/>
        <w:tabs>
          <w:tab w:val="clear" w:pos="432"/>
          <w:tab w:val="num" w:pos="522"/>
        </w:tabs>
        <w:ind w:left="522" w:hanging="522"/>
        <w:rPr>
          <w:lang w:val="en-US"/>
        </w:rPr>
      </w:pPr>
      <w:r>
        <w:rPr>
          <w:lang w:val="en-US"/>
        </w:rPr>
        <w:t>Introduction</w:t>
      </w:r>
    </w:p>
    <w:p w14:paraId="41CF4171" w14:textId="6E0C8289" w:rsidR="00C302C9" w:rsidRPr="00C302C9" w:rsidRDefault="00C302C9" w:rsidP="00C302C9">
      <w:pPr>
        <w:rPr>
          <w:lang w:val="en-US"/>
        </w:rPr>
      </w:pPr>
      <w:r>
        <w:rPr>
          <w:lang w:val="en-US"/>
        </w:rPr>
        <w:t xml:space="preserve">Wideband operation for NR-U is fraught with </w:t>
      </w:r>
      <w:proofErr w:type="gramStart"/>
      <w:r>
        <w:rPr>
          <w:lang w:val="en-US"/>
        </w:rPr>
        <w:t>a number of</w:t>
      </w:r>
      <w:proofErr w:type="gramEnd"/>
      <w:r>
        <w:rPr>
          <w:lang w:val="en-US"/>
        </w:rPr>
        <w:t xml:space="preserve"> unresolved challenges.  Many of </w:t>
      </w:r>
      <w:proofErr w:type="gramStart"/>
      <w:r>
        <w:rPr>
          <w:lang w:val="en-US"/>
        </w:rPr>
        <w:t>these stem</w:t>
      </w:r>
      <w:proofErr w:type="gramEnd"/>
      <w:r>
        <w:rPr>
          <w:lang w:val="en-US"/>
        </w:rPr>
        <w:t xml:space="preserve"> from the notion of sub-bands within the wideband channel that may or may not be allocated depending on LBT outcome.  This contribution discusses the potential configuration of sub-bands and their impact to determination of guard-bands.  </w:t>
      </w:r>
      <w:proofErr w:type="gramStart"/>
      <w:r>
        <w:rPr>
          <w:lang w:val="en-US"/>
        </w:rPr>
        <w:t>A number of</w:t>
      </w:r>
      <w:proofErr w:type="gramEnd"/>
      <w:r>
        <w:rPr>
          <w:lang w:val="en-US"/>
        </w:rPr>
        <w:t xml:space="preserve"> proposals are presented including a proposal that the notion of sub-bands within the wideband channel is dismissed and the wideband channel is used in its entirety or not at all for each LBT instance.</w:t>
      </w:r>
    </w:p>
    <w:p w14:paraId="10F6602E" w14:textId="290F307C" w:rsidR="007E1E78" w:rsidRDefault="007E1E78" w:rsidP="0099327E">
      <w:pPr>
        <w:pStyle w:val="Heading1"/>
        <w:tabs>
          <w:tab w:val="clear" w:pos="432"/>
          <w:tab w:val="num" w:pos="522"/>
        </w:tabs>
        <w:ind w:left="522" w:hanging="522"/>
        <w:rPr>
          <w:lang w:val="en-US"/>
        </w:rPr>
      </w:pPr>
      <w:r>
        <w:rPr>
          <w:lang w:val="en-US"/>
        </w:rPr>
        <w:t>Discussion</w:t>
      </w:r>
    </w:p>
    <w:p w14:paraId="3FF07E2C" w14:textId="03FDB721" w:rsidR="000243FA" w:rsidRDefault="00A35D17" w:rsidP="00E35A09">
      <w:pPr>
        <w:rPr>
          <w:lang w:val="en-US"/>
        </w:rPr>
      </w:pPr>
      <w:r>
        <w:rPr>
          <w:lang w:val="en-US"/>
        </w:rPr>
        <w:t xml:space="preserve">One </w:t>
      </w:r>
      <w:r w:rsidR="000243FA">
        <w:rPr>
          <w:lang w:val="en-US"/>
        </w:rPr>
        <w:t>feature</w:t>
      </w:r>
      <w:r>
        <w:rPr>
          <w:lang w:val="en-US"/>
        </w:rPr>
        <w:t xml:space="preserve"> of NR-U is the ability to support wideband channels that contain 20 MHz sub-bands or multiples thereof within them.  Under consideration are channels </w:t>
      </w:r>
      <w:r w:rsidR="00F95C8E">
        <w:rPr>
          <w:lang w:val="en-US"/>
        </w:rPr>
        <w:t xml:space="preserve">with bandwidths </w:t>
      </w:r>
      <w:r>
        <w:rPr>
          <w:lang w:val="en-US"/>
        </w:rPr>
        <w:t xml:space="preserve">of 20, 40, 60, 80, and 100 </w:t>
      </w:r>
      <w:proofErr w:type="spellStart"/>
      <w:r>
        <w:rPr>
          <w:lang w:val="en-US"/>
        </w:rPr>
        <w:t>MHz.</w:t>
      </w:r>
      <w:proofErr w:type="spellEnd"/>
      <w:r>
        <w:rPr>
          <w:lang w:val="en-US"/>
        </w:rPr>
        <w:t xml:space="preserve">  Within the wider channels, there may be one or more sub-bands</w:t>
      </w:r>
      <w:r w:rsidR="000B04D1">
        <w:rPr>
          <w:lang w:val="en-US"/>
        </w:rPr>
        <w:t xml:space="preserve"> </w:t>
      </w:r>
      <w:r w:rsidR="00F95C8E">
        <w:rPr>
          <w:lang w:val="en-US"/>
        </w:rPr>
        <w:t xml:space="preserve">each a multiple of 20 MHz (or perhaps 10 MHz for some deployments) that may be allocated or non-allocated.  For example, within a 100 MHz channel a sub-band configuration might be represented as (0, 20, 40, 0) where sub-band 0 is unallocated, sub-band 1 is occupied by a 20 MHz sub-band, sub-bands 2 and 3 are occupied by a 40 MHz sub-band, and sub-band 4 is unallocated.  Configurations can also consist of non-contiguous sub-bands if one or more sub-band(s) in between two sub-bands </w:t>
      </w:r>
      <w:proofErr w:type="gramStart"/>
      <w:r w:rsidR="00F95C8E">
        <w:rPr>
          <w:lang w:val="en-US"/>
        </w:rPr>
        <w:t>is</w:t>
      </w:r>
      <w:proofErr w:type="gramEnd"/>
      <w:r w:rsidR="00F95C8E">
        <w:rPr>
          <w:lang w:val="en-US"/>
        </w:rPr>
        <w:t xml:space="preserve"> unallocated</w:t>
      </w:r>
      <w:r w:rsidR="004E36B2">
        <w:rPr>
          <w:lang w:val="en-US"/>
        </w:rPr>
        <w:t>, for example (0, 40, 0, 20) using the same notation as above</w:t>
      </w:r>
      <w:r w:rsidR="00F95C8E">
        <w:rPr>
          <w:lang w:val="en-US"/>
        </w:rPr>
        <w:t>.  The number of possible configurations becomes large for wide channels</w:t>
      </w:r>
      <w:r w:rsidR="007418C4">
        <w:rPr>
          <w:lang w:val="en-US"/>
        </w:rPr>
        <w:t xml:space="preserve"> as illustrated below in Figure 1</w:t>
      </w:r>
      <w:r w:rsidR="00F95C8E">
        <w:rPr>
          <w:lang w:val="en-US"/>
        </w:rPr>
        <w:t xml:space="preserve">.  </w:t>
      </w:r>
    </w:p>
    <w:p w14:paraId="58D8B8E7" w14:textId="77777777" w:rsidR="0092416F" w:rsidRDefault="00CC13D2" w:rsidP="0092416F">
      <w:pPr>
        <w:keepNext/>
      </w:pPr>
      <w:r w:rsidRPr="0032368B">
        <w:rPr>
          <w:noProof/>
        </w:rPr>
        <w:lastRenderedPageBreak/>
        <w:drawing>
          <wp:inline distT="0" distB="0" distL="0" distR="0" wp14:anchorId="7B102CB6" wp14:editId="15C5B8C4">
            <wp:extent cx="6115685" cy="4841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4841875"/>
                    </a:xfrm>
                    <a:prstGeom prst="rect">
                      <a:avLst/>
                    </a:prstGeom>
                    <a:noFill/>
                    <a:ln>
                      <a:noFill/>
                    </a:ln>
                  </pic:spPr>
                </pic:pic>
              </a:graphicData>
            </a:graphic>
          </wp:inline>
        </w:drawing>
      </w:r>
    </w:p>
    <w:p w14:paraId="3225374F" w14:textId="39C48067" w:rsidR="00CC13D2" w:rsidRDefault="0092416F" w:rsidP="007418C4">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Possible sub-band configurations within a wideband channel.  Non-contiguous sub-band configurations are highlighted in red font.</w:t>
      </w:r>
    </w:p>
    <w:p w14:paraId="3E09FD59" w14:textId="0FC98614" w:rsidR="00F95C8E" w:rsidRDefault="007418C4" w:rsidP="00E35A09">
      <w:pPr>
        <w:rPr>
          <w:lang w:val="en-US"/>
        </w:rPr>
      </w:pPr>
      <w:r>
        <w:rPr>
          <w:lang w:val="en-US"/>
        </w:rPr>
        <w:t>For 20 MHz, 40 MHz, and 80 MHz bandwidth t</w:t>
      </w:r>
      <w:r w:rsidR="00F95C8E">
        <w:rPr>
          <w:lang w:val="en-US"/>
        </w:rPr>
        <w:t>he placement of channels within the band is dictated by the channel raster [</w:t>
      </w:r>
      <w:r w:rsidR="00B74D0E">
        <w:rPr>
          <w:lang w:val="en-US"/>
        </w:rPr>
        <w:t>1</w:t>
      </w:r>
      <w:r w:rsidR="00F95C8E">
        <w:rPr>
          <w:lang w:val="en-US"/>
        </w:rPr>
        <w:t xml:space="preserve">] </w:t>
      </w:r>
      <w:r w:rsidR="00C84D2F">
        <w:rPr>
          <w:lang w:val="en-US"/>
        </w:rPr>
        <w:t xml:space="preserve">to approximately align with </w:t>
      </w:r>
      <w:proofErr w:type="spellStart"/>
      <w:r w:rsidR="00C84D2F">
        <w:rPr>
          <w:lang w:val="en-US"/>
        </w:rPr>
        <w:t>WiFi</w:t>
      </w:r>
      <w:proofErr w:type="spellEnd"/>
      <w:r w:rsidR="00C84D2F">
        <w:rPr>
          <w:lang w:val="en-US"/>
        </w:rPr>
        <w:t xml:space="preserve"> channels (at least for the coexistence case) </w:t>
      </w:r>
      <w:r w:rsidR="00F95C8E">
        <w:rPr>
          <w:lang w:val="en-US"/>
        </w:rPr>
        <w:t>while the placement of sub-bands within the channels</w:t>
      </w:r>
      <w:r w:rsidR="004E36B2">
        <w:rPr>
          <w:lang w:val="en-US"/>
        </w:rPr>
        <w:t xml:space="preserve"> is not fully agreed yet.  However, a proposal </w:t>
      </w:r>
      <w:r w:rsidR="00C84D2F">
        <w:rPr>
          <w:lang w:val="en-US"/>
        </w:rPr>
        <w:t>has been discussed</w:t>
      </w:r>
      <w:r w:rsidR="004E36B2">
        <w:rPr>
          <w:lang w:val="en-US"/>
        </w:rPr>
        <w:t xml:space="preserve"> [</w:t>
      </w:r>
      <w:r w:rsidR="00B74D0E">
        <w:rPr>
          <w:lang w:val="en-US"/>
        </w:rPr>
        <w:t>2</w:t>
      </w:r>
      <w:r w:rsidR="004E36B2">
        <w:rPr>
          <w:lang w:val="en-US"/>
        </w:rPr>
        <w:t xml:space="preserve">] to utilize a common PRB grid across the 5 GHz band and to </w:t>
      </w:r>
      <w:r w:rsidR="00C84D2F">
        <w:rPr>
          <w:lang w:val="en-US"/>
        </w:rPr>
        <w:t>restrict</w:t>
      </w:r>
      <w:r w:rsidR="004E36B2">
        <w:rPr>
          <w:lang w:val="en-US"/>
        </w:rPr>
        <w:t xml:space="preserve"> </w:t>
      </w:r>
      <w:r w:rsidR="00C84D2F">
        <w:rPr>
          <w:lang w:val="en-US"/>
        </w:rPr>
        <w:t>interior guard bands to be multiples of PRB’s [</w:t>
      </w:r>
      <w:r w:rsidR="00B74D0E">
        <w:rPr>
          <w:lang w:val="en-US"/>
        </w:rPr>
        <w:t>3</w:t>
      </w:r>
      <w:r w:rsidR="00C84D2F">
        <w:rPr>
          <w:lang w:val="en-US"/>
        </w:rPr>
        <w:t>] so that all sub-bands within the band can be RB indexed relative to Point A.  Not all aspects of [</w:t>
      </w:r>
      <w:r w:rsidR="00B74D0E">
        <w:rPr>
          <w:lang w:val="en-US"/>
        </w:rPr>
        <w:t>2</w:t>
      </w:r>
      <w:r w:rsidR="00C84D2F">
        <w:rPr>
          <w:lang w:val="en-US"/>
        </w:rPr>
        <w:t>] have been agreed, but the concept of having a common PRB grid</w:t>
      </w:r>
      <w:r w:rsidR="008472CF">
        <w:rPr>
          <w:lang w:val="en-US"/>
        </w:rPr>
        <w:t xml:space="preserve"> </w:t>
      </w:r>
      <w:r w:rsidR="00B74D0E">
        <w:rPr>
          <w:lang w:val="en-US"/>
        </w:rPr>
        <w:t>could</w:t>
      </w:r>
      <w:r w:rsidR="00DC50CD">
        <w:rPr>
          <w:lang w:val="en-US"/>
        </w:rPr>
        <w:t xml:space="preserve"> enable placement of sub-bands and their associated </w:t>
      </w:r>
      <w:proofErr w:type="spellStart"/>
      <w:r w:rsidR="00DC50CD">
        <w:rPr>
          <w:lang w:val="en-US"/>
        </w:rPr>
        <w:t>guardbands</w:t>
      </w:r>
      <w:proofErr w:type="spellEnd"/>
      <w:r w:rsidR="00DC50CD">
        <w:rPr>
          <w:lang w:val="en-US"/>
        </w:rPr>
        <w:t xml:space="preserve"> to be implemented by network scheduling of RB’s within the wideband channel. </w:t>
      </w:r>
    </w:p>
    <w:p w14:paraId="1263D423" w14:textId="0CCC2FEC" w:rsidR="00E73ABB" w:rsidRDefault="002922C6" w:rsidP="00E35A09">
      <w:pPr>
        <w:rPr>
          <w:lang w:val="en-US"/>
        </w:rPr>
      </w:pPr>
      <w:r>
        <w:rPr>
          <w:lang w:val="en-US"/>
        </w:rPr>
        <w:t>It is the responsibility of RAN4 to define the necessary guard band sizes.  As described in [</w:t>
      </w:r>
      <w:r w:rsidR="00B74D0E">
        <w:rPr>
          <w:lang w:val="en-US"/>
        </w:rPr>
        <w:t>2</w:t>
      </w:r>
      <w:r>
        <w:rPr>
          <w:lang w:val="en-US"/>
        </w:rPr>
        <w:t>], there are carrier guard bands and in-carrier guard bands</w:t>
      </w:r>
      <w:r w:rsidR="00730B73">
        <w:rPr>
          <w:lang w:val="en-US"/>
        </w:rPr>
        <w:t xml:space="preserve">.  It is assumed that the network scheduler will allocate RB’s for UL and DL as well as leaving RB’s associated with guard bands unallocated.  </w:t>
      </w:r>
      <w:r w:rsidR="00375BD2">
        <w:rPr>
          <w:lang w:val="en-US"/>
        </w:rPr>
        <w:t>One benefit of a scheduling-based approach is that guard bands can be allocated or non-allocated dynamically – for example, it has been proposed [</w:t>
      </w:r>
      <w:r w:rsidR="001546C0">
        <w:rPr>
          <w:lang w:val="en-US"/>
        </w:rPr>
        <w:t>5</w:t>
      </w:r>
      <w:r w:rsidR="00375BD2">
        <w:rPr>
          <w:lang w:val="en-US"/>
        </w:rPr>
        <w:t xml:space="preserve">] that the first </w:t>
      </w:r>
      <w:r w:rsidR="00AB0381">
        <w:rPr>
          <w:lang w:val="en-US"/>
        </w:rPr>
        <w:t xml:space="preserve">slot 0 </w:t>
      </w:r>
      <w:r w:rsidR="00375BD2">
        <w:rPr>
          <w:lang w:val="en-US"/>
        </w:rPr>
        <w:t xml:space="preserve">transmission of a COT before LBT outcome is available is scheduled with in-carrier guard bands while subsequent </w:t>
      </w:r>
      <w:r w:rsidR="00AB0381">
        <w:rPr>
          <w:lang w:val="en-US"/>
        </w:rPr>
        <w:t xml:space="preserve">slot 1 and beyond </w:t>
      </w:r>
      <w:r w:rsidR="00375BD2">
        <w:rPr>
          <w:lang w:val="en-US"/>
        </w:rPr>
        <w:t xml:space="preserve">transmissions within the COT may be scheduled without the guard band between sub-bands both passing LBT.  </w:t>
      </w:r>
      <w:r w:rsidR="00B8583B">
        <w:rPr>
          <w:lang w:val="en-US"/>
        </w:rPr>
        <w:t xml:space="preserve">The disadvantage of </w:t>
      </w:r>
      <w:r w:rsidR="00437545">
        <w:rPr>
          <w:lang w:val="en-US"/>
        </w:rPr>
        <w:t xml:space="preserve">a scheduling-based approach for guard band is that the UE is responsible to meet regulatory emission requirements.  </w:t>
      </w:r>
      <w:r w:rsidR="00AB0381">
        <w:rPr>
          <w:lang w:val="en-US"/>
        </w:rPr>
        <w:t>Since</w:t>
      </w:r>
      <w:r w:rsidR="000B26BB">
        <w:rPr>
          <w:lang w:val="en-US"/>
        </w:rPr>
        <w:t xml:space="preserve"> the UE relies on guard bands to meet emission requirements and the presence </w:t>
      </w:r>
      <w:r w:rsidR="001F269F">
        <w:rPr>
          <w:lang w:val="en-US"/>
        </w:rPr>
        <w:t xml:space="preserve">and size </w:t>
      </w:r>
      <w:r w:rsidR="000B26BB">
        <w:rPr>
          <w:lang w:val="en-US"/>
        </w:rPr>
        <w:t xml:space="preserve">of guard bands </w:t>
      </w:r>
      <w:r w:rsidR="001F269F">
        <w:rPr>
          <w:lang w:val="en-US"/>
        </w:rPr>
        <w:t xml:space="preserve">on the uplink </w:t>
      </w:r>
      <w:r w:rsidR="000B26BB">
        <w:rPr>
          <w:lang w:val="en-US"/>
        </w:rPr>
        <w:t>is dependent upon dynamic network scheduling</w:t>
      </w:r>
      <w:r w:rsidR="00E73ABB">
        <w:rPr>
          <w:lang w:val="en-US"/>
        </w:rPr>
        <w:t xml:space="preserve"> (not even based on configuration</w:t>
      </w:r>
      <w:r w:rsidR="00B74D0E">
        <w:rPr>
          <w:lang w:val="en-US"/>
        </w:rPr>
        <w:t xml:space="preserve"> which could be argued as semi-static</w:t>
      </w:r>
      <w:r w:rsidR="00E73ABB">
        <w:rPr>
          <w:lang w:val="en-US"/>
        </w:rPr>
        <w:t>), then the UE’s compliance to regulatory requirements may be called into question.</w:t>
      </w:r>
      <w:r w:rsidR="00630450">
        <w:rPr>
          <w:lang w:val="en-US"/>
        </w:rPr>
        <w:t xml:space="preserve">  The UE will therefore need to monitor the scheduling of RB’s in the guard band and autonomously </w:t>
      </w:r>
      <w:r w:rsidR="00B74D0E">
        <w:rPr>
          <w:lang w:val="en-US"/>
        </w:rPr>
        <w:t xml:space="preserve">ignore the grant, </w:t>
      </w:r>
      <w:r w:rsidR="00630450">
        <w:rPr>
          <w:lang w:val="en-US"/>
        </w:rPr>
        <w:t>drop the transmission or equivalent behavior to ensure that it can meet emission requirements.</w:t>
      </w:r>
    </w:p>
    <w:p w14:paraId="12A91E1D" w14:textId="7D145989" w:rsidR="00B74D0E" w:rsidRPr="00407829" w:rsidRDefault="00407829" w:rsidP="00E35A09">
      <w:pPr>
        <w:rPr>
          <w:b/>
          <w:lang w:val="en-US"/>
        </w:rPr>
      </w:pPr>
      <w:r>
        <w:rPr>
          <w:b/>
          <w:lang w:val="en-US"/>
        </w:rPr>
        <w:t>Proposal 0</w:t>
      </w:r>
      <w:r w:rsidR="00B74D0E" w:rsidRPr="00407829">
        <w:rPr>
          <w:b/>
          <w:lang w:val="en-US"/>
        </w:rPr>
        <w:t xml:space="preserve">:  In a grant-based </w:t>
      </w:r>
      <w:r>
        <w:rPr>
          <w:b/>
          <w:lang w:val="en-US"/>
        </w:rPr>
        <w:t xml:space="preserve">dynamic </w:t>
      </w:r>
      <w:r w:rsidR="00B74D0E" w:rsidRPr="00407829">
        <w:rPr>
          <w:b/>
          <w:lang w:val="en-US"/>
        </w:rPr>
        <w:t>guard band scheme, the UE must be allowed to autonomously drop the uplink grant if the unallocated RB’s intended to be used as guard band do not conform to the assumptions and specifications used to en</w:t>
      </w:r>
      <w:r w:rsidRPr="00407829">
        <w:rPr>
          <w:b/>
          <w:lang w:val="en-US"/>
        </w:rPr>
        <w:t>able emissions compliance.</w:t>
      </w:r>
    </w:p>
    <w:p w14:paraId="29357A6A" w14:textId="77777777" w:rsidR="00407829" w:rsidRDefault="00407829" w:rsidP="00E35A09">
      <w:pPr>
        <w:rPr>
          <w:lang w:val="en-US"/>
        </w:rPr>
      </w:pPr>
      <w:r>
        <w:rPr>
          <w:lang w:val="en-US"/>
        </w:rPr>
        <w:t>Proposal 0 is a pre-requisite to the ensuing discussion.</w:t>
      </w:r>
    </w:p>
    <w:p w14:paraId="0EE0200E" w14:textId="6C6992E6" w:rsidR="00DC50CD" w:rsidRDefault="00630450" w:rsidP="00E35A09">
      <w:pPr>
        <w:rPr>
          <w:lang w:val="en-US"/>
        </w:rPr>
      </w:pPr>
      <w:r>
        <w:rPr>
          <w:lang w:val="en-US"/>
        </w:rPr>
        <w:lastRenderedPageBreak/>
        <w:t xml:space="preserve">To determine necessary guard bands, RAN4 will conduct simulations and measurements to characterize the emissions for uplink and </w:t>
      </w:r>
      <w:r w:rsidR="00407829">
        <w:rPr>
          <w:lang w:val="en-US"/>
        </w:rPr>
        <w:t xml:space="preserve">possibly </w:t>
      </w:r>
      <w:r>
        <w:rPr>
          <w:lang w:val="en-US"/>
        </w:rPr>
        <w:t>ACS and blocking for downlink</w:t>
      </w:r>
      <w:r w:rsidR="00407829">
        <w:rPr>
          <w:lang w:val="en-US"/>
        </w:rPr>
        <w:t xml:space="preserve"> if needed</w:t>
      </w:r>
      <w:r>
        <w:rPr>
          <w:lang w:val="en-US"/>
        </w:rPr>
        <w:t xml:space="preserve">.  In order to conduct such simulations and measurements, participating companies need to </w:t>
      </w:r>
      <w:r w:rsidR="00170A66">
        <w:rPr>
          <w:lang w:val="en-US"/>
        </w:rPr>
        <w:t>model the placement of sub-bands</w:t>
      </w:r>
      <w:r w:rsidR="00675DDD">
        <w:rPr>
          <w:lang w:val="en-US"/>
        </w:rPr>
        <w:t xml:space="preserve"> within the channel.  Moreover, at least in principle, all possible configurations of sub-bands within a wideband channel need to be analyzed.  </w:t>
      </w:r>
      <w:r w:rsidR="00407829">
        <w:rPr>
          <w:lang w:val="en-US"/>
        </w:rPr>
        <w:t xml:space="preserve">The number of possibilities is too large.  </w:t>
      </w:r>
      <w:r w:rsidR="00675DDD">
        <w:rPr>
          <w:lang w:val="en-US"/>
        </w:rPr>
        <w:t>To help facilitate the work, it is proposed that simplifying assumptions be taken.  These simplifying assumptions may eventually be reflected in the specification as limits to applicability of the requirements.  For example, it has already been agreed that in-carrier guard bands would only be multiples or PRB’s [</w:t>
      </w:r>
      <w:r w:rsidR="00407829">
        <w:rPr>
          <w:lang w:val="en-US"/>
        </w:rPr>
        <w:t>3</w:t>
      </w:r>
      <w:r w:rsidR="00675DDD">
        <w:rPr>
          <w:lang w:val="en-US"/>
        </w:rPr>
        <w:t>].</w:t>
      </w:r>
      <w:r w:rsidR="00E444E3">
        <w:rPr>
          <w:lang w:val="en-US"/>
        </w:rPr>
        <w:t xml:space="preserve">  The following further assumptions are proposed</w:t>
      </w:r>
    </w:p>
    <w:p w14:paraId="6A6D4F11" w14:textId="77777777" w:rsidR="00912D30" w:rsidRDefault="00912D30" w:rsidP="00912D30">
      <w:pPr>
        <w:pStyle w:val="ListParagraph"/>
        <w:rPr>
          <w:lang w:val="en-US"/>
        </w:rPr>
      </w:pPr>
    </w:p>
    <w:p w14:paraId="1B164415" w14:textId="3CAB1C9A" w:rsidR="00E444E3" w:rsidRPr="00A10599" w:rsidRDefault="00A10599" w:rsidP="00A10599">
      <w:pPr>
        <w:rPr>
          <w:b/>
          <w:lang w:val="en-US"/>
        </w:rPr>
      </w:pPr>
      <w:r w:rsidRPr="00A10599">
        <w:rPr>
          <w:b/>
          <w:lang w:val="en-US"/>
        </w:rPr>
        <w:t xml:space="preserve">Proposal </w:t>
      </w:r>
      <w:r w:rsidR="00407829">
        <w:rPr>
          <w:b/>
          <w:lang w:val="en-US"/>
        </w:rPr>
        <w:t>1</w:t>
      </w:r>
      <w:r w:rsidR="00A10429">
        <w:rPr>
          <w:b/>
          <w:lang w:val="en-US"/>
        </w:rPr>
        <w:t>.</w:t>
      </w:r>
      <w:r w:rsidRPr="00A10599">
        <w:rPr>
          <w:b/>
          <w:lang w:val="en-US"/>
        </w:rPr>
        <w:t xml:space="preserve">  </w:t>
      </w:r>
      <w:r w:rsidR="00E444E3" w:rsidRPr="00A10599">
        <w:rPr>
          <w:b/>
          <w:lang w:val="en-US"/>
        </w:rPr>
        <w:t xml:space="preserve">Carrier guard bands at the </w:t>
      </w:r>
      <w:r w:rsidR="00E444E3" w:rsidRPr="00A10599">
        <w:rPr>
          <w:b/>
          <w:u w:val="single"/>
          <w:lang w:val="en-US"/>
        </w:rPr>
        <w:t>edge of the band</w:t>
      </w:r>
      <w:r w:rsidR="00E444E3" w:rsidRPr="00A10599">
        <w:rPr>
          <w:b/>
          <w:lang w:val="en-US"/>
        </w:rPr>
        <w:t xml:space="preserve"> are at least as large as provided by</w:t>
      </w:r>
      <w:r w:rsidR="00912D30" w:rsidRPr="00A10599">
        <w:rPr>
          <w:b/>
          <w:lang w:val="en-US"/>
        </w:rPr>
        <w:t xml:space="preserve"> Table 5.3.3-1 of TS 38.101-1 for NR, r</w:t>
      </w:r>
      <w:r w:rsidR="00E444E3" w:rsidRPr="00A10599">
        <w:rPr>
          <w:b/>
          <w:lang w:val="en-US"/>
        </w:rPr>
        <w:t>egardless of the sub-band configuration within the channel.</w:t>
      </w:r>
    </w:p>
    <w:p w14:paraId="7522F61F" w14:textId="77777777" w:rsidR="0097072E" w:rsidRPr="00414DAE" w:rsidRDefault="0097072E" w:rsidP="0097072E">
      <w:pPr>
        <w:pStyle w:val="TH"/>
        <w:ind w:left="720"/>
        <w:jc w:val="left"/>
      </w:pPr>
      <w:r w:rsidRPr="00414DAE">
        <w:t xml:space="preserve">Table 5.3.3-1: Minimum </w:t>
      </w:r>
      <w:proofErr w:type="spellStart"/>
      <w:r w:rsidRPr="00414DAE">
        <w:t>guardband</w:t>
      </w:r>
      <w:proofErr w:type="spellEnd"/>
      <w:r w:rsidRPr="00414DAE">
        <w:t xml:space="preserve">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4"/>
        <w:gridCol w:w="809"/>
        <w:gridCol w:w="811"/>
        <w:gridCol w:w="810"/>
        <w:gridCol w:w="812"/>
        <w:gridCol w:w="810"/>
        <w:gridCol w:w="812"/>
        <w:gridCol w:w="810"/>
        <w:gridCol w:w="812"/>
        <w:gridCol w:w="810"/>
        <w:gridCol w:w="812"/>
        <w:gridCol w:w="810"/>
        <w:gridCol w:w="812"/>
      </w:tblGrid>
      <w:tr w:rsidR="0097072E" w:rsidRPr="00414DAE" w14:paraId="5DE015FA" w14:textId="77777777" w:rsidTr="00351147">
        <w:trPr>
          <w:trHeight w:val="449"/>
        </w:trPr>
        <w:tc>
          <w:tcPr>
            <w:tcW w:w="302" w:type="pct"/>
            <w:shd w:val="clear" w:color="auto" w:fill="auto"/>
            <w:tcMar>
              <w:top w:w="15" w:type="dxa"/>
              <w:left w:w="81" w:type="dxa"/>
              <w:bottom w:w="0" w:type="dxa"/>
              <w:right w:w="81" w:type="dxa"/>
            </w:tcMar>
            <w:vAlign w:val="center"/>
            <w:hideMark/>
          </w:tcPr>
          <w:p w14:paraId="594906AF" w14:textId="77777777" w:rsidR="0097072E" w:rsidRPr="00414DAE" w:rsidRDefault="0097072E" w:rsidP="00351147">
            <w:pPr>
              <w:pStyle w:val="TAH"/>
            </w:pPr>
            <w:r w:rsidRPr="00414DAE">
              <w:t>SCS (kHz)</w:t>
            </w:r>
          </w:p>
        </w:tc>
        <w:tc>
          <w:tcPr>
            <w:tcW w:w="391" w:type="pct"/>
            <w:shd w:val="clear" w:color="auto" w:fill="auto"/>
            <w:tcMar>
              <w:top w:w="15" w:type="dxa"/>
              <w:left w:w="81" w:type="dxa"/>
              <w:bottom w:w="0" w:type="dxa"/>
              <w:right w:w="81" w:type="dxa"/>
            </w:tcMar>
            <w:vAlign w:val="center"/>
            <w:hideMark/>
          </w:tcPr>
          <w:p w14:paraId="6192587D" w14:textId="77777777" w:rsidR="0097072E" w:rsidRPr="00414DAE" w:rsidRDefault="0097072E" w:rsidP="00351147">
            <w:pPr>
              <w:pStyle w:val="TAH"/>
            </w:pPr>
            <w:r w:rsidRPr="00414DAE">
              <w:t>5 MHz</w:t>
            </w:r>
          </w:p>
        </w:tc>
        <w:tc>
          <w:tcPr>
            <w:tcW w:w="392" w:type="pct"/>
            <w:shd w:val="clear" w:color="auto" w:fill="auto"/>
            <w:tcMar>
              <w:top w:w="15" w:type="dxa"/>
              <w:left w:w="81" w:type="dxa"/>
              <w:bottom w:w="0" w:type="dxa"/>
              <w:right w:w="81" w:type="dxa"/>
            </w:tcMar>
            <w:vAlign w:val="center"/>
            <w:hideMark/>
          </w:tcPr>
          <w:p w14:paraId="4659A959" w14:textId="77777777" w:rsidR="0097072E" w:rsidRPr="00414DAE" w:rsidRDefault="0097072E" w:rsidP="00351147">
            <w:pPr>
              <w:pStyle w:val="TAH"/>
            </w:pPr>
            <w:r w:rsidRPr="00414DAE">
              <w:t>10 MHz</w:t>
            </w:r>
          </w:p>
        </w:tc>
        <w:tc>
          <w:tcPr>
            <w:tcW w:w="391" w:type="pct"/>
            <w:shd w:val="clear" w:color="auto" w:fill="auto"/>
            <w:tcMar>
              <w:top w:w="15" w:type="dxa"/>
              <w:left w:w="81" w:type="dxa"/>
              <w:bottom w:w="0" w:type="dxa"/>
              <w:right w:w="81" w:type="dxa"/>
            </w:tcMar>
            <w:vAlign w:val="center"/>
            <w:hideMark/>
          </w:tcPr>
          <w:p w14:paraId="78C2916C" w14:textId="77777777" w:rsidR="0097072E" w:rsidRPr="00414DAE" w:rsidRDefault="0097072E" w:rsidP="00351147">
            <w:pPr>
              <w:pStyle w:val="TAH"/>
            </w:pPr>
            <w:r w:rsidRPr="00414DAE">
              <w:t>15 MHz</w:t>
            </w:r>
          </w:p>
        </w:tc>
        <w:tc>
          <w:tcPr>
            <w:tcW w:w="392" w:type="pct"/>
            <w:shd w:val="clear" w:color="auto" w:fill="auto"/>
            <w:tcMar>
              <w:top w:w="15" w:type="dxa"/>
              <w:left w:w="81" w:type="dxa"/>
              <w:bottom w:w="0" w:type="dxa"/>
              <w:right w:w="81" w:type="dxa"/>
            </w:tcMar>
            <w:vAlign w:val="center"/>
            <w:hideMark/>
          </w:tcPr>
          <w:p w14:paraId="5B51D11F" w14:textId="77777777" w:rsidR="0097072E" w:rsidRPr="00414DAE" w:rsidRDefault="0097072E" w:rsidP="00351147">
            <w:pPr>
              <w:pStyle w:val="TAH"/>
            </w:pPr>
            <w:r w:rsidRPr="00414DAE">
              <w:t>20 MHz</w:t>
            </w:r>
          </w:p>
        </w:tc>
        <w:tc>
          <w:tcPr>
            <w:tcW w:w="391" w:type="pct"/>
            <w:shd w:val="clear" w:color="auto" w:fill="auto"/>
            <w:tcMar>
              <w:top w:w="15" w:type="dxa"/>
              <w:left w:w="81" w:type="dxa"/>
              <w:bottom w:w="0" w:type="dxa"/>
              <w:right w:w="81" w:type="dxa"/>
            </w:tcMar>
            <w:vAlign w:val="center"/>
            <w:hideMark/>
          </w:tcPr>
          <w:p w14:paraId="6CD079E3" w14:textId="77777777" w:rsidR="0097072E" w:rsidRPr="00414DAE" w:rsidRDefault="0097072E" w:rsidP="00351147">
            <w:pPr>
              <w:pStyle w:val="TAH"/>
            </w:pPr>
            <w:r w:rsidRPr="00414DAE">
              <w:t>25 MHz</w:t>
            </w:r>
          </w:p>
        </w:tc>
        <w:tc>
          <w:tcPr>
            <w:tcW w:w="392" w:type="pct"/>
            <w:vAlign w:val="center"/>
          </w:tcPr>
          <w:p w14:paraId="14E0DB53" w14:textId="77777777" w:rsidR="0097072E" w:rsidRPr="00414DAE" w:rsidRDefault="0097072E" w:rsidP="00351147">
            <w:pPr>
              <w:pStyle w:val="TAH"/>
            </w:pPr>
            <w:r w:rsidRPr="00414DAE">
              <w:t>30 MHz</w:t>
            </w:r>
          </w:p>
        </w:tc>
        <w:tc>
          <w:tcPr>
            <w:tcW w:w="391" w:type="pct"/>
            <w:shd w:val="clear" w:color="auto" w:fill="auto"/>
            <w:tcMar>
              <w:top w:w="15" w:type="dxa"/>
              <w:left w:w="81" w:type="dxa"/>
              <w:bottom w:w="0" w:type="dxa"/>
              <w:right w:w="81" w:type="dxa"/>
            </w:tcMar>
            <w:vAlign w:val="center"/>
            <w:hideMark/>
          </w:tcPr>
          <w:p w14:paraId="114ABB53" w14:textId="77777777" w:rsidR="0097072E" w:rsidRPr="00414DAE" w:rsidRDefault="0097072E" w:rsidP="00351147">
            <w:pPr>
              <w:pStyle w:val="TAH"/>
            </w:pPr>
            <w:r w:rsidRPr="00414DAE">
              <w:t>40 MHz</w:t>
            </w:r>
          </w:p>
        </w:tc>
        <w:tc>
          <w:tcPr>
            <w:tcW w:w="392" w:type="pct"/>
            <w:shd w:val="clear" w:color="auto" w:fill="auto"/>
            <w:tcMar>
              <w:top w:w="15" w:type="dxa"/>
              <w:left w:w="81" w:type="dxa"/>
              <w:bottom w:w="0" w:type="dxa"/>
              <w:right w:w="81" w:type="dxa"/>
            </w:tcMar>
            <w:vAlign w:val="center"/>
            <w:hideMark/>
          </w:tcPr>
          <w:p w14:paraId="7B010D28" w14:textId="77777777" w:rsidR="0097072E" w:rsidRPr="00414DAE" w:rsidRDefault="0097072E" w:rsidP="00351147">
            <w:pPr>
              <w:pStyle w:val="TAH"/>
            </w:pPr>
            <w:r w:rsidRPr="00414DAE">
              <w:t>50 MHz</w:t>
            </w:r>
          </w:p>
        </w:tc>
        <w:tc>
          <w:tcPr>
            <w:tcW w:w="391" w:type="pct"/>
            <w:shd w:val="clear" w:color="auto" w:fill="auto"/>
            <w:tcMar>
              <w:top w:w="15" w:type="dxa"/>
              <w:left w:w="81" w:type="dxa"/>
              <w:bottom w:w="0" w:type="dxa"/>
              <w:right w:w="81" w:type="dxa"/>
            </w:tcMar>
            <w:vAlign w:val="center"/>
            <w:hideMark/>
          </w:tcPr>
          <w:p w14:paraId="7262A599" w14:textId="77777777" w:rsidR="0097072E" w:rsidRPr="00414DAE" w:rsidRDefault="0097072E" w:rsidP="00351147">
            <w:pPr>
              <w:pStyle w:val="TAH"/>
            </w:pPr>
            <w:r w:rsidRPr="00414DAE">
              <w:t>60 MHz</w:t>
            </w:r>
          </w:p>
        </w:tc>
        <w:tc>
          <w:tcPr>
            <w:tcW w:w="392" w:type="pct"/>
            <w:shd w:val="clear" w:color="auto" w:fill="auto"/>
            <w:tcMar>
              <w:top w:w="15" w:type="dxa"/>
              <w:left w:w="81" w:type="dxa"/>
              <w:bottom w:w="0" w:type="dxa"/>
              <w:right w:w="81" w:type="dxa"/>
            </w:tcMar>
            <w:vAlign w:val="center"/>
            <w:hideMark/>
          </w:tcPr>
          <w:p w14:paraId="4D77D857" w14:textId="77777777" w:rsidR="0097072E" w:rsidRPr="00414DAE" w:rsidRDefault="0097072E" w:rsidP="00351147">
            <w:pPr>
              <w:pStyle w:val="TAH"/>
            </w:pPr>
            <w:r w:rsidRPr="00414DAE">
              <w:t>80 MHz</w:t>
            </w:r>
          </w:p>
        </w:tc>
        <w:tc>
          <w:tcPr>
            <w:tcW w:w="391" w:type="pct"/>
            <w:vAlign w:val="center"/>
          </w:tcPr>
          <w:p w14:paraId="09B361E4" w14:textId="77777777" w:rsidR="0097072E" w:rsidRPr="00414DAE" w:rsidRDefault="0097072E" w:rsidP="00351147">
            <w:pPr>
              <w:pStyle w:val="TAH"/>
            </w:pPr>
            <w:r w:rsidRPr="00414DAE">
              <w:t>90 MHz</w:t>
            </w:r>
          </w:p>
        </w:tc>
        <w:tc>
          <w:tcPr>
            <w:tcW w:w="392" w:type="pct"/>
            <w:shd w:val="clear" w:color="auto" w:fill="auto"/>
            <w:tcMar>
              <w:top w:w="15" w:type="dxa"/>
              <w:left w:w="81" w:type="dxa"/>
              <w:bottom w:w="0" w:type="dxa"/>
              <w:right w:w="81" w:type="dxa"/>
            </w:tcMar>
            <w:vAlign w:val="center"/>
            <w:hideMark/>
          </w:tcPr>
          <w:p w14:paraId="41BF2AF7" w14:textId="77777777" w:rsidR="0097072E" w:rsidRPr="00414DAE" w:rsidRDefault="0097072E" w:rsidP="00351147">
            <w:pPr>
              <w:pStyle w:val="TAH"/>
            </w:pPr>
            <w:r w:rsidRPr="00414DAE">
              <w:t>100 MHz</w:t>
            </w:r>
          </w:p>
        </w:tc>
      </w:tr>
      <w:tr w:rsidR="0097072E" w:rsidRPr="00414DAE" w14:paraId="77F8E9E5" w14:textId="77777777" w:rsidTr="00351147">
        <w:trPr>
          <w:trHeight w:val="219"/>
        </w:trPr>
        <w:tc>
          <w:tcPr>
            <w:tcW w:w="302" w:type="pct"/>
            <w:shd w:val="clear" w:color="auto" w:fill="auto"/>
            <w:tcMar>
              <w:top w:w="15" w:type="dxa"/>
              <w:left w:w="81" w:type="dxa"/>
              <w:bottom w:w="0" w:type="dxa"/>
              <w:right w:w="81" w:type="dxa"/>
            </w:tcMar>
            <w:vAlign w:val="center"/>
            <w:hideMark/>
          </w:tcPr>
          <w:p w14:paraId="78B80643" w14:textId="77777777" w:rsidR="0097072E" w:rsidRPr="00414DAE" w:rsidRDefault="0097072E" w:rsidP="00351147">
            <w:pPr>
              <w:pStyle w:val="TAC"/>
            </w:pPr>
            <w:r w:rsidRPr="00414DAE">
              <w:t>15</w:t>
            </w:r>
          </w:p>
        </w:tc>
        <w:tc>
          <w:tcPr>
            <w:tcW w:w="391" w:type="pct"/>
            <w:shd w:val="clear" w:color="auto" w:fill="auto"/>
            <w:tcMar>
              <w:top w:w="15" w:type="dxa"/>
              <w:left w:w="81" w:type="dxa"/>
              <w:bottom w:w="0" w:type="dxa"/>
              <w:right w:w="81" w:type="dxa"/>
            </w:tcMar>
            <w:vAlign w:val="center"/>
          </w:tcPr>
          <w:p w14:paraId="46D52E80" w14:textId="77777777" w:rsidR="0097072E" w:rsidRPr="00414DAE" w:rsidRDefault="0097072E" w:rsidP="00351147">
            <w:pPr>
              <w:pStyle w:val="TAC"/>
            </w:pPr>
            <w:r w:rsidRPr="00414DAE">
              <w:t>242.5</w:t>
            </w:r>
          </w:p>
        </w:tc>
        <w:tc>
          <w:tcPr>
            <w:tcW w:w="392" w:type="pct"/>
            <w:shd w:val="clear" w:color="auto" w:fill="auto"/>
            <w:tcMar>
              <w:top w:w="15" w:type="dxa"/>
              <w:left w:w="81" w:type="dxa"/>
              <w:bottom w:w="0" w:type="dxa"/>
              <w:right w:w="81" w:type="dxa"/>
            </w:tcMar>
            <w:vAlign w:val="center"/>
          </w:tcPr>
          <w:p w14:paraId="7B65CF92" w14:textId="77777777" w:rsidR="0097072E" w:rsidRPr="00414DAE" w:rsidRDefault="0097072E" w:rsidP="00351147">
            <w:pPr>
              <w:pStyle w:val="TAC"/>
            </w:pPr>
            <w:r w:rsidRPr="00414DAE">
              <w:t>312.5</w:t>
            </w:r>
          </w:p>
        </w:tc>
        <w:tc>
          <w:tcPr>
            <w:tcW w:w="391" w:type="pct"/>
            <w:shd w:val="clear" w:color="auto" w:fill="auto"/>
            <w:tcMar>
              <w:top w:w="15" w:type="dxa"/>
              <w:left w:w="81" w:type="dxa"/>
              <w:bottom w:w="0" w:type="dxa"/>
              <w:right w:w="81" w:type="dxa"/>
            </w:tcMar>
            <w:vAlign w:val="center"/>
          </w:tcPr>
          <w:p w14:paraId="0BD90389" w14:textId="77777777" w:rsidR="0097072E" w:rsidRPr="00414DAE" w:rsidRDefault="0097072E" w:rsidP="00351147">
            <w:pPr>
              <w:pStyle w:val="TAC"/>
            </w:pPr>
            <w:r w:rsidRPr="00414DAE">
              <w:t>382.5</w:t>
            </w:r>
          </w:p>
        </w:tc>
        <w:tc>
          <w:tcPr>
            <w:tcW w:w="392" w:type="pct"/>
            <w:shd w:val="clear" w:color="auto" w:fill="auto"/>
            <w:tcMar>
              <w:top w:w="15" w:type="dxa"/>
              <w:left w:w="81" w:type="dxa"/>
              <w:bottom w:w="0" w:type="dxa"/>
              <w:right w:w="81" w:type="dxa"/>
            </w:tcMar>
            <w:vAlign w:val="center"/>
          </w:tcPr>
          <w:p w14:paraId="1F695D0A" w14:textId="77777777" w:rsidR="0097072E" w:rsidRPr="00414DAE" w:rsidRDefault="0097072E" w:rsidP="00351147">
            <w:pPr>
              <w:pStyle w:val="TAC"/>
            </w:pPr>
            <w:r w:rsidRPr="00414DAE">
              <w:t>452.5</w:t>
            </w:r>
          </w:p>
        </w:tc>
        <w:tc>
          <w:tcPr>
            <w:tcW w:w="391" w:type="pct"/>
            <w:shd w:val="clear" w:color="auto" w:fill="auto"/>
            <w:tcMar>
              <w:top w:w="15" w:type="dxa"/>
              <w:left w:w="81" w:type="dxa"/>
              <w:bottom w:w="0" w:type="dxa"/>
              <w:right w:w="81" w:type="dxa"/>
            </w:tcMar>
            <w:vAlign w:val="center"/>
          </w:tcPr>
          <w:p w14:paraId="2822F9F0" w14:textId="77777777" w:rsidR="0097072E" w:rsidRPr="00414DAE" w:rsidRDefault="0097072E" w:rsidP="00351147">
            <w:pPr>
              <w:pStyle w:val="TAC"/>
            </w:pPr>
            <w:r w:rsidRPr="00414DAE">
              <w:t>522.5</w:t>
            </w:r>
          </w:p>
        </w:tc>
        <w:tc>
          <w:tcPr>
            <w:tcW w:w="392" w:type="pct"/>
          </w:tcPr>
          <w:p w14:paraId="60DB3398" w14:textId="77777777" w:rsidR="0097072E" w:rsidRPr="00414DAE" w:rsidRDefault="0097072E" w:rsidP="00351147">
            <w:pPr>
              <w:pStyle w:val="TAC"/>
            </w:pPr>
            <w:r w:rsidRPr="00414DAE">
              <w:t>592.5</w:t>
            </w:r>
          </w:p>
        </w:tc>
        <w:tc>
          <w:tcPr>
            <w:tcW w:w="391" w:type="pct"/>
            <w:shd w:val="clear" w:color="auto" w:fill="auto"/>
            <w:tcMar>
              <w:top w:w="15" w:type="dxa"/>
              <w:left w:w="81" w:type="dxa"/>
              <w:bottom w:w="0" w:type="dxa"/>
              <w:right w:w="81" w:type="dxa"/>
            </w:tcMar>
            <w:vAlign w:val="center"/>
          </w:tcPr>
          <w:p w14:paraId="54572C07" w14:textId="77777777" w:rsidR="0097072E" w:rsidRPr="00414DAE" w:rsidRDefault="0097072E" w:rsidP="00351147">
            <w:pPr>
              <w:pStyle w:val="TAC"/>
            </w:pPr>
            <w:r w:rsidRPr="00414DAE">
              <w:t>552.5</w:t>
            </w:r>
          </w:p>
        </w:tc>
        <w:tc>
          <w:tcPr>
            <w:tcW w:w="392" w:type="pct"/>
            <w:shd w:val="clear" w:color="auto" w:fill="auto"/>
            <w:tcMar>
              <w:top w:w="15" w:type="dxa"/>
              <w:left w:w="81" w:type="dxa"/>
              <w:bottom w:w="0" w:type="dxa"/>
              <w:right w:w="81" w:type="dxa"/>
            </w:tcMar>
            <w:vAlign w:val="center"/>
          </w:tcPr>
          <w:p w14:paraId="2F40F245" w14:textId="77777777" w:rsidR="0097072E" w:rsidRPr="00414DAE" w:rsidRDefault="0097072E" w:rsidP="00351147">
            <w:pPr>
              <w:pStyle w:val="TAC"/>
            </w:pPr>
            <w:r w:rsidRPr="00414DAE">
              <w:t>692.5</w:t>
            </w:r>
          </w:p>
        </w:tc>
        <w:tc>
          <w:tcPr>
            <w:tcW w:w="391" w:type="pct"/>
            <w:shd w:val="clear" w:color="auto" w:fill="auto"/>
            <w:tcMar>
              <w:top w:w="15" w:type="dxa"/>
              <w:left w:w="81" w:type="dxa"/>
              <w:bottom w:w="0" w:type="dxa"/>
              <w:right w:w="81" w:type="dxa"/>
            </w:tcMar>
            <w:vAlign w:val="center"/>
            <w:hideMark/>
          </w:tcPr>
          <w:p w14:paraId="699AFFDB" w14:textId="77777777" w:rsidR="0097072E" w:rsidRPr="00414DAE" w:rsidRDefault="0097072E" w:rsidP="00351147">
            <w:pPr>
              <w:pStyle w:val="TAC"/>
            </w:pPr>
            <w:r w:rsidRPr="00414DAE">
              <w:t>N/A</w:t>
            </w:r>
          </w:p>
        </w:tc>
        <w:tc>
          <w:tcPr>
            <w:tcW w:w="392" w:type="pct"/>
            <w:shd w:val="clear" w:color="auto" w:fill="auto"/>
            <w:tcMar>
              <w:top w:w="15" w:type="dxa"/>
              <w:left w:w="81" w:type="dxa"/>
              <w:bottom w:w="0" w:type="dxa"/>
              <w:right w:w="81" w:type="dxa"/>
            </w:tcMar>
            <w:vAlign w:val="center"/>
            <w:hideMark/>
          </w:tcPr>
          <w:p w14:paraId="7A5656A3" w14:textId="77777777" w:rsidR="0097072E" w:rsidRPr="00414DAE" w:rsidRDefault="0097072E" w:rsidP="00351147">
            <w:pPr>
              <w:pStyle w:val="TAC"/>
            </w:pPr>
            <w:r w:rsidRPr="00414DAE">
              <w:t>N/A</w:t>
            </w:r>
          </w:p>
        </w:tc>
        <w:tc>
          <w:tcPr>
            <w:tcW w:w="391" w:type="pct"/>
            <w:vAlign w:val="center"/>
          </w:tcPr>
          <w:p w14:paraId="5D46A280" w14:textId="77777777" w:rsidR="0097072E" w:rsidRPr="00414DAE" w:rsidRDefault="0097072E" w:rsidP="00351147">
            <w:pPr>
              <w:pStyle w:val="TAC"/>
            </w:pPr>
            <w:r w:rsidRPr="00414DAE">
              <w:t>N/A</w:t>
            </w:r>
          </w:p>
        </w:tc>
        <w:tc>
          <w:tcPr>
            <w:tcW w:w="392" w:type="pct"/>
            <w:shd w:val="clear" w:color="auto" w:fill="auto"/>
            <w:tcMar>
              <w:top w:w="15" w:type="dxa"/>
              <w:left w:w="81" w:type="dxa"/>
              <w:bottom w:w="0" w:type="dxa"/>
              <w:right w:w="81" w:type="dxa"/>
            </w:tcMar>
            <w:vAlign w:val="center"/>
            <w:hideMark/>
          </w:tcPr>
          <w:p w14:paraId="79D4E8EE" w14:textId="77777777" w:rsidR="0097072E" w:rsidRPr="00414DAE" w:rsidRDefault="0097072E" w:rsidP="00351147">
            <w:pPr>
              <w:pStyle w:val="TAC"/>
            </w:pPr>
            <w:r w:rsidRPr="00414DAE">
              <w:t>N/A</w:t>
            </w:r>
          </w:p>
        </w:tc>
      </w:tr>
      <w:tr w:rsidR="0097072E" w:rsidRPr="00414DAE" w14:paraId="6321E116" w14:textId="77777777" w:rsidTr="00351147">
        <w:trPr>
          <w:trHeight w:val="230"/>
        </w:trPr>
        <w:tc>
          <w:tcPr>
            <w:tcW w:w="302" w:type="pct"/>
            <w:shd w:val="clear" w:color="auto" w:fill="auto"/>
            <w:tcMar>
              <w:top w:w="15" w:type="dxa"/>
              <w:left w:w="81" w:type="dxa"/>
              <w:bottom w:w="0" w:type="dxa"/>
              <w:right w:w="81" w:type="dxa"/>
            </w:tcMar>
            <w:vAlign w:val="center"/>
            <w:hideMark/>
          </w:tcPr>
          <w:p w14:paraId="2331E4B6" w14:textId="77777777" w:rsidR="0097072E" w:rsidRPr="00414DAE" w:rsidRDefault="0097072E" w:rsidP="00351147">
            <w:pPr>
              <w:pStyle w:val="TAC"/>
            </w:pPr>
            <w:r w:rsidRPr="00414DAE">
              <w:t>30</w:t>
            </w:r>
          </w:p>
        </w:tc>
        <w:tc>
          <w:tcPr>
            <w:tcW w:w="391" w:type="pct"/>
            <w:shd w:val="clear" w:color="auto" w:fill="auto"/>
            <w:tcMar>
              <w:top w:w="15" w:type="dxa"/>
              <w:left w:w="81" w:type="dxa"/>
              <w:bottom w:w="0" w:type="dxa"/>
              <w:right w:w="81" w:type="dxa"/>
            </w:tcMar>
            <w:vAlign w:val="center"/>
          </w:tcPr>
          <w:p w14:paraId="4C1FF0F5" w14:textId="77777777" w:rsidR="0097072E" w:rsidRPr="00414DAE" w:rsidRDefault="0097072E" w:rsidP="00351147">
            <w:pPr>
              <w:pStyle w:val="TAC"/>
            </w:pPr>
            <w:r w:rsidRPr="00414DAE">
              <w:t>505</w:t>
            </w:r>
          </w:p>
        </w:tc>
        <w:tc>
          <w:tcPr>
            <w:tcW w:w="392" w:type="pct"/>
            <w:shd w:val="clear" w:color="auto" w:fill="auto"/>
            <w:tcMar>
              <w:top w:w="15" w:type="dxa"/>
              <w:left w:w="81" w:type="dxa"/>
              <w:bottom w:w="0" w:type="dxa"/>
              <w:right w:w="81" w:type="dxa"/>
            </w:tcMar>
            <w:vAlign w:val="center"/>
          </w:tcPr>
          <w:p w14:paraId="006BD4DA" w14:textId="77777777" w:rsidR="0097072E" w:rsidRPr="00414DAE" w:rsidRDefault="0097072E" w:rsidP="00351147">
            <w:pPr>
              <w:pStyle w:val="TAC"/>
            </w:pPr>
            <w:r w:rsidRPr="00414DAE">
              <w:t>665</w:t>
            </w:r>
          </w:p>
        </w:tc>
        <w:tc>
          <w:tcPr>
            <w:tcW w:w="391" w:type="pct"/>
            <w:shd w:val="clear" w:color="auto" w:fill="auto"/>
            <w:tcMar>
              <w:top w:w="15" w:type="dxa"/>
              <w:left w:w="81" w:type="dxa"/>
              <w:bottom w:w="0" w:type="dxa"/>
              <w:right w:w="81" w:type="dxa"/>
            </w:tcMar>
            <w:vAlign w:val="center"/>
          </w:tcPr>
          <w:p w14:paraId="43D16D9C" w14:textId="77777777" w:rsidR="0097072E" w:rsidRPr="00414DAE" w:rsidRDefault="0097072E" w:rsidP="00351147">
            <w:pPr>
              <w:pStyle w:val="TAC"/>
            </w:pPr>
            <w:r w:rsidRPr="00414DAE">
              <w:t>645</w:t>
            </w:r>
          </w:p>
        </w:tc>
        <w:tc>
          <w:tcPr>
            <w:tcW w:w="392" w:type="pct"/>
            <w:shd w:val="clear" w:color="auto" w:fill="auto"/>
            <w:tcMar>
              <w:top w:w="15" w:type="dxa"/>
              <w:left w:w="81" w:type="dxa"/>
              <w:bottom w:w="0" w:type="dxa"/>
              <w:right w:w="81" w:type="dxa"/>
            </w:tcMar>
            <w:vAlign w:val="center"/>
          </w:tcPr>
          <w:p w14:paraId="5466DF46" w14:textId="77777777" w:rsidR="0097072E" w:rsidRPr="00414DAE" w:rsidRDefault="0097072E" w:rsidP="00351147">
            <w:pPr>
              <w:pStyle w:val="TAC"/>
            </w:pPr>
            <w:r w:rsidRPr="00414DAE">
              <w:t>805</w:t>
            </w:r>
          </w:p>
        </w:tc>
        <w:tc>
          <w:tcPr>
            <w:tcW w:w="391" w:type="pct"/>
            <w:shd w:val="clear" w:color="auto" w:fill="auto"/>
            <w:tcMar>
              <w:top w:w="15" w:type="dxa"/>
              <w:left w:w="81" w:type="dxa"/>
              <w:bottom w:w="0" w:type="dxa"/>
              <w:right w:w="81" w:type="dxa"/>
            </w:tcMar>
            <w:vAlign w:val="center"/>
          </w:tcPr>
          <w:p w14:paraId="0990716D" w14:textId="77777777" w:rsidR="0097072E" w:rsidRPr="00414DAE" w:rsidRDefault="0097072E" w:rsidP="00351147">
            <w:pPr>
              <w:pStyle w:val="TAC"/>
            </w:pPr>
            <w:r w:rsidRPr="00414DAE">
              <w:t>785</w:t>
            </w:r>
          </w:p>
        </w:tc>
        <w:tc>
          <w:tcPr>
            <w:tcW w:w="392" w:type="pct"/>
          </w:tcPr>
          <w:p w14:paraId="055C12C8" w14:textId="77777777" w:rsidR="0097072E" w:rsidRPr="00414DAE" w:rsidRDefault="0097072E" w:rsidP="00351147">
            <w:pPr>
              <w:pStyle w:val="TAC"/>
              <w:rPr>
                <w:rFonts w:eastAsia="Calibri"/>
              </w:rPr>
            </w:pPr>
            <w:r w:rsidRPr="00414DAE">
              <w:rPr>
                <w:rFonts w:eastAsia="Calibri"/>
              </w:rPr>
              <w:t>945</w:t>
            </w:r>
          </w:p>
        </w:tc>
        <w:tc>
          <w:tcPr>
            <w:tcW w:w="391" w:type="pct"/>
            <w:shd w:val="clear" w:color="auto" w:fill="auto"/>
            <w:tcMar>
              <w:top w:w="15" w:type="dxa"/>
              <w:left w:w="81" w:type="dxa"/>
              <w:bottom w:w="0" w:type="dxa"/>
              <w:right w:w="81" w:type="dxa"/>
            </w:tcMar>
            <w:vAlign w:val="center"/>
          </w:tcPr>
          <w:p w14:paraId="38492E44" w14:textId="77777777" w:rsidR="0097072E" w:rsidRPr="00414DAE" w:rsidRDefault="0097072E" w:rsidP="00351147">
            <w:pPr>
              <w:pStyle w:val="TAC"/>
            </w:pPr>
            <w:r w:rsidRPr="00414DAE">
              <w:rPr>
                <w:rFonts w:eastAsia="Calibri"/>
              </w:rPr>
              <w:t>905</w:t>
            </w:r>
          </w:p>
        </w:tc>
        <w:tc>
          <w:tcPr>
            <w:tcW w:w="392" w:type="pct"/>
            <w:shd w:val="clear" w:color="auto" w:fill="auto"/>
            <w:tcMar>
              <w:top w:w="15" w:type="dxa"/>
              <w:left w:w="81" w:type="dxa"/>
              <w:bottom w:w="0" w:type="dxa"/>
              <w:right w:w="81" w:type="dxa"/>
            </w:tcMar>
            <w:vAlign w:val="center"/>
          </w:tcPr>
          <w:p w14:paraId="6A80B59A" w14:textId="77777777" w:rsidR="0097072E" w:rsidRPr="00414DAE" w:rsidRDefault="0097072E" w:rsidP="00351147">
            <w:pPr>
              <w:pStyle w:val="TAC"/>
            </w:pPr>
            <w:r w:rsidRPr="00414DAE">
              <w:rPr>
                <w:rFonts w:eastAsia="Calibri"/>
              </w:rPr>
              <w:t>1045</w:t>
            </w:r>
          </w:p>
        </w:tc>
        <w:tc>
          <w:tcPr>
            <w:tcW w:w="391" w:type="pct"/>
            <w:shd w:val="clear" w:color="auto" w:fill="auto"/>
            <w:tcMar>
              <w:top w:w="15" w:type="dxa"/>
              <w:left w:w="81" w:type="dxa"/>
              <w:bottom w:w="0" w:type="dxa"/>
              <w:right w:w="81" w:type="dxa"/>
            </w:tcMar>
            <w:vAlign w:val="center"/>
          </w:tcPr>
          <w:p w14:paraId="66C3B90C" w14:textId="77777777" w:rsidR="0097072E" w:rsidRPr="00414DAE" w:rsidRDefault="0097072E" w:rsidP="00351147">
            <w:pPr>
              <w:pStyle w:val="TAC"/>
            </w:pPr>
            <w:r w:rsidRPr="00414DAE">
              <w:rPr>
                <w:rFonts w:eastAsia="Calibri"/>
              </w:rPr>
              <w:t>825</w:t>
            </w:r>
          </w:p>
        </w:tc>
        <w:tc>
          <w:tcPr>
            <w:tcW w:w="392" w:type="pct"/>
            <w:shd w:val="clear" w:color="auto" w:fill="auto"/>
            <w:tcMar>
              <w:top w:w="15" w:type="dxa"/>
              <w:left w:w="81" w:type="dxa"/>
              <w:bottom w:w="0" w:type="dxa"/>
              <w:right w:w="81" w:type="dxa"/>
            </w:tcMar>
            <w:vAlign w:val="center"/>
          </w:tcPr>
          <w:p w14:paraId="7D9EF4F8" w14:textId="77777777" w:rsidR="0097072E" w:rsidRPr="00414DAE" w:rsidRDefault="0097072E" w:rsidP="00351147">
            <w:pPr>
              <w:pStyle w:val="TAC"/>
            </w:pPr>
            <w:r w:rsidRPr="00414DAE">
              <w:rPr>
                <w:rFonts w:eastAsia="Calibri"/>
              </w:rPr>
              <w:t>925</w:t>
            </w:r>
          </w:p>
        </w:tc>
        <w:tc>
          <w:tcPr>
            <w:tcW w:w="391" w:type="pct"/>
          </w:tcPr>
          <w:p w14:paraId="5628D8B6" w14:textId="77777777" w:rsidR="0097072E" w:rsidRPr="00414DAE" w:rsidRDefault="0097072E" w:rsidP="00351147">
            <w:pPr>
              <w:pStyle w:val="TAC"/>
              <w:rPr>
                <w:rFonts w:eastAsia="Calibri"/>
              </w:rPr>
            </w:pPr>
            <w:r w:rsidRPr="00414DAE">
              <w:rPr>
                <w:rFonts w:eastAsia="Calibri"/>
              </w:rPr>
              <w:t>885</w:t>
            </w:r>
          </w:p>
        </w:tc>
        <w:tc>
          <w:tcPr>
            <w:tcW w:w="392" w:type="pct"/>
            <w:shd w:val="clear" w:color="auto" w:fill="auto"/>
            <w:tcMar>
              <w:top w:w="15" w:type="dxa"/>
              <w:left w:w="81" w:type="dxa"/>
              <w:bottom w:w="0" w:type="dxa"/>
              <w:right w:w="81" w:type="dxa"/>
            </w:tcMar>
            <w:vAlign w:val="center"/>
          </w:tcPr>
          <w:p w14:paraId="780E9974" w14:textId="77777777" w:rsidR="0097072E" w:rsidRPr="00414DAE" w:rsidRDefault="0097072E" w:rsidP="00351147">
            <w:pPr>
              <w:pStyle w:val="TAC"/>
            </w:pPr>
            <w:r w:rsidRPr="00414DAE">
              <w:rPr>
                <w:rFonts w:eastAsia="Calibri"/>
              </w:rPr>
              <w:t>845</w:t>
            </w:r>
          </w:p>
        </w:tc>
      </w:tr>
      <w:tr w:rsidR="0097072E" w:rsidRPr="00414DAE" w14:paraId="1A025C47" w14:textId="77777777" w:rsidTr="00351147">
        <w:trPr>
          <w:trHeight w:val="230"/>
        </w:trPr>
        <w:tc>
          <w:tcPr>
            <w:tcW w:w="302" w:type="pct"/>
            <w:shd w:val="clear" w:color="auto" w:fill="auto"/>
            <w:tcMar>
              <w:top w:w="15" w:type="dxa"/>
              <w:left w:w="81" w:type="dxa"/>
              <w:bottom w:w="0" w:type="dxa"/>
              <w:right w:w="81" w:type="dxa"/>
            </w:tcMar>
            <w:vAlign w:val="center"/>
            <w:hideMark/>
          </w:tcPr>
          <w:p w14:paraId="25C50334" w14:textId="77777777" w:rsidR="0097072E" w:rsidRPr="00414DAE" w:rsidRDefault="0097072E" w:rsidP="00351147">
            <w:pPr>
              <w:pStyle w:val="TAC"/>
            </w:pPr>
            <w:r w:rsidRPr="00414DAE">
              <w:t>60</w:t>
            </w:r>
          </w:p>
        </w:tc>
        <w:tc>
          <w:tcPr>
            <w:tcW w:w="391" w:type="pct"/>
            <w:shd w:val="clear" w:color="auto" w:fill="auto"/>
            <w:tcMar>
              <w:top w:w="15" w:type="dxa"/>
              <w:left w:w="81" w:type="dxa"/>
              <w:bottom w:w="0" w:type="dxa"/>
              <w:right w:w="81" w:type="dxa"/>
            </w:tcMar>
            <w:vAlign w:val="center"/>
            <w:hideMark/>
          </w:tcPr>
          <w:p w14:paraId="12189F2F" w14:textId="77777777" w:rsidR="0097072E" w:rsidRPr="00414DAE" w:rsidRDefault="0097072E" w:rsidP="00351147">
            <w:pPr>
              <w:pStyle w:val="TAC"/>
            </w:pPr>
            <w:r w:rsidRPr="00414DAE">
              <w:t>N/A</w:t>
            </w:r>
          </w:p>
        </w:tc>
        <w:tc>
          <w:tcPr>
            <w:tcW w:w="392" w:type="pct"/>
            <w:shd w:val="clear" w:color="auto" w:fill="auto"/>
            <w:tcMar>
              <w:top w:w="15" w:type="dxa"/>
              <w:left w:w="81" w:type="dxa"/>
              <w:bottom w:w="0" w:type="dxa"/>
              <w:right w:w="81" w:type="dxa"/>
            </w:tcMar>
            <w:vAlign w:val="center"/>
          </w:tcPr>
          <w:p w14:paraId="559F97E1" w14:textId="77777777" w:rsidR="0097072E" w:rsidRPr="00414DAE" w:rsidRDefault="0097072E" w:rsidP="00351147">
            <w:pPr>
              <w:pStyle w:val="TAC"/>
            </w:pPr>
            <w:r w:rsidRPr="00414DAE">
              <w:t>1010</w:t>
            </w:r>
          </w:p>
        </w:tc>
        <w:tc>
          <w:tcPr>
            <w:tcW w:w="391" w:type="pct"/>
            <w:shd w:val="clear" w:color="auto" w:fill="auto"/>
            <w:tcMar>
              <w:top w:w="15" w:type="dxa"/>
              <w:left w:w="81" w:type="dxa"/>
              <w:bottom w:w="0" w:type="dxa"/>
              <w:right w:w="81" w:type="dxa"/>
            </w:tcMar>
            <w:vAlign w:val="center"/>
          </w:tcPr>
          <w:p w14:paraId="6692695A" w14:textId="77777777" w:rsidR="0097072E" w:rsidRPr="00414DAE" w:rsidRDefault="0097072E" w:rsidP="00351147">
            <w:pPr>
              <w:pStyle w:val="TAC"/>
            </w:pPr>
            <w:r w:rsidRPr="00414DAE">
              <w:t>990</w:t>
            </w:r>
          </w:p>
        </w:tc>
        <w:tc>
          <w:tcPr>
            <w:tcW w:w="392" w:type="pct"/>
            <w:shd w:val="clear" w:color="auto" w:fill="auto"/>
            <w:tcMar>
              <w:top w:w="15" w:type="dxa"/>
              <w:left w:w="81" w:type="dxa"/>
              <w:bottom w:w="0" w:type="dxa"/>
              <w:right w:w="81" w:type="dxa"/>
            </w:tcMar>
            <w:vAlign w:val="center"/>
          </w:tcPr>
          <w:p w14:paraId="19E0A100" w14:textId="77777777" w:rsidR="0097072E" w:rsidRPr="00414DAE" w:rsidRDefault="0097072E" w:rsidP="00351147">
            <w:pPr>
              <w:pStyle w:val="TAC"/>
            </w:pPr>
            <w:r w:rsidRPr="00414DAE">
              <w:t>1330</w:t>
            </w:r>
          </w:p>
        </w:tc>
        <w:tc>
          <w:tcPr>
            <w:tcW w:w="391" w:type="pct"/>
            <w:shd w:val="clear" w:color="auto" w:fill="auto"/>
            <w:tcMar>
              <w:top w:w="15" w:type="dxa"/>
              <w:left w:w="81" w:type="dxa"/>
              <w:bottom w:w="0" w:type="dxa"/>
              <w:right w:w="81" w:type="dxa"/>
            </w:tcMar>
            <w:vAlign w:val="center"/>
          </w:tcPr>
          <w:p w14:paraId="598D47C7" w14:textId="77777777" w:rsidR="0097072E" w:rsidRPr="00414DAE" w:rsidRDefault="0097072E" w:rsidP="00351147">
            <w:pPr>
              <w:pStyle w:val="TAC"/>
            </w:pPr>
            <w:r w:rsidRPr="00414DAE">
              <w:t>1310</w:t>
            </w:r>
          </w:p>
        </w:tc>
        <w:tc>
          <w:tcPr>
            <w:tcW w:w="392" w:type="pct"/>
          </w:tcPr>
          <w:p w14:paraId="1C0781C6" w14:textId="77777777" w:rsidR="0097072E" w:rsidRPr="00414DAE" w:rsidRDefault="0097072E" w:rsidP="00351147">
            <w:pPr>
              <w:pStyle w:val="TAC"/>
              <w:rPr>
                <w:rFonts w:eastAsia="Calibri"/>
              </w:rPr>
            </w:pPr>
            <w:r w:rsidRPr="00414DAE">
              <w:rPr>
                <w:rFonts w:eastAsia="Calibri"/>
              </w:rPr>
              <w:t>1290</w:t>
            </w:r>
          </w:p>
        </w:tc>
        <w:tc>
          <w:tcPr>
            <w:tcW w:w="391" w:type="pct"/>
            <w:shd w:val="clear" w:color="auto" w:fill="auto"/>
            <w:tcMar>
              <w:top w:w="15" w:type="dxa"/>
              <w:left w:w="81" w:type="dxa"/>
              <w:bottom w:w="0" w:type="dxa"/>
              <w:right w:w="81" w:type="dxa"/>
            </w:tcMar>
            <w:vAlign w:val="center"/>
          </w:tcPr>
          <w:p w14:paraId="670A52A8" w14:textId="77777777" w:rsidR="0097072E" w:rsidRPr="00414DAE" w:rsidRDefault="0097072E" w:rsidP="00351147">
            <w:pPr>
              <w:pStyle w:val="TAC"/>
            </w:pPr>
            <w:r w:rsidRPr="00414DAE">
              <w:rPr>
                <w:rFonts w:eastAsia="Calibri"/>
              </w:rPr>
              <w:t>1610</w:t>
            </w:r>
          </w:p>
        </w:tc>
        <w:tc>
          <w:tcPr>
            <w:tcW w:w="392" w:type="pct"/>
            <w:shd w:val="clear" w:color="auto" w:fill="auto"/>
            <w:tcMar>
              <w:top w:w="15" w:type="dxa"/>
              <w:left w:w="81" w:type="dxa"/>
              <w:bottom w:w="0" w:type="dxa"/>
              <w:right w:w="81" w:type="dxa"/>
            </w:tcMar>
            <w:vAlign w:val="center"/>
          </w:tcPr>
          <w:p w14:paraId="1211ED0C" w14:textId="77777777" w:rsidR="0097072E" w:rsidRPr="00414DAE" w:rsidRDefault="0097072E" w:rsidP="00351147">
            <w:pPr>
              <w:pStyle w:val="TAC"/>
            </w:pPr>
            <w:r w:rsidRPr="00414DAE">
              <w:rPr>
                <w:rFonts w:eastAsia="Calibri"/>
              </w:rPr>
              <w:t>1570</w:t>
            </w:r>
          </w:p>
        </w:tc>
        <w:tc>
          <w:tcPr>
            <w:tcW w:w="391" w:type="pct"/>
            <w:shd w:val="clear" w:color="auto" w:fill="auto"/>
            <w:tcMar>
              <w:top w:w="15" w:type="dxa"/>
              <w:left w:w="81" w:type="dxa"/>
              <w:bottom w:w="0" w:type="dxa"/>
              <w:right w:w="81" w:type="dxa"/>
            </w:tcMar>
            <w:vAlign w:val="center"/>
          </w:tcPr>
          <w:p w14:paraId="54BF9C0E" w14:textId="77777777" w:rsidR="0097072E" w:rsidRPr="00414DAE" w:rsidRDefault="0097072E" w:rsidP="00351147">
            <w:pPr>
              <w:pStyle w:val="TAC"/>
            </w:pPr>
            <w:r w:rsidRPr="00414DAE">
              <w:rPr>
                <w:rFonts w:eastAsia="Calibri"/>
              </w:rPr>
              <w:t>1530</w:t>
            </w:r>
          </w:p>
        </w:tc>
        <w:tc>
          <w:tcPr>
            <w:tcW w:w="392" w:type="pct"/>
            <w:shd w:val="clear" w:color="auto" w:fill="auto"/>
            <w:tcMar>
              <w:top w:w="15" w:type="dxa"/>
              <w:left w:w="81" w:type="dxa"/>
              <w:bottom w:w="0" w:type="dxa"/>
              <w:right w:w="81" w:type="dxa"/>
            </w:tcMar>
            <w:vAlign w:val="center"/>
          </w:tcPr>
          <w:p w14:paraId="55D2B5DA" w14:textId="77777777" w:rsidR="0097072E" w:rsidRPr="00414DAE" w:rsidRDefault="0097072E" w:rsidP="00351147">
            <w:pPr>
              <w:pStyle w:val="TAC"/>
            </w:pPr>
            <w:r w:rsidRPr="00414DAE">
              <w:rPr>
                <w:rFonts w:eastAsia="Calibri"/>
              </w:rPr>
              <w:t>1450</w:t>
            </w:r>
          </w:p>
        </w:tc>
        <w:tc>
          <w:tcPr>
            <w:tcW w:w="391" w:type="pct"/>
          </w:tcPr>
          <w:p w14:paraId="0F975433" w14:textId="77777777" w:rsidR="0097072E" w:rsidRPr="00414DAE" w:rsidRDefault="0097072E" w:rsidP="00351147">
            <w:pPr>
              <w:pStyle w:val="TAC"/>
              <w:rPr>
                <w:rFonts w:eastAsia="Calibri"/>
              </w:rPr>
            </w:pPr>
            <w:r w:rsidRPr="00414DAE">
              <w:rPr>
                <w:rFonts w:eastAsia="Calibri"/>
              </w:rPr>
              <w:t>1410</w:t>
            </w:r>
          </w:p>
        </w:tc>
        <w:tc>
          <w:tcPr>
            <w:tcW w:w="392" w:type="pct"/>
            <w:shd w:val="clear" w:color="auto" w:fill="auto"/>
            <w:tcMar>
              <w:top w:w="15" w:type="dxa"/>
              <w:left w:w="81" w:type="dxa"/>
              <w:bottom w:w="0" w:type="dxa"/>
              <w:right w:w="81" w:type="dxa"/>
            </w:tcMar>
            <w:vAlign w:val="center"/>
          </w:tcPr>
          <w:p w14:paraId="3B85E080" w14:textId="77777777" w:rsidR="0097072E" w:rsidRPr="00414DAE" w:rsidRDefault="0097072E" w:rsidP="00351147">
            <w:pPr>
              <w:pStyle w:val="TAC"/>
            </w:pPr>
            <w:r w:rsidRPr="00414DAE">
              <w:rPr>
                <w:rFonts w:eastAsia="Calibri"/>
              </w:rPr>
              <w:t>1370</w:t>
            </w:r>
          </w:p>
        </w:tc>
      </w:tr>
    </w:tbl>
    <w:p w14:paraId="721CA481" w14:textId="77777777" w:rsidR="00912D30" w:rsidRPr="00912D30" w:rsidRDefault="00912D30" w:rsidP="00912D30">
      <w:pPr>
        <w:rPr>
          <w:lang w:val="en-US"/>
        </w:rPr>
      </w:pPr>
    </w:p>
    <w:p w14:paraId="673DCBDA" w14:textId="2409A11C" w:rsidR="00E444E3" w:rsidRPr="00A10599" w:rsidRDefault="00A10599" w:rsidP="00A10599">
      <w:pPr>
        <w:rPr>
          <w:b/>
          <w:lang w:val="en-US"/>
        </w:rPr>
      </w:pPr>
      <w:r w:rsidRPr="00A10599">
        <w:rPr>
          <w:b/>
          <w:lang w:val="en-US"/>
        </w:rPr>
        <w:t xml:space="preserve">Proposal </w:t>
      </w:r>
      <w:r w:rsidR="00407829">
        <w:rPr>
          <w:b/>
          <w:lang w:val="en-US"/>
        </w:rPr>
        <w:t>2</w:t>
      </w:r>
      <w:r w:rsidR="00A10429">
        <w:rPr>
          <w:b/>
          <w:lang w:val="en-US"/>
        </w:rPr>
        <w:t>.</w:t>
      </w:r>
      <w:r w:rsidRPr="00A10599">
        <w:rPr>
          <w:b/>
          <w:lang w:val="en-US"/>
        </w:rPr>
        <w:t xml:space="preserve"> </w:t>
      </w:r>
      <w:r w:rsidR="00E444E3" w:rsidRPr="00A10599">
        <w:rPr>
          <w:b/>
          <w:lang w:val="en-US"/>
        </w:rPr>
        <w:t xml:space="preserve">Carrier guard bands when located away from the edge of the band are at least as large as </w:t>
      </w:r>
      <w:r w:rsidR="0097072E" w:rsidRPr="00A10599">
        <w:rPr>
          <w:b/>
          <w:lang w:val="en-US"/>
        </w:rPr>
        <w:t xml:space="preserve">NR guard bands from Table 5.3.3-1 of TS 38.101-1 </w:t>
      </w:r>
      <w:r w:rsidR="00E444E3" w:rsidRPr="00A10599">
        <w:rPr>
          <w:b/>
          <w:lang w:val="en-US"/>
        </w:rPr>
        <w:t xml:space="preserve">rounded up to the next PRB.  </w:t>
      </w:r>
    </w:p>
    <w:p w14:paraId="6740F348" w14:textId="535B2565" w:rsidR="0097072E" w:rsidRPr="0097072E" w:rsidRDefault="0097072E" w:rsidP="0097072E">
      <w:pPr>
        <w:rPr>
          <w:lang w:val="en-US"/>
        </w:rPr>
      </w:pPr>
      <w:r>
        <w:rPr>
          <w:lang w:val="en-US"/>
        </w:rPr>
        <w:t xml:space="preserve">Proposal </w:t>
      </w:r>
      <w:r w:rsidR="00A10599">
        <w:rPr>
          <w:lang w:val="en-US"/>
        </w:rPr>
        <w:t>1</w:t>
      </w:r>
      <w:r>
        <w:rPr>
          <w:lang w:val="en-US"/>
        </w:rPr>
        <w:t xml:space="preserve"> states that if an 80 MHz channel is placed at the edge of Band n46, the guard band provided at that edge is at least 925 kHz wide for 30 kHz SCS.  </w:t>
      </w:r>
      <w:r w:rsidR="00A10599">
        <w:rPr>
          <w:lang w:val="en-US"/>
        </w:rPr>
        <w:t>Proposal 2 states that a</w:t>
      </w:r>
      <w:r>
        <w:rPr>
          <w:lang w:val="en-US"/>
        </w:rPr>
        <w:t xml:space="preserve">t </w:t>
      </w:r>
      <w:r w:rsidR="00A10599">
        <w:rPr>
          <w:lang w:val="en-US"/>
        </w:rPr>
        <w:t xml:space="preserve">any other </w:t>
      </w:r>
      <w:r w:rsidR="00490632">
        <w:rPr>
          <w:lang w:val="en-US"/>
        </w:rPr>
        <w:t xml:space="preserve">80 MHz </w:t>
      </w:r>
      <w:r w:rsidR="00A10599">
        <w:rPr>
          <w:lang w:val="en-US"/>
        </w:rPr>
        <w:t>channel edge which lies</w:t>
      </w:r>
      <w:r>
        <w:rPr>
          <w:lang w:val="en-US"/>
        </w:rPr>
        <w:t xml:space="preserve"> inside of Band n46, the guard band should also be at least 925 kHz </w:t>
      </w:r>
      <w:proofErr w:type="gramStart"/>
      <w:r>
        <w:rPr>
          <w:lang w:val="en-US"/>
        </w:rPr>
        <w:t>wide, but</w:t>
      </w:r>
      <w:proofErr w:type="gramEnd"/>
      <w:r>
        <w:rPr>
          <w:lang w:val="en-US"/>
        </w:rPr>
        <w:t xml:space="preserve"> rounded up to 3 RB’s. </w:t>
      </w:r>
      <w:r w:rsidR="00B077A7">
        <w:rPr>
          <w:lang w:val="en-US"/>
        </w:rPr>
        <w:t xml:space="preserve">Thus, </w:t>
      </w:r>
      <w:r w:rsidR="00490632">
        <w:rPr>
          <w:lang w:val="en-US"/>
        </w:rPr>
        <w:t xml:space="preserve">the </w:t>
      </w:r>
      <w:r w:rsidR="00B077A7">
        <w:rPr>
          <w:lang w:val="en-US"/>
        </w:rPr>
        <w:t>channel edge inside the band will be larger than channel edges at the edge of the band due to the RB resolution.</w:t>
      </w:r>
      <w:r w:rsidR="00490632">
        <w:rPr>
          <w:lang w:val="en-US"/>
        </w:rPr>
        <w:t xml:space="preserve">  Therefore, all guard bands within the channel will be multiples of PRB’s whether they are inter-carrier or intra-carrier.</w:t>
      </w:r>
    </w:p>
    <w:p w14:paraId="364FC45F" w14:textId="7E5DF410" w:rsidR="00912D30" w:rsidRPr="00A10599" w:rsidRDefault="00A10599" w:rsidP="00A10599">
      <w:pPr>
        <w:rPr>
          <w:b/>
          <w:lang w:val="en-US"/>
        </w:rPr>
      </w:pPr>
      <w:r w:rsidRPr="00A10599">
        <w:rPr>
          <w:b/>
          <w:lang w:val="en-US"/>
        </w:rPr>
        <w:t>Proposal 3</w:t>
      </w:r>
      <w:r w:rsidR="00A10429">
        <w:rPr>
          <w:b/>
          <w:lang w:val="en-US"/>
        </w:rPr>
        <w:t>.</w:t>
      </w:r>
      <w:r w:rsidRPr="00A10599">
        <w:rPr>
          <w:b/>
          <w:lang w:val="en-US"/>
        </w:rPr>
        <w:t xml:space="preserve"> </w:t>
      </w:r>
      <w:r w:rsidR="00912D30" w:rsidRPr="00A10599">
        <w:rPr>
          <w:b/>
          <w:lang w:val="en-US"/>
        </w:rPr>
        <w:t>In-carrier guard bands are calculated on a per-sub-band basis independent of any adjacent sub-band.</w:t>
      </w:r>
    </w:p>
    <w:p w14:paraId="763A9C6B" w14:textId="7757C0C0" w:rsidR="0097072E" w:rsidRDefault="0097072E" w:rsidP="0097072E">
      <w:pPr>
        <w:rPr>
          <w:lang w:val="en-US"/>
        </w:rPr>
      </w:pPr>
      <w:r>
        <w:rPr>
          <w:lang w:val="en-US"/>
        </w:rPr>
        <w:t>I</w:t>
      </w:r>
      <w:r w:rsidRPr="0097072E">
        <w:rPr>
          <w:lang w:val="en-US"/>
        </w:rPr>
        <w:t xml:space="preserve">t will be beneficial to be able to treat each sub-band as separable. In other words, when simulating the in-carrier guard band, the simulation should only need to consider the sub-band of interest irrespective of what sub-bands are in adjacent channels.  For example, if the configuration is (0,20,40,0), when simulating the </w:t>
      </w:r>
      <w:proofErr w:type="gramStart"/>
      <w:r w:rsidRPr="0097072E">
        <w:rPr>
          <w:lang w:val="en-US"/>
        </w:rPr>
        <w:t>in carrier</w:t>
      </w:r>
      <w:proofErr w:type="gramEnd"/>
      <w:r w:rsidRPr="0097072E">
        <w:rPr>
          <w:lang w:val="en-US"/>
        </w:rPr>
        <w:t xml:space="preserve"> guard band for the 20 MHz second sub-band, the guard band should be symmetrical and indifferent to the fact that there is an empty sub-band to the left and a 40 MHz allocated sub-band to the right.  Similarly, for the 40 MHz sub-band, the only consideration should be that the sub-band itself is 40 </w:t>
      </w:r>
      <w:proofErr w:type="spellStart"/>
      <w:r w:rsidRPr="0097072E">
        <w:rPr>
          <w:lang w:val="en-US"/>
        </w:rPr>
        <w:t>MHz.</w:t>
      </w:r>
      <w:proofErr w:type="spellEnd"/>
      <w:r w:rsidRPr="0097072E">
        <w:rPr>
          <w:lang w:val="en-US"/>
        </w:rPr>
        <w:t xml:space="preserve"> </w:t>
      </w:r>
      <w:r w:rsidR="00490632">
        <w:rPr>
          <w:lang w:val="en-US"/>
        </w:rPr>
        <w:t xml:space="preserve"> </w:t>
      </w:r>
      <w:r w:rsidRPr="0097072E">
        <w:rPr>
          <w:lang w:val="en-US"/>
        </w:rPr>
        <w:t xml:space="preserve">To accomplish this, the guard bands should be defined on a per-sub-band basis.  For example, in the guard between 20 MHz and 40 MHz allocated sub-band, the minimum guard band for NR according to Table 5.3.3-1 of TS 38.101-1 is 805 kHz and 905 kHz for 20 MHz and 40 MHz channels, respectively, with 30 kHz SCS.  Therefore, while the total guard between the two sub-bands could be regarded as the sum of the individual guard bands, i.e., 1710 kHz, each guard band should instead be treated independently.  Therefore, the 20 MHz sub-band should be afforded a guard band of 805 kHz rounded up to the nearest PRB to be 3 RB’s.  Similarly, the 40 MHz sub-band should be 905 kHz rounded up to be 3 RB’s.  The total separation at the interface between the 20 MHz and 40 MHz sub-bands would then be 6 RB’s.  It is recognized that if the two sub-bands were to be treated together, the total separation would be 1710 kHz which rounds up to be 5 RB’s.  Therefore, by treating each sub-band independently, an extra RB is </w:t>
      </w:r>
      <w:r w:rsidR="00B077A7">
        <w:rPr>
          <w:lang w:val="en-US"/>
        </w:rPr>
        <w:t>sacrificed</w:t>
      </w:r>
      <w:r w:rsidRPr="0097072E">
        <w:rPr>
          <w:lang w:val="en-US"/>
        </w:rPr>
        <w:t xml:space="preserve"> in the process.  However, given the simplification offered by independent sub-band treatment and the </w:t>
      </w:r>
      <w:proofErr w:type="gramStart"/>
      <w:r w:rsidRPr="0097072E">
        <w:rPr>
          <w:lang w:val="en-US"/>
        </w:rPr>
        <w:t>aforementioned observation</w:t>
      </w:r>
      <w:proofErr w:type="gramEnd"/>
      <w:r w:rsidRPr="0097072E">
        <w:rPr>
          <w:lang w:val="en-US"/>
        </w:rPr>
        <w:t xml:space="preserve"> that the UE needs to autonomously make a determination whether the scheduled guard band is sufficient for it to meet emission requirements, it is proposed that the potential loss of a single RB in the in-carrier guard band is justified.</w:t>
      </w:r>
    </w:p>
    <w:p w14:paraId="5680A7C0" w14:textId="3834ADBF" w:rsidR="008A3841" w:rsidRPr="00A10599" w:rsidRDefault="00A10599" w:rsidP="00A10599">
      <w:pPr>
        <w:rPr>
          <w:b/>
          <w:lang w:val="en-US"/>
        </w:rPr>
      </w:pPr>
      <w:r w:rsidRPr="00A10599">
        <w:rPr>
          <w:b/>
          <w:lang w:val="en-US"/>
        </w:rPr>
        <w:t xml:space="preserve">Proposal 4a. </w:t>
      </w:r>
      <w:r w:rsidR="008A3841" w:rsidRPr="00A10599">
        <w:rPr>
          <w:b/>
          <w:lang w:val="en-US"/>
        </w:rPr>
        <w:t>Only contiguous sub-band configurations are studied and specified (for both uplink and downlink).  The proposal that only contiguous sub-band configurations are specified is already made in [</w:t>
      </w:r>
      <w:r w:rsidR="00C302C9">
        <w:rPr>
          <w:b/>
          <w:lang w:val="en-US"/>
        </w:rPr>
        <w:t>8</w:t>
      </w:r>
      <w:r w:rsidR="008A3841" w:rsidRPr="00A10599">
        <w:rPr>
          <w:b/>
          <w:lang w:val="en-US"/>
        </w:rPr>
        <w:t>], but the proposal here extends that to downlink as well.</w:t>
      </w:r>
    </w:p>
    <w:p w14:paraId="42E3CA48" w14:textId="38037A52" w:rsidR="00886A66" w:rsidRDefault="00886A66" w:rsidP="00E35A09">
      <w:pPr>
        <w:rPr>
          <w:lang w:val="en-US"/>
        </w:rPr>
      </w:pPr>
      <w:r w:rsidRPr="00C373C9">
        <w:rPr>
          <w:lang w:val="en-US"/>
        </w:rPr>
        <w:t>The reasoning provided in [</w:t>
      </w:r>
      <w:r w:rsidR="00C302C9">
        <w:rPr>
          <w:lang w:val="en-US"/>
        </w:rPr>
        <w:t>8</w:t>
      </w:r>
      <w:r w:rsidRPr="00C373C9">
        <w:rPr>
          <w:lang w:val="en-US"/>
        </w:rPr>
        <w:t>] to consider only contiguous sub-band transmission on the uplink is that emission requirements are not well understood, RAN1 has not yet defined resource allocation for transmission of PUSCH across multiple sub-bands, and the amount of work required to complete specifications for both contiguous and non-</w:t>
      </w:r>
      <w:r w:rsidRPr="00036F85">
        <w:rPr>
          <w:lang w:val="en-US"/>
        </w:rPr>
        <w:t>contiguous allocations</w:t>
      </w:r>
      <w:r w:rsidR="00823B47" w:rsidRPr="00036F85">
        <w:rPr>
          <w:lang w:val="en-US"/>
        </w:rPr>
        <w:t xml:space="preserve"> in the time remaining to complete the work item</w:t>
      </w:r>
      <w:r w:rsidRPr="00036F85">
        <w:rPr>
          <w:lang w:val="en-US"/>
        </w:rPr>
        <w:t xml:space="preserve">.  In addition to </w:t>
      </w:r>
      <w:r w:rsidR="00823B47" w:rsidRPr="00036F85">
        <w:rPr>
          <w:lang w:val="en-US"/>
        </w:rPr>
        <w:t xml:space="preserve">these reasons, for non-contiguous allocations, the expected power </w:t>
      </w:r>
      <w:proofErr w:type="spellStart"/>
      <w:r w:rsidR="00823B47" w:rsidRPr="00036F85">
        <w:rPr>
          <w:lang w:val="en-US"/>
        </w:rPr>
        <w:t>backoff</w:t>
      </w:r>
      <w:proofErr w:type="spellEnd"/>
      <w:r w:rsidR="00823B47" w:rsidRPr="00036F85">
        <w:rPr>
          <w:lang w:val="en-US"/>
        </w:rPr>
        <w:t xml:space="preserve"> is large </w:t>
      </w:r>
      <w:r w:rsidR="00036F85" w:rsidRPr="00036F85">
        <w:rPr>
          <w:lang w:val="en-US"/>
        </w:rPr>
        <w:t xml:space="preserve">[6] to comply with at least in-channel regulatory </w:t>
      </w:r>
      <w:r w:rsidR="00036F85" w:rsidRPr="00036F85">
        <w:rPr>
          <w:lang w:val="en-US"/>
        </w:rPr>
        <w:lastRenderedPageBreak/>
        <w:t>requirements</w:t>
      </w:r>
      <w:r w:rsidR="00823B47" w:rsidRPr="00036F85">
        <w:rPr>
          <w:lang w:val="en-US"/>
        </w:rPr>
        <w:t xml:space="preserve"> making these types of configurations less useful in deployment.  </w:t>
      </w:r>
      <w:r w:rsidR="001437C4" w:rsidRPr="00036F85">
        <w:rPr>
          <w:lang w:val="en-US"/>
        </w:rPr>
        <w:t>For</w:t>
      </w:r>
      <w:r w:rsidR="00823B47" w:rsidRPr="00036F85">
        <w:rPr>
          <w:lang w:val="en-US"/>
        </w:rPr>
        <w:t xml:space="preserve"> the downlink, it has been previously</w:t>
      </w:r>
      <w:r w:rsidR="00823B47" w:rsidRPr="00C373C9">
        <w:rPr>
          <w:lang w:val="en-US"/>
        </w:rPr>
        <w:t xml:space="preserve"> agreed </w:t>
      </w:r>
      <w:r w:rsidR="00874C89" w:rsidRPr="00C373C9">
        <w:rPr>
          <w:lang w:val="en-US"/>
        </w:rPr>
        <w:t>[</w:t>
      </w:r>
      <w:r w:rsidR="0007135F">
        <w:rPr>
          <w:lang w:val="en-US"/>
        </w:rPr>
        <w:t>7</w:t>
      </w:r>
      <w:r w:rsidR="00874C89" w:rsidRPr="00C373C9">
        <w:rPr>
          <w:lang w:val="en-US"/>
        </w:rPr>
        <w:t xml:space="preserve">] </w:t>
      </w:r>
      <w:r w:rsidR="00823B47" w:rsidRPr="00C373C9">
        <w:rPr>
          <w:lang w:val="en-US"/>
        </w:rPr>
        <w:t xml:space="preserve">that </w:t>
      </w:r>
      <w:proofErr w:type="spellStart"/>
      <w:r w:rsidR="00874C89" w:rsidRPr="00C373C9">
        <w:rPr>
          <w:lang w:val="en-US"/>
        </w:rPr>
        <w:t>basestation</w:t>
      </w:r>
      <w:proofErr w:type="spellEnd"/>
      <w:r w:rsidR="00874C89" w:rsidRPr="00C373C9">
        <w:rPr>
          <w:lang w:val="en-US"/>
        </w:rPr>
        <w:t xml:space="preserve"> transmission of downlink sub-bands that are non-contiguous is </w:t>
      </w:r>
      <w:proofErr w:type="gramStart"/>
      <w:r w:rsidR="00874C89" w:rsidRPr="00C373C9">
        <w:rPr>
          <w:lang w:val="en-US"/>
        </w:rPr>
        <w:t>feasible, but</w:t>
      </w:r>
      <w:proofErr w:type="gramEnd"/>
      <w:r w:rsidR="00874C89" w:rsidRPr="00C373C9">
        <w:rPr>
          <w:lang w:val="en-US"/>
        </w:rPr>
        <w:t xml:space="preserve"> conditioned </w:t>
      </w:r>
      <w:r w:rsidR="00C373C9" w:rsidRPr="00C373C9">
        <w:rPr>
          <w:lang w:val="en-US"/>
        </w:rPr>
        <w:t xml:space="preserve">on in-carrier leakage requirements being </w:t>
      </w:r>
      <w:proofErr w:type="spellStart"/>
      <w:r w:rsidR="00C373C9" w:rsidRPr="00C373C9">
        <w:rPr>
          <w:lang w:val="en-US"/>
        </w:rPr>
        <w:t>WiFi</w:t>
      </w:r>
      <w:proofErr w:type="spellEnd"/>
      <w:r w:rsidR="00C373C9" w:rsidRPr="00C373C9">
        <w:rPr>
          <w:lang w:val="en-US"/>
        </w:rPr>
        <w:t xml:space="preserve">-like (e.g. 20 </w:t>
      </w:r>
      <w:proofErr w:type="spellStart"/>
      <w:r w:rsidR="00C373C9" w:rsidRPr="00C373C9">
        <w:rPr>
          <w:lang w:val="en-US"/>
        </w:rPr>
        <w:t>dBr</w:t>
      </w:r>
      <w:proofErr w:type="spellEnd"/>
      <w:r w:rsidR="00C373C9" w:rsidRPr="00C373C9">
        <w:rPr>
          <w:lang w:val="en-US"/>
        </w:rPr>
        <w:t xml:space="preserve">).  Since then, however, there has been ongoing discussion on the in-carrier leakage emission requirement with some companies proposing a </w:t>
      </w:r>
      <w:r w:rsidR="00A260BE">
        <w:rPr>
          <w:lang w:val="en-US"/>
        </w:rPr>
        <w:t xml:space="preserve">transmission </w:t>
      </w:r>
      <w:r w:rsidR="00C373C9" w:rsidRPr="00C373C9">
        <w:rPr>
          <w:lang w:val="en-US"/>
        </w:rPr>
        <w:t xml:space="preserve">mask between non-contiguous sub-bands that is based on the ETSI multi-carrier mask.  Therefore, </w:t>
      </w:r>
      <w:r w:rsidR="00A260BE">
        <w:rPr>
          <w:lang w:val="en-US"/>
        </w:rPr>
        <w:t xml:space="preserve">further study would be needed on the </w:t>
      </w:r>
      <w:proofErr w:type="spellStart"/>
      <w:r w:rsidR="00A260BE">
        <w:rPr>
          <w:lang w:val="en-US"/>
        </w:rPr>
        <w:t>basestation</w:t>
      </w:r>
      <w:proofErr w:type="spellEnd"/>
      <w:r w:rsidR="00A260BE">
        <w:rPr>
          <w:lang w:val="en-US"/>
        </w:rPr>
        <w:t xml:space="preserve"> transmitter to be able to support non-contiguous sub-bands.  The same condition on feasibility was also made for contiguous sub-bands so even if non-contiguous sub-bands are excluded, there is still work that remains.  </w:t>
      </w:r>
    </w:p>
    <w:p w14:paraId="56F74C9F" w14:textId="752ACCC1" w:rsidR="00A260BE" w:rsidRPr="00A10429" w:rsidRDefault="00A10599" w:rsidP="00A10599">
      <w:pPr>
        <w:rPr>
          <w:b/>
          <w:lang w:val="en-US"/>
        </w:rPr>
      </w:pPr>
      <w:r w:rsidRPr="00A10429">
        <w:rPr>
          <w:b/>
          <w:lang w:val="en-US"/>
        </w:rPr>
        <w:t xml:space="preserve">Proposal 4b. </w:t>
      </w:r>
      <w:r w:rsidR="00A260BE" w:rsidRPr="00A10429">
        <w:rPr>
          <w:b/>
          <w:lang w:val="en-US"/>
        </w:rPr>
        <w:t>Consider</w:t>
      </w:r>
      <w:r w:rsidRPr="00A10429">
        <w:rPr>
          <w:b/>
          <w:lang w:val="en-US"/>
        </w:rPr>
        <w:t xml:space="preserve"> the restriction that only configurations where the entire wideband channel is allocated </w:t>
      </w:r>
      <w:r w:rsidR="00A10429">
        <w:rPr>
          <w:b/>
          <w:lang w:val="en-US"/>
        </w:rPr>
        <w:t>are</w:t>
      </w:r>
      <w:r w:rsidRPr="00A10429">
        <w:rPr>
          <w:b/>
          <w:lang w:val="en-US"/>
        </w:rPr>
        <w:t xml:space="preserve"> studied</w:t>
      </w:r>
      <w:r w:rsidR="00A10429">
        <w:rPr>
          <w:b/>
          <w:lang w:val="en-US"/>
        </w:rPr>
        <w:t xml:space="preserve"> and specified (for both uplink and downlink)</w:t>
      </w:r>
      <w:r w:rsidRPr="00A10429">
        <w:rPr>
          <w:b/>
          <w:lang w:val="en-US"/>
        </w:rPr>
        <w:t>.</w:t>
      </w:r>
    </w:p>
    <w:p w14:paraId="12A36637" w14:textId="0B6BB977" w:rsidR="00535B7F" w:rsidRDefault="00A10599" w:rsidP="00A10599">
      <w:pPr>
        <w:rPr>
          <w:lang w:val="en-US"/>
        </w:rPr>
      </w:pPr>
      <w:r>
        <w:rPr>
          <w:lang w:val="en-US"/>
        </w:rPr>
        <w:t xml:space="preserve">With this proposal, only fully populated sub-band configurations are considered.  This removes configurations where there are unallocated sub-bands either at the edge of the wideband channel or in the interior of the wideband channel.  </w:t>
      </w:r>
      <w:r w:rsidR="000A2EBB">
        <w:rPr>
          <w:lang w:val="en-US"/>
        </w:rPr>
        <w:t xml:space="preserve">Since the previous agreement on feasibility for downlink was conditioned on </w:t>
      </w:r>
      <w:proofErr w:type="spellStart"/>
      <w:r w:rsidR="000A2EBB">
        <w:rPr>
          <w:lang w:val="en-US"/>
        </w:rPr>
        <w:t>WiFi</w:t>
      </w:r>
      <w:proofErr w:type="spellEnd"/>
      <w:r w:rsidR="000A2EBB">
        <w:rPr>
          <w:lang w:val="en-US"/>
        </w:rPr>
        <w:t>-like requirements for both contiguous and non-contiguous sub-</w:t>
      </w:r>
      <w:proofErr w:type="gramStart"/>
      <w:r w:rsidR="000A2EBB">
        <w:rPr>
          <w:lang w:val="en-US"/>
        </w:rPr>
        <w:t>bands, and</w:t>
      </w:r>
      <w:proofErr w:type="gramEnd"/>
      <w:r w:rsidR="000A2EBB">
        <w:rPr>
          <w:lang w:val="en-US"/>
        </w:rPr>
        <w:t xml:space="preserve"> given that </w:t>
      </w:r>
      <w:proofErr w:type="spellStart"/>
      <w:r w:rsidR="000A2EBB">
        <w:rPr>
          <w:lang w:val="en-US"/>
        </w:rPr>
        <w:t>WiFi</w:t>
      </w:r>
      <w:proofErr w:type="spellEnd"/>
      <w:r w:rsidR="000A2EBB">
        <w:rPr>
          <w:lang w:val="en-US"/>
        </w:rPr>
        <w:t xml:space="preserve">-like requirements (e.g. 20 </w:t>
      </w:r>
      <w:proofErr w:type="spellStart"/>
      <w:r w:rsidR="000A2EBB">
        <w:rPr>
          <w:lang w:val="en-US"/>
        </w:rPr>
        <w:t>dBr</w:t>
      </w:r>
      <w:proofErr w:type="spellEnd"/>
      <w:r w:rsidR="000A2EBB">
        <w:rPr>
          <w:lang w:val="en-US"/>
        </w:rPr>
        <w:t>) have been challenged recently by several companies</w:t>
      </w:r>
      <w:r w:rsidR="008A01CB">
        <w:rPr>
          <w:lang w:val="en-US"/>
        </w:rPr>
        <w:t xml:space="preserve"> not only in 3GPP but also in ETSI</w:t>
      </w:r>
      <w:r w:rsidR="000A2EBB">
        <w:rPr>
          <w:lang w:val="en-US"/>
        </w:rPr>
        <w:t>, then the only unconditional conclusion that can be drawn is only fully allocated wideband channels can be supported.  The situation is the same for the uplink.  Other aspect such as radio imperfections have not been fully considered.  It has been discussed [</w:t>
      </w:r>
      <w:r w:rsidR="007345FE">
        <w:rPr>
          <w:lang w:val="en-US"/>
        </w:rPr>
        <w:t>4</w:t>
      </w:r>
      <w:r w:rsidR="000A2EBB">
        <w:rPr>
          <w:lang w:val="en-US"/>
        </w:rPr>
        <w:t>]</w:t>
      </w:r>
      <w:r w:rsidR="00535B7F">
        <w:rPr>
          <w:lang w:val="en-US"/>
        </w:rPr>
        <w:t>,[6]</w:t>
      </w:r>
      <w:r w:rsidR="000A2EBB">
        <w:rPr>
          <w:lang w:val="en-US"/>
        </w:rPr>
        <w:t xml:space="preserve"> that LO and IQ image imperfections in the radio can lead to emissions violations in the wideband channel; yet, these are not properly reflected in </w:t>
      </w:r>
      <w:r w:rsidR="00036F85">
        <w:rPr>
          <w:lang w:val="en-US"/>
        </w:rPr>
        <w:t xml:space="preserve">ETSI </w:t>
      </w:r>
      <w:r w:rsidR="000A2EBB">
        <w:rPr>
          <w:lang w:val="en-US"/>
        </w:rPr>
        <w:t xml:space="preserve">regulatory requirements.  If so, then </w:t>
      </w:r>
      <w:r w:rsidR="00036F85">
        <w:rPr>
          <w:lang w:val="en-US"/>
        </w:rPr>
        <w:t xml:space="preserve">either radio design should be </w:t>
      </w:r>
      <w:proofErr w:type="gramStart"/>
      <w:r w:rsidR="00036F85">
        <w:rPr>
          <w:lang w:val="en-US"/>
        </w:rPr>
        <w:t>improved</w:t>
      </w:r>
      <w:proofErr w:type="gramEnd"/>
      <w:r w:rsidR="00036F85">
        <w:rPr>
          <w:lang w:val="en-US"/>
        </w:rPr>
        <w:t xml:space="preserve"> or </w:t>
      </w:r>
      <w:r w:rsidR="000A2EBB">
        <w:rPr>
          <w:lang w:val="en-US"/>
        </w:rPr>
        <w:t xml:space="preserve">regulatory requirements would need to be modified which is a procedure whose outcome is uncertain.  In fact, the only certainty with changing regulatory requirements is that even if possible, it will </w:t>
      </w:r>
      <w:r w:rsidR="00036F85">
        <w:rPr>
          <w:lang w:val="en-US"/>
        </w:rPr>
        <w:t xml:space="preserve">not </w:t>
      </w:r>
      <w:r w:rsidR="000A2EBB">
        <w:rPr>
          <w:lang w:val="en-US"/>
        </w:rPr>
        <w:t xml:space="preserve">be a </w:t>
      </w:r>
      <w:r w:rsidR="00036F85">
        <w:rPr>
          <w:lang w:val="en-US"/>
        </w:rPr>
        <w:t>contentious-free timely</w:t>
      </w:r>
      <w:r w:rsidR="000A2EBB">
        <w:rPr>
          <w:lang w:val="en-US"/>
        </w:rPr>
        <w:t xml:space="preserve"> process.  </w:t>
      </w:r>
      <w:proofErr w:type="gramStart"/>
      <w:r w:rsidR="000A2EBB">
        <w:rPr>
          <w:lang w:val="en-US"/>
        </w:rPr>
        <w:t>All of</w:t>
      </w:r>
      <w:proofErr w:type="gramEnd"/>
      <w:r w:rsidR="000A2EBB">
        <w:rPr>
          <w:lang w:val="en-US"/>
        </w:rPr>
        <w:t xml:space="preserve"> these problems can be averted by restricted transmission, both uplink and downlink, to the case where all LBT sub-bands within the </w:t>
      </w:r>
      <w:r w:rsidR="00DD65B0">
        <w:rPr>
          <w:lang w:val="en-US"/>
        </w:rPr>
        <w:t xml:space="preserve">wideband channel </w:t>
      </w:r>
      <w:r w:rsidR="000A2EBB">
        <w:rPr>
          <w:lang w:val="en-US"/>
        </w:rPr>
        <w:t>are allocated</w:t>
      </w:r>
      <w:r w:rsidR="00DD65B0">
        <w:rPr>
          <w:lang w:val="en-US"/>
        </w:rPr>
        <w:t>.</w:t>
      </w:r>
      <w:r w:rsidR="007345FE">
        <w:rPr>
          <w:lang w:val="en-US"/>
        </w:rPr>
        <w:t xml:space="preserve">  In fact, with this proposal even the discussion of in-carrier guard bands can be avoided</w:t>
      </w:r>
      <w:r w:rsidR="00036F85">
        <w:rPr>
          <w:lang w:val="en-US"/>
        </w:rPr>
        <w:t xml:space="preserve"> since the net effect is only a single wideband transmission covering the entire channel</w:t>
      </w:r>
      <w:r w:rsidR="00535B7F">
        <w:rPr>
          <w:lang w:val="en-US"/>
        </w:rPr>
        <w:t xml:space="preserve">.  </w:t>
      </w:r>
      <w:r w:rsidR="004F04FF">
        <w:rPr>
          <w:lang w:val="en-US"/>
        </w:rPr>
        <w:t xml:space="preserve">If agreed, </w:t>
      </w:r>
      <w:proofErr w:type="gramStart"/>
      <w:r w:rsidR="004F04FF">
        <w:rPr>
          <w:lang w:val="en-US"/>
        </w:rPr>
        <w:t>an</w:t>
      </w:r>
      <w:proofErr w:type="gramEnd"/>
      <w:r w:rsidR="004F04FF">
        <w:rPr>
          <w:lang w:val="en-US"/>
        </w:rPr>
        <w:t xml:space="preserve"> LS should be sent to inform RAN1 of RAN4’s agreement on wideband operation.</w:t>
      </w:r>
      <w:r w:rsidR="004A1430">
        <w:rPr>
          <w:lang w:val="en-US"/>
        </w:rPr>
        <w:t xml:space="preserve">  Moreover, if proposal 4b is agreed, all other proposals in this contribution </w:t>
      </w:r>
      <w:r w:rsidR="00A22540">
        <w:rPr>
          <w:lang w:val="en-US"/>
        </w:rPr>
        <w:t>are obsoleted.</w:t>
      </w: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4719D1A7" w14:textId="01543208" w:rsidR="00387AE8" w:rsidRDefault="00BF0544" w:rsidP="00387AE8">
      <w:pPr>
        <w:rPr>
          <w:lang w:val="en-US"/>
        </w:rPr>
      </w:pPr>
      <w:r>
        <w:rPr>
          <w:lang w:val="en-US"/>
        </w:rPr>
        <w:t xml:space="preserve">In this contribution, several aspects related to wideband operation have been discussed.  One of the responsibilities of RAN4 is to define the required guard band sizes for sub-bands within a wideband carrier.  However, in order to effectively assess these guard bands, some understanding and agreement was be made on how RB’s and sub-bands will be placed within the wideband channel since the location of RB’s </w:t>
      </w:r>
      <w:r w:rsidR="006F1682">
        <w:rPr>
          <w:lang w:val="en-US"/>
        </w:rPr>
        <w:t>has an impact on spurious emissions generated.  The number of sub-band configurations is large, so simplifying assumptions have been proposed.</w:t>
      </w:r>
    </w:p>
    <w:p w14:paraId="12A30800" w14:textId="77777777" w:rsidR="00407829" w:rsidRPr="00407829" w:rsidRDefault="00407829" w:rsidP="00407829">
      <w:pPr>
        <w:rPr>
          <w:b/>
          <w:lang w:val="en-US"/>
        </w:rPr>
      </w:pPr>
      <w:r>
        <w:rPr>
          <w:b/>
          <w:lang w:val="en-US"/>
        </w:rPr>
        <w:t>Proposal 0</w:t>
      </w:r>
      <w:r w:rsidRPr="00407829">
        <w:rPr>
          <w:b/>
          <w:lang w:val="en-US"/>
        </w:rPr>
        <w:t xml:space="preserve">:  In a grant-based </w:t>
      </w:r>
      <w:r>
        <w:rPr>
          <w:b/>
          <w:lang w:val="en-US"/>
        </w:rPr>
        <w:t xml:space="preserve">dynamic </w:t>
      </w:r>
      <w:r w:rsidRPr="00407829">
        <w:rPr>
          <w:b/>
          <w:lang w:val="en-US"/>
        </w:rPr>
        <w:t>guard band scheme, the UE must be allowed to autonomously drop the uplink grant if the unallocated RB’s intended to be used as guard band do not conform to the assumptions and specifications used to enable emissions compliance.</w:t>
      </w:r>
    </w:p>
    <w:p w14:paraId="265B8CBF" w14:textId="77777777" w:rsidR="006F1682" w:rsidRPr="00A10599" w:rsidRDefault="006F1682" w:rsidP="006F1682">
      <w:pPr>
        <w:rPr>
          <w:b/>
          <w:lang w:val="en-US"/>
        </w:rPr>
      </w:pPr>
      <w:r w:rsidRPr="00A10599">
        <w:rPr>
          <w:b/>
          <w:lang w:val="en-US"/>
        </w:rPr>
        <w:t>Proposal 1</w:t>
      </w:r>
      <w:r>
        <w:rPr>
          <w:b/>
          <w:lang w:val="en-US"/>
        </w:rPr>
        <w:t>.</w:t>
      </w:r>
      <w:r w:rsidRPr="00A10599">
        <w:rPr>
          <w:b/>
          <w:lang w:val="en-US"/>
        </w:rPr>
        <w:t xml:space="preserve">  Carrier guard bands at the </w:t>
      </w:r>
      <w:r w:rsidRPr="00A10599">
        <w:rPr>
          <w:b/>
          <w:u w:val="single"/>
          <w:lang w:val="en-US"/>
        </w:rPr>
        <w:t>edge of the band</w:t>
      </w:r>
      <w:r w:rsidRPr="00A10599">
        <w:rPr>
          <w:b/>
          <w:lang w:val="en-US"/>
        </w:rPr>
        <w:t xml:space="preserve"> are at least as large as provided by Table 5.3.3-1 of TS 38.101-1 for NR, regardless of the sub-band configuration within the channel.</w:t>
      </w:r>
    </w:p>
    <w:p w14:paraId="45AEDDF8" w14:textId="77777777" w:rsidR="006F1682" w:rsidRPr="00A10599" w:rsidRDefault="006F1682" w:rsidP="006F1682">
      <w:pPr>
        <w:rPr>
          <w:b/>
          <w:lang w:val="en-US"/>
        </w:rPr>
      </w:pPr>
      <w:r w:rsidRPr="00A10599">
        <w:rPr>
          <w:b/>
          <w:lang w:val="en-US"/>
        </w:rPr>
        <w:t>Proposal 2</w:t>
      </w:r>
      <w:r>
        <w:rPr>
          <w:b/>
          <w:lang w:val="en-US"/>
        </w:rPr>
        <w:t>.</w:t>
      </w:r>
      <w:r w:rsidRPr="00A10599">
        <w:rPr>
          <w:b/>
          <w:lang w:val="en-US"/>
        </w:rPr>
        <w:t xml:space="preserve"> Carrier guard bands when located away from the edge of the band are at least as large as NR guard bands from Table 5.3.3-1 of TS 38.101-1 rounded up to the next PRB.  </w:t>
      </w:r>
    </w:p>
    <w:p w14:paraId="18BCEB92" w14:textId="549B53B1" w:rsidR="006F1682" w:rsidRDefault="006F1682" w:rsidP="006F1682">
      <w:pPr>
        <w:rPr>
          <w:b/>
          <w:lang w:val="en-US"/>
        </w:rPr>
      </w:pPr>
      <w:r w:rsidRPr="00A10599">
        <w:rPr>
          <w:b/>
          <w:lang w:val="en-US"/>
        </w:rPr>
        <w:t>Proposal 3</w:t>
      </w:r>
      <w:r>
        <w:rPr>
          <w:b/>
          <w:lang w:val="en-US"/>
        </w:rPr>
        <w:t>.</w:t>
      </w:r>
      <w:r w:rsidRPr="00A10599">
        <w:rPr>
          <w:b/>
          <w:lang w:val="en-US"/>
        </w:rPr>
        <w:t xml:space="preserve"> In-carrier guard bands are calculated on a per-sub-band basis independent of any adjacent sub-band.</w:t>
      </w:r>
    </w:p>
    <w:p w14:paraId="59457174" w14:textId="30DED7F9" w:rsidR="006F1682" w:rsidRPr="00A10599" w:rsidRDefault="006F1682" w:rsidP="006F1682">
      <w:pPr>
        <w:rPr>
          <w:b/>
          <w:lang w:val="en-US"/>
        </w:rPr>
      </w:pPr>
      <w:r w:rsidRPr="00A10599">
        <w:rPr>
          <w:b/>
          <w:lang w:val="en-US"/>
        </w:rPr>
        <w:t>Proposal 4a. Only contiguous sub-band configurations are studied and specified (for both uplink and downlink).  The proposal that only contiguous sub-band configurations are specified is already made in [</w:t>
      </w:r>
      <w:r w:rsidR="00A22540">
        <w:rPr>
          <w:b/>
          <w:lang w:val="en-US"/>
        </w:rPr>
        <w:t>8</w:t>
      </w:r>
      <w:r w:rsidRPr="00A10599">
        <w:rPr>
          <w:b/>
          <w:lang w:val="en-US"/>
        </w:rPr>
        <w:t>], but the proposal here extends that to downlink as well.</w:t>
      </w:r>
    </w:p>
    <w:p w14:paraId="1F7D78DB" w14:textId="77777777" w:rsidR="006F1682" w:rsidRPr="00A10429" w:rsidRDefault="006F1682" w:rsidP="006F1682">
      <w:pPr>
        <w:rPr>
          <w:b/>
          <w:lang w:val="en-US"/>
        </w:rPr>
      </w:pPr>
      <w:r w:rsidRPr="00A10429">
        <w:rPr>
          <w:b/>
          <w:lang w:val="en-US"/>
        </w:rPr>
        <w:t xml:space="preserve">Proposal 4b. Consider the restriction that only configurations where the entire wideband channel is allocated </w:t>
      </w:r>
      <w:r>
        <w:rPr>
          <w:b/>
          <w:lang w:val="en-US"/>
        </w:rPr>
        <w:t>are</w:t>
      </w:r>
      <w:r w:rsidRPr="00A10429">
        <w:rPr>
          <w:b/>
          <w:lang w:val="en-US"/>
        </w:rPr>
        <w:t xml:space="preserve"> studied</w:t>
      </w:r>
      <w:r>
        <w:rPr>
          <w:b/>
          <w:lang w:val="en-US"/>
        </w:rPr>
        <w:t xml:space="preserve"> and specified (for both uplink and downlink)</w:t>
      </w:r>
      <w:r w:rsidRPr="00A10429">
        <w:rPr>
          <w:b/>
          <w:lang w:val="en-US"/>
        </w:rPr>
        <w:t>.</w:t>
      </w:r>
    </w:p>
    <w:p w14:paraId="16101D59" w14:textId="77777777" w:rsidR="006F1682" w:rsidRPr="00E34AE2" w:rsidRDefault="006F1682" w:rsidP="00387AE8">
      <w:pPr>
        <w:rPr>
          <w:b/>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5781BD48" w14:textId="3F7B8210" w:rsidR="001D7FA8" w:rsidRDefault="007418C4" w:rsidP="002127B3">
      <w:pPr>
        <w:numPr>
          <w:ilvl w:val="0"/>
          <w:numId w:val="2"/>
        </w:numPr>
        <w:tabs>
          <w:tab w:val="left" w:pos="1080"/>
        </w:tabs>
        <w:rPr>
          <w:lang w:val="en-US" w:eastAsia="x-none"/>
        </w:rPr>
      </w:pPr>
      <w:r>
        <w:rPr>
          <w:lang w:val="en-US" w:eastAsia="x-none"/>
        </w:rPr>
        <w:t>R4-1910593, “WF on the NR-U channel raster,” Ericsson</w:t>
      </w:r>
    </w:p>
    <w:p w14:paraId="76AED62E" w14:textId="77777777" w:rsidR="00B74D0E" w:rsidRDefault="00B74D0E" w:rsidP="00B74D0E">
      <w:pPr>
        <w:numPr>
          <w:ilvl w:val="0"/>
          <w:numId w:val="2"/>
        </w:numPr>
        <w:tabs>
          <w:tab w:val="left" w:pos="1080"/>
        </w:tabs>
        <w:rPr>
          <w:lang w:val="en-US" w:eastAsia="x-none"/>
        </w:rPr>
      </w:pPr>
      <w:r>
        <w:rPr>
          <w:lang w:val="en-US" w:eastAsia="x-none"/>
        </w:rPr>
        <w:lastRenderedPageBreak/>
        <w:t>R4-1909259, “NR-U – PRB grid and placement of guard-bands,” Nokia, Nokia Shanghai Bell</w:t>
      </w:r>
    </w:p>
    <w:p w14:paraId="003963A0" w14:textId="48D61E28" w:rsidR="007418C4" w:rsidRDefault="00B74D0E" w:rsidP="002127B3">
      <w:pPr>
        <w:numPr>
          <w:ilvl w:val="0"/>
          <w:numId w:val="2"/>
        </w:numPr>
        <w:tabs>
          <w:tab w:val="left" w:pos="1080"/>
        </w:tabs>
        <w:rPr>
          <w:lang w:val="en-US" w:eastAsia="x-none"/>
        </w:rPr>
      </w:pPr>
      <w:r>
        <w:rPr>
          <w:lang w:val="en-US" w:eastAsia="x-none"/>
        </w:rPr>
        <w:t xml:space="preserve">R4-1910536, “WF on </w:t>
      </w:r>
      <w:proofErr w:type="spellStart"/>
      <w:r>
        <w:rPr>
          <w:lang w:val="en-US" w:eastAsia="x-none"/>
        </w:rPr>
        <w:t>Guardbands</w:t>
      </w:r>
      <w:proofErr w:type="spellEnd"/>
      <w:r>
        <w:rPr>
          <w:lang w:val="en-US" w:eastAsia="x-none"/>
        </w:rPr>
        <w:t xml:space="preserve"> for NR-U,” Nokia</w:t>
      </w:r>
    </w:p>
    <w:p w14:paraId="594FB587" w14:textId="052D5F3E" w:rsidR="00B74D0E" w:rsidRDefault="007345FE" w:rsidP="002127B3">
      <w:pPr>
        <w:numPr>
          <w:ilvl w:val="0"/>
          <w:numId w:val="2"/>
        </w:numPr>
        <w:tabs>
          <w:tab w:val="left" w:pos="1080"/>
        </w:tabs>
        <w:rPr>
          <w:lang w:val="en-US" w:eastAsia="x-none"/>
        </w:rPr>
      </w:pPr>
      <w:r>
        <w:rPr>
          <w:lang w:val="en-US" w:eastAsia="x-none"/>
        </w:rPr>
        <w:t>R4-1908716, “WB1 and WB2 channel arrangement and unwanted emissions,” Ericsson</w:t>
      </w:r>
    </w:p>
    <w:p w14:paraId="38AB6EA4" w14:textId="63EBEFF1" w:rsidR="007345FE" w:rsidRDefault="000C7A94" w:rsidP="002127B3">
      <w:pPr>
        <w:numPr>
          <w:ilvl w:val="0"/>
          <w:numId w:val="2"/>
        </w:numPr>
        <w:tabs>
          <w:tab w:val="left" w:pos="1080"/>
        </w:tabs>
        <w:rPr>
          <w:lang w:val="en-US" w:eastAsia="x-none"/>
        </w:rPr>
      </w:pPr>
      <w:r>
        <w:rPr>
          <w:lang w:val="en-US" w:eastAsia="x-none"/>
        </w:rPr>
        <w:t>R4-</w:t>
      </w:r>
      <w:r w:rsidR="001546C0">
        <w:rPr>
          <w:lang w:val="en-US" w:eastAsia="x-none"/>
        </w:rPr>
        <w:t>1908559, “Guard band definition for NR based access to unlicensed spectrum,” AT&amp;T</w:t>
      </w:r>
    </w:p>
    <w:p w14:paraId="6D60D746" w14:textId="2AC3578F" w:rsidR="001546C0" w:rsidRDefault="00535B7F" w:rsidP="002127B3">
      <w:pPr>
        <w:numPr>
          <w:ilvl w:val="0"/>
          <w:numId w:val="2"/>
        </w:numPr>
        <w:tabs>
          <w:tab w:val="left" w:pos="1080"/>
        </w:tabs>
        <w:rPr>
          <w:lang w:val="en-US" w:eastAsia="x-none"/>
        </w:rPr>
      </w:pPr>
      <w:r>
        <w:rPr>
          <w:lang w:val="en-US" w:eastAsia="x-none"/>
        </w:rPr>
        <w:t>R4-1908846, “Further Discussion on UL LBT for Wideband Operation,” Skyworks Solutions, Inc.</w:t>
      </w:r>
    </w:p>
    <w:p w14:paraId="2302C6EB" w14:textId="00C684F4" w:rsidR="00036F85" w:rsidRDefault="00036F85" w:rsidP="002127B3">
      <w:pPr>
        <w:numPr>
          <w:ilvl w:val="0"/>
          <w:numId w:val="2"/>
        </w:numPr>
        <w:tabs>
          <w:tab w:val="left" w:pos="1080"/>
        </w:tabs>
        <w:rPr>
          <w:lang w:val="en-US" w:eastAsia="x-none"/>
        </w:rPr>
      </w:pPr>
      <w:r w:rsidRPr="00C373C9">
        <w:rPr>
          <w:lang w:val="en-US"/>
        </w:rPr>
        <w:t>R4-1905209</w:t>
      </w:r>
      <w:r>
        <w:rPr>
          <w:lang w:val="en-US"/>
        </w:rPr>
        <w:t>, “</w:t>
      </w:r>
      <w:r w:rsidR="00163C6D">
        <w:rPr>
          <w:lang w:val="en-US"/>
        </w:rPr>
        <w:t>LS reply on wideband carrier operation on NR-U,” RAN4 LS to RAN1</w:t>
      </w:r>
    </w:p>
    <w:p w14:paraId="5AE747A1" w14:textId="54BD6D67" w:rsidR="00C302C9" w:rsidRPr="00D51CE9" w:rsidRDefault="00C302C9" w:rsidP="002127B3">
      <w:pPr>
        <w:numPr>
          <w:ilvl w:val="0"/>
          <w:numId w:val="2"/>
        </w:numPr>
        <w:tabs>
          <w:tab w:val="left" w:pos="1080"/>
        </w:tabs>
        <w:rPr>
          <w:lang w:val="en-US" w:eastAsia="x-none"/>
        </w:rPr>
      </w:pPr>
      <w:r w:rsidRPr="00D51CE9">
        <w:rPr>
          <w:lang w:val="en-US" w:eastAsia="x-none"/>
        </w:rPr>
        <w:t>R4-191</w:t>
      </w:r>
      <w:r w:rsidR="00D51CE9" w:rsidRPr="00D51CE9">
        <w:rPr>
          <w:lang w:val="en-US" w:eastAsia="x-none"/>
        </w:rPr>
        <w:t>2488</w:t>
      </w:r>
      <w:r w:rsidRPr="00D51CE9">
        <w:rPr>
          <w:lang w:val="en-US" w:eastAsia="x-none"/>
        </w:rPr>
        <w:t>, “Uplink sub-bands for wideband operation,” Qualcomm Incorporated</w:t>
      </w:r>
    </w:p>
    <w:sectPr w:rsidR="00C302C9" w:rsidRPr="00D51CE9"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6D295" w14:textId="77777777" w:rsidR="006169DB" w:rsidRDefault="006169DB">
      <w:r>
        <w:separator/>
      </w:r>
    </w:p>
  </w:endnote>
  <w:endnote w:type="continuationSeparator" w:id="0">
    <w:p w14:paraId="4F50A6BB" w14:textId="77777777" w:rsidR="006169DB" w:rsidRDefault="00616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1F269F" w:rsidRDefault="001F26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1F269F" w:rsidRDefault="001F2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1F269F" w:rsidRDefault="001F26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1F269F" w:rsidRDefault="001F26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CC393" w14:textId="77777777" w:rsidR="006169DB" w:rsidRDefault="006169DB">
      <w:r>
        <w:separator/>
      </w:r>
    </w:p>
  </w:footnote>
  <w:footnote w:type="continuationSeparator" w:id="0">
    <w:p w14:paraId="0264559F" w14:textId="77777777" w:rsidR="006169DB" w:rsidRDefault="00616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6"/>
  </w:num>
  <w:num w:numId="3">
    <w:abstractNumId w:val="18"/>
  </w:num>
  <w:num w:numId="4">
    <w:abstractNumId w:val="19"/>
  </w:num>
  <w:num w:numId="5">
    <w:abstractNumId w:val="14"/>
  </w:num>
  <w:num w:numId="6">
    <w:abstractNumId w:val="7"/>
  </w:num>
  <w:num w:numId="7">
    <w:abstractNumId w:val="1"/>
  </w:num>
  <w:num w:numId="8">
    <w:abstractNumId w:val="17"/>
  </w:num>
  <w:num w:numId="9">
    <w:abstractNumId w:val="8"/>
  </w:num>
  <w:num w:numId="10">
    <w:abstractNumId w:val="13"/>
  </w:num>
  <w:num w:numId="11">
    <w:abstractNumId w:val="20"/>
  </w:num>
  <w:num w:numId="12">
    <w:abstractNumId w:val="6"/>
  </w:num>
  <w:num w:numId="13">
    <w:abstractNumId w:val="12"/>
  </w:num>
  <w:num w:numId="14">
    <w:abstractNumId w:val="2"/>
  </w:num>
  <w:num w:numId="15">
    <w:abstractNumId w:val="11"/>
  </w:num>
  <w:num w:numId="16">
    <w:abstractNumId w:val="15"/>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DE7"/>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2DF"/>
    <w:rsid w:val="000549BA"/>
    <w:rsid w:val="000550EF"/>
    <w:rsid w:val="000555F0"/>
    <w:rsid w:val="00055B21"/>
    <w:rsid w:val="00056C5E"/>
    <w:rsid w:val="00056EA4"/>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135F"/>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2EBB"/>
    <w:rsid w:val="000A31E0"/>
    <w:rsid w:val="000A34A7"/>
    <w:rsid w:val="000A3A69"/>
    <w:rsid w:val="000A3BD7"/>
    <w:rsid w:val="000A4067"/>
    <w:rsid w:val="000A561C"/>
    <w:rsid w:val="000A56B0"/>
    <w:rsid w:val="000A5C2C"/>
    <w:rsid w:val="000A6602"/>
    <w:rsid w:val="000A697D"/>
    <w:rsid w:val="000A786A"/>
    <w:rsid w:val="000A79E3"/>
    <w:rsid w:val="000B034D"/>
    <w:rsid w:val="000B04D1"/>
    <w:rsid w:val="000B0B23"/>
    <w:rsid w:val="000B0F3E"/>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F5D"/>
    <w:rsid w:val="000D306F"/>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F3B"/>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0F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7C4"/>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37C4"/>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3C6D"/>
    <w:rsid w:val="001640E2"/>
    <w:rsid w:val="001664CF"/>
    <w:rsid w:val="001679C5"/>
    <w:rsid w:val="00167B3A"/>
    <w:rsid w:val="00170570"/>
    <w:rsid w:val="00170A66"/>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053"/>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21D7"/>
    <w:rsid w:val="0021274F"/>
    <w:rsid w:val="002127B3"/>
    <w:rsid w:val="002127E6"/>
    <w:rsid w:val="002133CA"/>
    <w:rsid w:val="00213519"/>
    <w:rsid w:val="00213522"/>
    <w:rsid w:val="0021383C"/>
    <w:rsid w:val="00213BFE"/>
    <w:rsid w:val="002142D2"/>
    <w:rsid w:val="002147D5"/>
    <w:rsid w:val="00214983"/>
    <w:rsid w:val="00215247"/>
    <w:rsid w:val="00216158"/>
    <w:rsid w:val="002169AC"/>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072"/>
    <w:rsid w:val="0023377B"/>
    <w:rsid w:val="00233CFA"/>
    <w:rsid w:val="00234C5F"/>
    <w:rsid w:val="00234F02"/>
    <w:rsid w:val="00236663"/>
    <w:rsid w:val="00236AFB"/>
    <w:rsid w:val="00236C6E"/>
    <w:rsid w:val="00236EB4"/>
    <w:rsid w:val="00237E42"/>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900D1"/>
    <w:rsid w:val="00290FB2"/>
    <w:rsid w:val="0029101E"/>
    <w:rsid w:val="0029138C"/>
    <w:rsid w:val="002921C4"/>
    <w:rsid w:val="002922C6"/>
    <w:rsid w:val="0029239C"/>
    <w:rsid w:val="0029286C"/>
    <w:rsid w:val="002932EC"/>
    <w:rsid w:val="00296186"/>
    <w:rsid w:val="002961A6"/>
    <w:rsid w:val="00296B7E"/>
    <w:rsid w:val="00296FCC"/>
    <w:rsid w:val="002976AF"/>
    <w:rsid w:val="00297836"/>
    <w:rsid w:val="002A0942"/>
    <w:rsid w:val="002A129F"/>
    <w:rsid w:val="002A1AD8"/>
    <w:rsid w:val="002A1BA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BB7"/>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7D5"/>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68B"/>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930"/>
    <w:rsid w:val="00346BAD"/>
    <w:rsid w:val="00347822"/>
    <w:rsid w:val="003478F5"/>
    <w:rsid w:val="0035071D"/>
    <w:rsid w:val="003508AD"/>
    <w:rsid w:val="003512A1"/>
    <w:rsid w:val="00351328"/>
    <w:rsid w:val="003517BE"/>
    <w:rsid w:val="00351EAD"/>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10E"/>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AE8"/>
    <w:rsid w:val="00387BA4"/>
    <w:rsid w:val="00387CB5"/>
    <w:rsid w:val="00390A6F"/>
    <w:rsid w:val="00391CF7"/>
    <w:rsid w:val="00392F02"/>
    <w:rsid w:val="00393109"/>
    <w:rsid w:val="003931B6"/>
    <w:rsid w:val="00393306"/>
    <w:rsid w:val="0039354A"/>
    <w:rsid w:val="00393959"/>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829"/>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B46"/>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545"/>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459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430"/>
    <w:rsid w:val="004A187C"/>
    <w:rsid w:val="004A188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E31"/>
    <w:rsid w:val="005266E8"/>
    <w:rsid w:val="00526D84"/>
    <w:rsid w:val="00526EDC"/>
    <w:rsid w:val="0052707B"/>
    <w:rsid w:val="0052782A"/>
    <w:rsid w:val="00527B8C"/>
    <w:rsid w:val="005319CE"/>
    <w:rsid w:val="00531A02"/>
    <w:rsid w:val="005327B6"/>
    <w:rsid w:val="00532855"/>
    <w:rsid w:val="00532FEC"/>
    <w:rsid w:val="005331CE"/>
    <w:rsid w:val="0053361B"/>
    <w:rsid w:val="005340DE"/>
    <w:rsid w:val="005342A2"/>
    <w:rsid w:val="00534C55"/>
    <w:rsid w:val="00534C5F"/>
    <w:rsid w:val="0053509D"/>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2A0"/>
    <w:rsid w:val="00555ADB"/>
    <w:rsid w:val="00555BBA"/>
    <w:rsid w:val="00555FB3"/>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C4B"/>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5A5A"/>
    <w:rsid w:val="00616603"/>
    <w:rsid w:val="006169DB"/>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92B"/>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3AF"/>
    <w:rsid w:val="006845CA"/>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0F78"/>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682"/>
    <w:rsid w:val="006F1BAC"/>
    <w:rsid w:val="006F1CD3"/>
    <w:rsid w:val="006F1F48"/>
    <w:rsid w:val="006F1FCF"/>
    <w:rsid w:val="006F3228"/>
    <w:rsid w:val="006F404E"/>
    <w:rsid w:val="006F4AA6"/>
    <w:rsid w:val="006F4DBC"/>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0B01"/>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0B73"/>
    <w:rsid w:val="00731475"/>
    <w:rsid w:val="00731D02"/>
    <w:rsid w:val="00732D90"/>
    <w:rsid w:val="0073334B"/>
    <w:rsid w:val="00733723"/>
    <w:rsid w:val="0073383C"/>
    <w:rsid w:val="0073413D"/>
    <w:rsid w:val="0073419D"/>
    <w:rsid w:val="007345FE"/>
    <w:rsid w:val="00737096"/>
    <w:rsid w:val="0073715A"/>
    <w:rsid w:val="0074077F"/>
    <w:rsid w:val="00740E45"/>
    <w:rsid w:val="00740E7B"/>
    <w:rsid w:val="007418C4"/>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1886"/>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62D"/>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D11"/>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3B47"/>
    <w:rsid w:val="0082472F"/>
    <w:rsid w:val="00824D2A"/>
    <w:rsid w:val="00827B7C"/>
    <w:rsid w:val="00827F68"/>
    <w:rsid w:val="008302A1"/>
    <w:rsid w:val="0083059D"/>
    <w:rsid w:val="00830633"/>
    <w:rsid w:val="0083089C"/>
    <w:rsid w:val="0083097D"/>
    <w:rsid w:val="008310D9"/>
    <w:rsid w:val="00831816"/>
    <w:rsid w:val="008318A3"/>
    <w:rsid w:val="00831C53"/>
    <w:rsid w:val="0083247C"/>
    <w:rsid w:val="00833022"/>
    <w:rsid w:val="00833222"/>
    <w:rsid w:val="0083418A"/>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8CD"/>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898"/>
    <w:rsid w:val="00874C89"/>
    <w:rsid w:val="00874DFD"/>
    <w:rsid w:val="00875013"/>
    <w:rsid w:val="0087541C"/>
    <w:rsid w:val="00875E39"/>
    <w:rsid w:val="00875ECC"/>
    <w:rsid w:val="008760A4"/>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90197"/>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624D"/>
    <w:rsid w:val="008968D7"/>
    <w:rsid w:val="00896DB2"/>
    <w:rsid w:val="00896EB8"/>
    <w:rsid w:val="00897A69"/>
    <w:rsid w:val="00897F83"/>
    <w:rsid w:val="008A01CB"/>
    <w:rsid w:val="008A0E21"/>
    <w:rsid w:val="008A1EB8"/>
    <w:rsid w:val="008A2168"/>
    <w:rsid w:val="008A2610"/>
    <w:rsid w:val="008A2701"/>
    <w:rsid w:val="008A3841"/>
    <w:rsid w:val="008A4795"/>
    <w:rsid w:val="008A4C71"/>
    <w:rsid w:val="008A54B9"/>
    <w:rsid w:val="008A566E"/>
    <w:rsid w:val="008A717A"/>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16F"/>
    <w:rsid w:val="00924655"/>
    <w:rsid w:val="00925726"/>
    <w:rsid w:val="00926D82"/>
    <w:rsid w:val="00926EC6"/>
    <w:rsid w:val="009274B8"/>
    <w:rsid w:val="0093022F"/>
    <w:rsid w:val="00930579"/>
    <w:rsid w:val="009307BC"/>
    <w:rsid w:val="00931050"/>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493"/>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531"/>
    <w:rsid w:val="0096766A"/>
    <w:rsid w:val="00970040"/>
    <w:rsid w:val="00970564"/>
    <w:rsid w:val="0097072E"/>
    <w:rsid w:val="00970BDC"/>
    <w:rsid w:val="00970CE1"/>
    <w:rsid w:val="00971090"/>
    <w:rsid w:val="0097139E"/>
    <w:rsid w:val="00971980"/>
    <w:rsid w:val="00971DBA"/>
    <w:rsid w:val="00971F5E"/>
    <w:rsid w:val="00972836"/>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0FC8"/>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728D"/>
    <w:rsid w:val="00A074D5"/>
    <w:rsid w:val="00A1038F"/>
    <w:rsid w:val="00A10429"/>
    <w:rsid w:val="00A10599"/>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A88"/>
    <w:rsid w:val="00A25CB6"/>
    <w:rsid w:val="00A260BE"/>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5D17"/>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7AF"/>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092"/>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6A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509"/>
    <w:rsid w:val="00B432A5"/>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923"/>
    <w:rsid w:val="00B70BDF"/>
    <w:rsid w:val="00B72030"/>
    <w:rsid w:val="00B72124"/>
    <w:rsid w:val="00B72140"/>
    <w:rsid w:val="00B728DF"/>
    <w:rsid w:val="00B73272"/>
    <w:rsid w:val="00B738CF"/>
    <w:rsid w:val="00B7405A"/>
    <w:rsid w:val="00B7441F"/>
    <w:rsid w:val="00B745E0"/>
    <w:rsid w:val="00B74D0E"/>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83B"/>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E8B"/>
    <w:rsid w:val="00BE2082"/>
    <w:rsid w:val="00BE21E8"/>
    <w:rsid w:val="00BE22CC"/>
    <w:rsid w:val="00BE22E0"/>
    <w:rsid w:val="00BE287E"/>
    <w:rsid w:val="00BE2BB2"/>
    <w:rsid w:val="00BE3383"/>
    <w:rsid w:val="00BE38EB"/>
    <w:rsid w:val="00BE3E92"/>
    <w:rsid w:val="00BE3F08"/>
    <w:rsid w:val="00BE4B1B"/>
    <w:rsid w:val="00BE4DB0"/>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1D7B"/>
    <w:rsid w:val="00C12625"/>
    <w:rsid w:val="00C134C0"/>
    <w:rsid w:val="00C141EB"/>
    <w:rsid w:val="00C143C1"/>
    <w:rsid w:val="00C14563"/>
    <w:rsid w:val="00C149F6"/>
    <w:rsid w:val="00C14BAC"/>
    <w:rsid w:val="00C15058"/>
    <w:rsid w:val="00C15D84"/>
    <w:rsid w:val="00C16172"/>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2C9"/>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4D2F"/>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AC9"/>
    <w:rsid w:val="00CA7DB9"/>
    <w:rsid w:val="00CB0D96"/>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3D2"/>
    <w:rsid w:val="00CC1D3D"/>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3E13"/>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826"/>
    <w:rsid w:val="00D32F25"/>
    <w:rsid w:val="00D33802"/>
    <w:rsid w:val="00D33AE8"/>
    <w:rsid w:val="00D342C8"/>
    <w:rsid w:val="00D34313"/>
    <w:rsid w:val="00D34B7F"/>
    <w:rsid w:val="00D35BAA"/>
    <w:rsid w:val="00D36127"/>
    <w:rsid w:val="00D36249"/>
    <w:rsid w:val="00D37310"/>
    <w:rsid w:val="00D400A9"/>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12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73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562"/>
    <w:rsid w:val="00DD27DC"/>
    <w:rsid w:val="00DD335A"/>
    <w:rsid w:val="00DD3781"/>
    <w:rsid w:val="00DD38B2"/>
    <w:rsid w:val="00DD408B"/>
    <w:rsid w:val="00DD44B1"/>
    <w:rsid w:val="00DD4849"/>
    <w:rsid w:val="00DD48D9"/>
    <w:rsid w:val="00DD4B30"/>
    <w:rsid w:val="00DD65B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953"/>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38F"/>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109"/>
    <w:rsid w:val="00E243CE"/>
    <w:rsid w:val="00E246DB"/>
    <w:rsid w:val="00E24908"/>
    <w:rsid w:val="00E24A42"/>
    <w:rsid w:val="00E25241"/>
    <w:rsid w:val="00E264BA"/>
    <w:rsid w:val="00E26647"/>
    <w:rsid w:val="00E26A6F"/>
    <w:rsid w:val="00E26BEC"/>
    <w:rsid w:val="00E2797A"/>
    <w:rsid w:val="00E30460"/>
    <w:rsid w:val="00E31E1A"/>
    <w:rsid w:val="00E31F40"/>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4E3"/>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4E6A"/>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D73"/>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4FE"/>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FF"/>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C8E"/>
    <w:rsid w:val="00F95D23"/>
    <w:rsid w:val="00F979B7"/>
    <w:rsid w:val="00F97C79"/>
    <w:rsid w:val="00F97E39"/>
    <w:rsid w:val="00FA07B0"/>
    <w:rsid w:val="00FA0AAE"/>
    <w:rsid w:val="00FA0B3D"/>
    <w:rsid w:val="00FA10CA"/>
    <w:rsid w:val="00FA1345"/>
    <w:rsid w:val="00FA1FA2"/>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3E26"/>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CDD"/>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260D5-AD1D-4248-93D1-C2C3CC60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2019-10-04T21:37:00Z</dcterms:created>
  <dcterms:modified xsi:type="dcterms:W3CDTF">2019-10-04T21:37:00Z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