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18EF0" w14:textId="286B5609" w:rsidR="00006351" w:rsidRPr="00DB3907" w:rsidRDefault="00006351" w:rsidP="0000635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008475CA">
        <w:rPr>
          <w:rFonts w:cs="Arial"/>
          <w:sz w:val="24"/>
          <w:szCs w:val="24"/>
          <w:lang w:val="de-DE"/>
        </w:rPr>
        <w:t>bis</w:t>
      </w:r>
      <w:r w:rsidRPr="00DB3907">
        <w:rPr>
          <w:rFonts w:cs="Arial"/>
          <w:sz w:val="24"/>
          <w:szCs w:val="24"/>
          <w:lang w:val="de-DE"/>
        </w:rPr>
        <w:tab/>
        <w:t>R4-</w:t>
      </w:r>
      <w:r>
        <w:rPr>
          <w:rFonts w:cs="Arial"/>
          <w:sz w:val="24"/>
          <w:szCs w:val="24"/>
          <w:lang w:val="de-DE"/>
        </w:rPr>
        <w:t>19</w:t>
      </w:r>
      <w:r w:rsidR="008475CA">
        <w:rPr>
          <w:rFonts w:cs="Arial"/>
          <w:sz w:val="24"/>
          <w:szCs w:val="24"/>
          <w:lang w:val="de-DE"/>
        </w:rPr>
        <w:t>1</w:t>
      </w:r>
      <w:r w:rsidR="003532C2">
        <w:rPr>
          <w:rFonts w:cs="Arial"/>
          <w:sz w:val="24"/>
          <w:szCs w:val="24"/>
          <w:lang w:val="de-DE"/>
        </w:rPr>
        <w:t>2485</w:t>
      </w:r>
      <w:bookmarkStart w:id="0" w:name="_GoBack"/>
      <w:bookmarkEnd w:id="0"/>
    </w:p>
    <w:p w14:paraId="62C54E00" w14:textId="0E48C7FC" w:rsidR="00006351" w:rsidRPr="00DB3907" w:rsidRDefault="00B32606" w:rsidP="00006351">
      <w:pPr>
        <w:pStyle w:val="Header"/>
        <w:tabs>
          <w:tab w:val="left" w:pos="6521"/>
        </w:tabs>
        <w:rPr>
          <w:rFonts w:cs="Arial"/>
          <w:sz w:val="24"/>
          <w:szCs w:val="24"/>
        </w:rPr>
      </w:pPr>
      <w:r>
        <w:rPr>
          <w:rFonts w:cs="Arial"/>
          <w:sz w:val="24"/>
          <w:szCs w:val="24"/>
        </w:rPr>
        <w:t>October</w:t>
      </w:r>
      <w:r w:rsidR="00006351">
        <w:rPr>
          <w:rFonts w:cs="Arial"/>
          <w:sz w:val="24"/>
          <w:szCs w:val="24"/>
        </w:rPr>
        <w:t xml:space="preserve"> </w:t>
      </w:r>
      <w:r>
        <w:rPr>
          <w:rFonts w:cs="Arial"/>
          <w:sz w:val="24"/>
          <w:szCs w:val="24"/>
        </w:rPr>
        <w:t>14</w:t>
      </w:r>
      <w:r w:rsidR="00006351">
        <w:rPr>
          <w:rFonts w:cs="Arial"/>
          <w:sz w:val="24"/>
          <w:szCs w:val="24"/>
          <w:vertAlign w:val="superscript"/>
        </w:rPr>
        <w:t>th</w:t>
      </w:r>
      <w:r w:rsidR="00006351">
        <w:rPr>
          <w:rFonts w:cs="Arial"/>
          <w:sz w:val="24"/>
          <w:szCs w:val="24"/>
        </w:rPr>
        <w:t xml:space="preserve"> ‒ </w:t>
      </w:r>
      <w:r>
        <w:rPr>
          <w:rFonts w:cs="Arial"/>
          <w:sz w:val="24"/>
          <w:szCs w:val="24"/>
        </w:rPr>
        <w:t>18</w:t>
      </w:r>
      <w:r w:rsidR="00006351">
        <w:rPr>
          <w:rFonts w:cs="Arial"/>
          <w:sz w:val="24"/>
          <w:szCs w:val="24"/>
          <w:vertAlign w:val="superscript"/>
        </w:rPr>
        <w:t>th</w:t>
      </w:r>
      <w:r w:rsidR="00006351">
        <w:rPr>
          <w:rFonts w:cs="Arial"/>
          <w:sz w:val="24"/>
          <w:szCs w:val="24"/>
        </w:rPr>
        <w:t>, 2019</w:t>
      </w:r>
    </w:p>
    <w:p w14:paraId="464E3469" w14:textId="291E997E" w:rsidR="00006351" w:rsidRPr="00DB3907" w:rsidRDefault="00D548D5" w:rsidP="00006351">
      <w:pPr>
        <w:pStyle w:val="Header"/>
        <w:rPr>
          <w:rFonts w:cs="Arial"/>
          <w:sz w:val="24"/>
          <w:szCs w:val="24"/>
        </w:rPr>
      </w:pPr>
      <w:r>
        <w:rPr>
          <w:rFonts w:cs="Arial"/>
          <w:sz w:val="24"/>
          <w:szCs w:val="24"/>
        </w:rPr>
        <w:t>Chongqing, CN</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04969B4"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DA24E5">
        <w:rPr>
          <w:rFonts w:ascii="Arial" w:hAnsi="Arial"/>
          <w:sz w:val="24"/>
          <w:lang w:val="en-US"/>
        </w:rPr>
        <w:t>9.21.1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0F478E2B"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94CCC">
        <w:rPr>
          <w:rFonts w:ascii="Arial" w:hAnsi="Arial"/>
          <w:sz w:val="24"/>
          <w:lang w:val="en-US"/>
        </w:rPr>
        <w:t>30 MHz channel bandwidth in Band n28</w:t>
      </w:r>
    </w:p>
    <w:p w14:paraId="013F978F" w14:textId="2F867306"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A1E5B">
        <w:rPr>
          <w:rFonts w:ascii="Arial" w:hAnsi="Arial"/>
          <w:sz w:val="24"/>
          <w:lang w:val="en-US"/>
        </w:rPr>
        <w:t>Approval</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1D16DBAE" w14:textId="131767E2" w:rsidR="00E12531" w:rsidRPr="00EA675F" w:rsidRDefault="00794CCC" w:rsidP="00E12531">
      <w:pPr>
        <w:rPr>
          <w:lang w:val="en-US"/>
        </w:rPr>
      </w:pPr>
      <w:r>
        <w:rPr>
          <w:lang w:val="en-US"/>
        </w:rPr>
        <w:t>In [</w:t>
      </w:r>
      <w:r w:rsidR="00B533CA">
        <w:rPr>
          <w:lang w:val="en-US"/>
        </w:rPr>
        <w:t>1</w:t>
      </w:r>
      <w:r>
        <w:rPr>
          <w:lang w:val="en-US"/>
        </w:rPr>
        <w:t>] it was agreed to add 30 MHz as a UE bandwidth to Band n28.</w:t>
      </w:r>
      <w:r w:rsidR="00876F79">
        <w:rPr>
          <w:lang w:val="en-US"/>
        </w:rPr>
        <w:t xml:space="preserve">  This contribution</w:t>
      </w:r>
      <w:r w:rsidR="001A1E5B">
        <w:rPr>
          <w:lang w:val="en-US"/>
        </w:rPr>
        <w:t xml:space="preserve"> provides an initial evaluation of emission requirements and reference sensitivity.  </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09F6BC11" w14:textId="77777777" w:rsidR="00FC631F" w:rsidRDefault="00FC631F" w:rsidP="00981ED4">
      <w:pPr>
        <w:rPr>
          <w:lang w:val="en-US"/>
        </w:rPr>
      </w:pPr>
      <w:r>
        <w:rPr>
          <w:lang w:val="en-US"/>
        </w:rPr>
        <w:t>Band n</w:t>
      </w:r>
      <w:r w:rsidR="006B3DFB">
        <w:rPr>
          <w:lang w:val="en-US"/>
        </w:rPr>
        <w:t xml:space="preserve">28 </w:t>
      </w:r>
      <w:r>
        <w:rPr>
          <w:lang w:val="en-US"/>
        </w:rPr>
        <w:t>has already been defined in TS 38.101-1 with NS_17 and NS_18 associated to it.</w:t>
      </w:r>
    </w:p>
    <w:p w14:paraId="7687838B" w14:textId="77777777" w:rsidR="00FC631F" w:rsidRPr="00414DAE" w:rsidRDefault="00FC631F" w:rsidP="00FC631F">
      <w:pPr>
        <w:pStyle w:val="TH"/>
      </w:pPr>
      <w:bookmarkStart w:id="1" w:name="_Hlk516051685"/>
      <w:r w:rsidRPr="00414DAE">
        <w:t>Table 6.2.3.1-1</w:t>
      </w:r>
      <w:bookmarkEnd w:id="1"/>
      <w:r w:rsidRPr="00414DAE">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C631F" w:rsidRPr="00414DAE" w14:paraId="16044D3A" w14:textId="77777777" w:rsidTr="00351147">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47CE724B" w14:textId="77777777" w:rsidR="00FC631F" w:rsidRPr="00414DAE" w:rsidRDefault="00FC631F" w:rsidP="00351147">
            <w:pPr>
              <w:pStyle w:val="TAH"/>
            </w:pPr>
            <w:r w:rsidRPr="00414DAE">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56037864" w14:textId="77777777" w:rsidR="00FC631F" w:rsidRPr="00414DAE" w:rsidRDefault="00FC631F" w:rsidP="00351147">
            <w:pPr>
              <w:pStyle w:val="TAH"/>
            </w:pPr>
            <w:r w:rsidRPr="00414DAE">
              <w:t>Requirements (subclause)</w:t>
            </w:r>
          </w:p>
        </w:tc>
        <w:tc>
          <w:tcPr>
            <w:tcW w:w="1883" w:type="dxa"/>
            <w:tcBorders>
              <w:top w:val="single" w:sz="4" w:space="0" w:color="auto"/>
              <w:left w:val="single" w:sz="4" w:space="0" w:color="auto"/>
              <w:bottom w:val="single" w:sz="4" w:space="0" w:color="auto"/>
              <w:right w:val="single" w:sz="4" w:space="0" w:color="auto"/>
            </w:tcBorders>
            <w:vAlign w:val="center"/>
          </w:tcPr>
          <w:p w14:paraId="5E2E89AA" w14:textId="77777777" w:rsidR="00FC631F" w:rsidRPr="00414DAE" w:rsidRDefault="00FC631F" w:rsidP="00351147">
            <w:pPr>
              <w:pStyle w:val="TAH"/>
            </w:pPr>
            <w:r w:rsidRPr="00414DAE">
              <w:t>NR Band</w:t>
            </w:r>
          </w:p>
        </w:tc>
        <w:tc>
          <w:tcPr>
            <w:tcW w:w="1480" w:type="dxa"/>
            <w:tcBorders>
              <w:top w:val="single" w:sz="4" w:space="0" w:color="auto"/>
              <w:left w:val="single" w:sz="4" w:space="0" w:color="auto"/>
              <w:bottom w:val="single" w:sz="4" w:space="0" w:color="auto"/>
              <w:right w:val="single" w:sz="4" w:space="0" w:color="auto"/>
            </w:tcBorders>
            <w:vAlign w:val="center"/>
          </w:tcPr>
          <w:p w14:paraId="3A6429D5" w14:textId="77777777" w:rsidR="00FC631F" w:rsidRPr="00414DAE" w:rsidRDefault="00FC631F" w:rsidP="00351147">
            <w:pPr>
              <w:pStyle w:val="TAH"/>
            </w:pPr>
            <w:r w:rsidRPr="00414DAE">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2FA59983" w14:textId="77777777" w:rsidR="00FC631F" w:rsidRPr="00414DAE" w:rsidRDefault="00FC631F" w:rsidP="00351147">
            <w:pPr>
              <w:pStyle w:val="TAH"/>
            </w:pPr>
            <w:r w:rsidRPr="00414DAE">
              <w:t>Resources blocks</w:t>
            </w:r>
            <w:r w:rsidRPr="00414DAE">
              <w:rPr>
                <w:lang w:eastAsia="zh-CN"/>
              </w:rPr>
              <w:t xml:space="preserve"> </w:t>
            </w:r>
            <w:r w:rsidRPr="00414DAE">
              <w:t>(</w:t>
            </w:r>
            <w:r w:rsidRPr="00414DAE">
              <w:rPr>
                <w:i/>
                <w:iCs/>
              </w:rPr>
              <w:t>N</w:t>
            </w:r>
            <w:r w:rsidRPr="00414DAE">
              <w:rPr>
                <w:vertAlign w:val="subscript"/>
              </w:rPr>
              <w:t>RB</w:t>
            </w:r>
            <w:r w:rsidRPr="00414DAE">
              <w:t>)</w:t>
            </w:r>
          </w:p>
        </w:tc>
        <w:tc>
          <w:tcPr>
            <w:tcW w:w="1423" w:type="dxa"/>
            <w:tcBorders>
              <w:top w:val="single" w:sz="4" w:space="0" w:color="auto"/>
              <w:left w:val="single" w:sz="4" w:space="0" w:color="auto"/>
              <w:bottom w:val="single" w:sz="4" w:space="0" w:color="auto"/>
              <w:right w:val="single" w:sz="4" w:space="0" w:color="auto"/>
            </w:tcBorders>
            <w:vAlign w:val="center"/>
          </w:tcPr>
          <w:p w14:paraId="7EFEF4DA" w14:textId="77777777" w:rsidR="00FC631F" w:rsidRPr="00414DAE" w:rsidRDefault="00FC631F" w:rsidP="00351147">
            <w:pPr>
              <w:pStyle w:val="TAH"/>
            </w:pPr>
            <w:r w:rsidRPr="00414DAE">
              <w:t>A-MPR (dB)</w:t>
            </w:r>
          </w:p>
        </w:tc>
      </w:tr>
      <w:tr w:rsidR="00FC631F" w:rsidRPr="00414DAE" w14:paraId="0EB60D36" w14:textId="77777777" w:rsidTr="00351147">
        <w:trPr>
          <w:trHeight w:val="289"/>
          <w:jc w:val="center"/>
        </w:trPr>
        <w:tc>
          <w:tcPr>
            <w:tcW w:w="1379" w:type="dxa"/>
            <w:tcBorders>
              <w:left w:val="single" w:sz="4" w:space="0" w:color="auto"/>
              <w:bottom w:val="single" w:sz="4" w:space="0" w:color="auto"/>
              <w:right w:val="single" w:sz="4" w:space="0" w:color="auto"/>
            </w:tcBorders>
            <w:vAlign w:val="center"/>
          </w:tcPr>
          <w:p w14:paraId="70185227" w14:textId="77777777" w:rsidR="00FC631F" w:rsidRPr="00414DAE" w:rsidRDefault="00FC631F" w:rsidP="00351147">
            <w:pPr>
              <w:pStyle w:val="TAC"/>
            </w:pPr>
            <w:r w:rsidRPr="00414DAE">
              <w:t>NS_17</w:t>
            </w:r>
          </w:p>
        </w:tc>
        <w:tc>
          <w:tcPr>
            <w:tcW w:w="1894" w:type="dxa"/>
            <w:tcBorders>
              <w:top w:val="single" w:sz="4" w:space="0" w:color="auto"/>
              <w:left w:val="single" w:sz="4" w:space="0" w:color="auto"/>
              <w:bottom w:val="single" w:sz="4" w:space="0" w:color="auto"/>
              <w:right w:val="single" w:sz="4" w:space="0" w:color="auto"/>
            </w:tcBorders>
            <w:vAlign w:val="center"/>
          </w:tcPr>
          <w:p w14:paraId="701496E7" w14:textId="77777777" w:rsidR="00FC631F" w:rsidRPr="00414DAE" w:rsidRDefault="00FC631F" w:rsidP="00351147">
            <w:pPr>
              <w:pStyle w:val="TAC"/>
            </w:pPr>
            <w:r w:rsidRPr="00414DAE">
              <w:t>6.5.3.3.2</w:t>
            </w:r>
          </w:p>
        </w:tc>
        <w:tc>
          <w:tcPr>
            <w:tcW w:w="1883" w:type="dxa"/>
            <w:tcBorders>
              <w:top w:val="single" w:sz="4" w:space="0" w:color="auto"/>
              <w:left w:val="single" w:sz="4" w:space="0" w:color="auto"/>
              <w:bottom w:val="single" w:sz="4" w:space="0" w:color="auto"/>
              <w:right w:val="single" w:sz="4" w:space="0" w:color="auto"/>
            </w:tcBorders>
            <w:vAlign w:val="center"/>
          </w:tcPr>
          <w:p w14:paraId="60EE1C1E" w14:textId="77777777" w:rsidR="00FC631F" w:rsidRPr="00414DAE" w:rsidRDefault="00FC631F" w:rsidP="00351147">
            <w:pPr>
              <w:pStyle w:val="TAC"/>
            </w:pPr>
            <w:r w:rsidRPr="00414DAE">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9B9A303" w14:textId="77777777" w:rsidR="00FC631F" w:rsidRPr="00414DAE" w:rsidRDefault="00FC631F" w:rsidP="00351147">
            <w:pPr>
              <w:pStyle w:val="TAC"/>
            </w:pPr>
            <w:r w:rsidRPr="00414DAE">
              <w:t>5,10</w:t>
            </w:r>
          </w:p>
        </w:tc>
        <w:tc>
          <w:tcPr>
            <w:tcW w:w="1721" w:type="dxa"/>
            <w:tcBorders>
              <w:top w:val="single" w:sz="4" w:space="0" w:color="auto"/>
              <w:left w:val="single" w:sz="4" w:space="0" w:color="auto"/>
              <w:bottom w:val="single" w:sz="4" w:space="0" w:color="auto"/>
              <w:right w:val="single" w:sz="4" w:space="0" w:color="auto"/>
            </w:tcBorders>
            <w:vAlign w:val="center"/>
          </w:tcPr>
          <w:p w14:paraId="51AF6415" w14:textId="77777777" w:rsidR="00FC631F" w:rsidRPr="00414DAE" w:rsidRDefault="00FC631F" w:rsidP="00351147">
            <w:pPr>
              <w:pStyle w:val="TAC"/>
            </w:pPr>
            <w:r w:rsidRPr="00414DAE">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09F6A18" w14:textId="77777777" w:rsidR="00FC631F" w:rsidRPr="00414DAE" w:rsidRDefault="00FC631F" w:rsidP="00351147">
            <w:pPr>
              <w:pStyle w:val="TAC"/>
              <w:rPr>
                <w:lang w:val="en-US"/>
              </w:rPr>
            </w:pPr>
            <w:r w:rsidRPr="00414DAE">
              <w:rPr>
                <w:lang w:val="en-US"/>
              </w:rPr>
              <w:t>N/A</w:t>
            </w:r>
          </w:p>
        </w:tc>
      </w:tr>
      <w:tr w:rsidR="00FC631F" w:rsidRPr="00414DAE" w14:paraId="683C4893" w14:textId="77777777" w:rsidTr="00351147">
        <w:trPr>
          <w:trHeight w:val="289"/>
          <w:jc w:val="center"/>
        </w:trPr>
        <w:tc>
          <w:tcPr>
            <w:tcW w:w="1379" w:type="dxa"/>
            <w:vMerge w:val="restart"/>
            <w:tcBorders>
              <w:top w:val="single" w:sz="4" w:space="0" w:color="auto"/>
              <w:left w:val="single" w:sz="4" w:space="0" w:color="auto"/>
              <w:right w:val="single" w:sz="4" w:space="0" w:color="auto"/>
            </w:tcBorders>
            <w:vAlign w:val="center"/>
          </w:tcPr>
          <w:p w14:paraId="79259912" w14:textId="77777777" w:rsidR="00FC631F" w:rsidRPr="00414DAE" w:rsidRDefault="00FC631F" w:rsidP="00351147">
            <w:pPr>
              <w:pStyle w:val="TAC"/>
            </w:pPr>
            <w:r w:rsidRPr="00414DAE">
              <w:t>NS_18</w:t>
            </w:r>
          </w:p>
        </w:tc>
        <w:tc>
          <w:tcPr>
            <w:tcW w:w="1894" w:type="dxa"/>
            <w:vMerge w:val="restart"/>
            <w:tcBorders>
              <w:top w:val="single" w:sz="4" w:space="0" w:color="auto"/>
              <w:left w:val="single" w:sz="4" w:space="0" w:color="auto"/>
              <w:right w:val="single" w:sz="4" w:space="0" w:color="auto"/>
            </w:tcBorders>
            <w:vAlign w:val="center"/>
          </w:tcPr>
          <w:p w14:paraId="326E3A2E" w14:textId="77777777" w:rsidR="00FC631F" w:rsidRPr="00414DAE" w:rsidRDefault="00FC631F" w:rsidP="00351147">
            <w:pPr>
              <w:pStyle w:val="TAC"/>
            </w:pPr>
            <w:r w:rsidRPr="00414DAE">
              <w:t>6.5.3.3.3</w:t>
            </w:r>
          </w:p>
        </w:tc>
        <w:tc>
          <w:tcPr>
            <w:tcW w:w="1883" w:type="dxa"/>
            <w:vMerge w:val="restart"/>
            <w:tcBorders>
              <w:top w:val="single" w:sz="4" w:space="0" w:color="auto"/>
              <w:left w:val="single" w:sz="4" w:space="0" w:color="auto"/>
              <w:right w:val="single" w:sz="4" w:space="0" w:color="auto"/>
            </w:tcBorders>
            <w:vAlign w:val="center"/>
          </w:tcPr>
          <w:p w14:paraId="49BACD41" w14:textId="77777777" w:rsidR="00FC631F" w:rsidRPr="00414DAE" w:rsidRDefault="00FC631F" w:rsidP="00351147">
            <w:pPr>
              <w:pStyle w:val="TAC"/>
            </w:pPr>
            <w:r w:rsidRPr="00414DAE">
              <w:t>n28, n83</w:t>
            </w:r>
          </w:p>
        </w:tc>
        <w:tc>
          <w:tcPr>
            <w:tcW w:w="1480" w:type="dxa"/>
            <w:tcBorders>
              <w:top w:val="single" w:sz="4" w:space="0" w:color="auto"/>
              <w:left w:val="single" w:sz="4" w:space="0" w:color="auto"/>
              <w:bottom w:val="single" w:sz="4" w:space="0" w:color="auto"/>
              <w:right w:val="single" w:sz="4" w:space="0" w:color="auto"/>
            </w:tcBorders>
            <w:vAlign w:val="center"/>
          </w:tcPr>
          <w:p w14:paraId="1E610896" w14:textId="77777777" w:rsidR="00FC631F" w:rsidRPr="00414DAE" w:rsidRDefault="00FC631F" w:rsidP="00351147">
            <w:pPr>
              <w:pStyle w:val="TAC"/>
            </w:pPr>
            <w:r w:rsidRPr="00414DAE">
              <w:t>5</w:t>
            </w:r>
          </w:p>
        </w:tc>
        <w:tc>
          <w:tcPr>
            <w:tcW w:w="1721" w:type="dxa"/>
            <w:tcBorders>
              <w:top w:val="single" w:sz="4" w:space="0" w:color="auto"/>
              <w:left w:val="single" w:sz="4" w:space="0" w:color="auto"/>
              <w:bottom w:val="single" w:sz="4" w:space="0" w:color="auto"/>
              <w:right w:val="single" w:sz="4" w:space="0" w:color="auto"/>
            </w:tcBorders>
            <w:vAlign w:val="center"/>
          </w:tcPr>
          <w:p w14:paraId="0B933165" w14:textId="77777777" w:rsidR="00FC631F" w:rsidRPr="00414DAE" w:rsidRDefault="00FC631F" w:rsidP="0035114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8DAAD6F" w14:textId="77777777" w:rsidR="00FC631F" w:rsidRPr="00414DAE" w:rsidRDefault="00FC631F" w:rsidP="00351147">
            <w:pPr>
              <w:pStyle w:val="TAC"/>
              <w:rPr>
                <w:lang w:val="en-US"/>
              </w:rPr>
            </w:pPr>
            <w:r w:rsidRPr="00414DAE">
              <w:rPr>
                <w:rFonts w:cs="Arial"/>
              </w:rPr>
              <w:t>Table 6.2.3</w:t>
            </w:r>
            <w:r w:rsidRPr="00414DAE">
              <w:rPr>
                <w:rFonts w:cs="Arial" w:hint="eastAsia"/>
                <w:lang w:val="en-US" w:eastAsia="zh-CN"/>
              </w:rPr>
              <w:t>.13</w:t>
            </w:r>
            <w:r w:rsidRPr="00414DAE">
              <w:rPr>
                <w:rFonts w:cs="Arial"/>
              </w:rPr>
              <w:t>-</w:t>
            </w:r>
            <w:r w:rsidRPr="00414DAE">
              <w:rPr>
                <w:rFonts w:cs="Arial" w:hint="eastAsia"/>
                <w:lang w:val="en-US" w:eastAsia="zh-CN"/>
              </w:rPr>
              <w:t>1</w:t>
            </w:r>
            <w:r w:rsidRPr="00414DAE">
              <w:rPr>
                <w:rFonts w:cs="Arial"/>
              </w:rPr>
              <w:t>, A1</w:t>
            </w:r>
          </w:p>
        </w:tc>
      </w:tr>
      <w:tr w:rsidR="00FC631F" w:rsidRPr="00414DAE" w14:paraId="1A3A485B" w14:textId="77777777" w:rsidTr="00351147">
        <w:trPr>
          <w:trHeight w:val="289"/>
          <w:jc w:val="center"/>
        </w:trPr>
        <w:tc>
          <w:tcPr>
            <w:tcW w:w="1379" w:type="dxa"/>
            <w:vMerge/>
            <w:tcBorders>
              <w:left w:val="single" w:sz="4" w:space="0" w:color="auto"/>
              <w:right w:val="single" w:sz="4" w:space="0" w:color="auto"/>
            </w:tcBorders>
            <w:vAlign w:val="center"/>
          </w:tcPr>
          <w:p w14:paraId="6BB913A7" w14:textId="77777777" w:rsidR="00FC631F" w:rsidRPr="00414DAE" w:rsidRDefault="00FC631F" w:rsidP="00351147">
            <w:pPr>
              <w:pStyle w:val="TAC"/>
            </w:pPr>
          </w:p>
        </w:tc>
        <w:tc>
          <w:tcPr>
            <w:tcW w:w="1894" w:type="dxa"/>
            <w:vMerge/>
            <w:tcBorders>
              <w:left w:val="single" w:sz="4" w:space="0" w:color="auto"/>
              <w:right w:val="single" w:sz="4" w:space="0" w:color="auto"/>
            </w:tcBorders>
            <w:vAlign w:val="center"/>
          </w:tcPr>
          <w:p w14:paraId="3633EF38" w14:textId="77777777" w:rsidR="00FC631F" w:rsidRPr="00414DAE" w:rsidRDefault="00FC631F" w:rsidP="00351147">
            <w:pPr>
              <w:pStyle w:val="TAC"/>
            </w:pPr>
          </w:p>
        </w:tc>
        <w:tc>
          <w:tcPr>
            <w:tcW w:w="1883" w:type="dxa"/>
            <w:vMerge/>
            <w:tcBorders>
              <w:left w:val="single" w:sz="4" w:space="0" w:color="auto"/>
              <w:bottom w:val="single" w:sz="4" w:space="0" w:color="auto"/>
              <w:right w:val="single" w:sz="4" w:space="0" w:color="auto"/>
            </w:tcBorders>
            <w:vAlign w:val="center"/>
          </w:tcPr>
          <w:p w14:paraId="016D136F" w14:textId="77777777" w:rsidR="00FC631F" w:rsidRPr="00414DAE" w:rsidRDefault="00FC631F" w:rsidP="00351147">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508F45DE" w14:textId="77777777" w:rsidR="00FC631F" w:rsidRPr="00414DAE" w:rsidRDefault="00FC631F" w:rsidP="00351147">
            <w:pPr>
              <w:pStyle w:val="TAC"/>
            </w:pPr>
            <w:r w:rsidRPr="00414DAE">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23782680" w14:textId="77777777" w:rsidR="00FC631F" w:rsidRPr="00414DAE" w:rsidRDefault="00FC631F" w:rsidP="0035114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369BB10" w14:textId="77777777" w:rsidR="00FC631F" w:rsidRPr="00414DAE" w:rsidRDefault="00FC631F" w:rsidP="00351147">
            <w:pPr>
              <w:pStyle w:val="TAC"/>
              <w:rPr>
                <w:lang w:val="en-US"/>
              </w:rPr>
            </w:pPr>
            <w:r w:rsidRPr="00414DAE">
              <w:rPr>
                <w:rFonts w:cs="Arial"/>
              </w:rPr>
              <w:t>Table 6.2.3</w:t>
            </w:r>
            <w:r w:rsidRPr="00414DAE">
              <w:rPr>
                <w:rFonts w:cs="Arial" w:hint="eastAsia"/>
                <w:lang w:val="en-US" w:eastAsia="zh-CN"/>
              </w:rPr>
              <w:t>.13</w:t>
            </w:r>
            <w:r w:rsidRPr="00414DAE">
              <w:rPr>
                <w:rFonts w:cs="Arial"/>
              </w:rPr>
              <w:t>-</w:t>
            </w:r>
            <w:r w:rsidRPr="00414DAE">
              <w:rPr>
                <w:rFonts w:cs="Arial" w:hint="eastAsia"/>
                <w:lang w:val="en-US" w:eastAsia="zh-CN"/>
              </w:rPr>
              <w:t>1</w:t>
            </w:r>
            <w:r w:rsidRPr="00414DAE">
              <w:rPr>
                <w:rFonts w:cs="Arial"/>
              </w:rPr>
              <w:t>, A2</w:t>
            </w:r>
          </w:p>
        </w:tc>
      </w:tr>
    </w:tbl>
    <w:p w14:paraId="078FF7DD" w14:textId="59999551" w:rsidR="00563530" w:rsidRDefault="002F6F5A" w:rsidP="00981ED4">
      <w:pPr>
        <w:rPr>
          <w:lang w:val="en-US"/>
        </w:rPr>
      </w:pPr>
      <w:r>
        <w:rPr>
          <w:lang w:val="en-US"/>
        </w:rPr>
        <w:t xml:space="preserve">  </w:t>
      </w:r>
    </w:p>
    <w:p w14:paraId="740226A7" w14:textId="10DB22D1" w:rsidR="00FC631F" w:rsidRDefault="00FC631F" w:rsidP="00981ED4">
      <w:pPr>
        <w:rPr>
          <w:lang w:val="en-US"/>
        </w:rPr>
      </w:pPr>
      <w:r>
        <w:rPr>
          <w:lang w:val="en-US"/>
        </w:rPr>
        <w:t xml:space="preserve">The purpose of NS_17 and NS_18 is to provide protection to digital broadcast receivers operating in frequencies below the uplink of Band n28.  </w:t>
      </w:r>
      <w:r w:rsidR="00C83D2E">
        <w:rPr>
          <w:lang w:val="en-US"/>
        </w:rPr>
        <w:t xml:space="preserve">In adding 30 MHz bandwidth to this band, there needs to be an understanding which of NS_17 and NS_18 will apply.  </w:t>
      </w:r>
    </w:p>
    <w:p w14:paraId="41D36C84" w14:textId="00B222DE" w:rsidR="00B533CA" w:rsidRDefault="00B533CA" w:rsidP="00981ED4">
      <w:pPr>
        <w:rPr>
          <w:lang w:val="en-US"/>
        </w:rPr>
      </w:pPr>
      <w:r>
        <w:rPr>
          <w:lang w:val="en-US"/>
        </w:rPr>
        <w:t xml:space="preserve">From [2] </w:t>
      </w:r>
      <w:proofErr w:type="gramStart"/>
      <w:r>
        <w:rPr>
          <w:lang w:val="en-US"/>
        </w:rPr>
        <w:t>it can be seen that the</w:t>
      </w:r>
      <w:proofErr w:type="gramEnd"/>
      <w:r>
        <w:rPr>
          <w:lang w:val="en-US"/>
        </w:rPr>
        <w:t xml:space="preserve"> motivation for adding the wider 30 MHz bandwidth to Band n28 is to enable</w:t>
      </w:r>
      <w:r w:rsidR="003107ED">
        <w:rPr>
          <w:lang w:val="en-US"/>
        </w:rPr>
        <w:t xml:space="preserve"> 5G network operation in China.  Additionally, NS_17</w:t>
      </w:r>
      <w:r w:rsidR="00014610">
        <w:rPr>
          <w:lang w:val="en-US"/>
        </w:rPr>
        <w:t xml:space="preserve"> requires protection from 470 – 710 MHz which extends into the uplink passband of Band n28.  The NS_17 requirement</w:t>
      </w:r>
      <w:r w:rsidR="00305485">
        <w:rPr>
          <w:lang w:val="en-US"/>
        </w:rPr>
        <w:t xml:space="preserve"> was defined to protect DTV service in Japan [3] and therefore has limited applicability for 5 and 10 MHz carriers contained within 718 – 748 MHz; i.e., contained only within the upper duplexer of the dual duplexer configuration as shown in [2] and reproduced below.</w:t>
      </w:r>
    </w:p>
    <w:p w14:paraId="71BF7B60" w14:textId="214CC80C" w:rsidR="00305485" w:rsidRDefault="00305485" w:rsidP="00981ED4">
      <w:pPr>
        <w:rPr>
          <w:lang w:val="en-US"/>
        </w:rPr>
      </w:pPr>
      <w:r w:rsidRPr="00305485">
        <w:rPr>
          <w:noProof/>
        </w:rPr>
        <w:drawing>
          <wp:inline distT="0" distB="0" distL="0" distR="0" wp14:anchorId="19A3377F" wp14:editId="733EAC6C">
            <wp:extent cx="6115685" cy="1811020"/>
            <wp:effectExtent l="0" t="0" r="0" b="0"/>
            <wp:docPr id="3" name="Picture 2" descr="30MHz sche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30MHz scheme"/>
                    <pic:cNvPicPr>
                      <a:picLocks noChangeAspect="1"/>
                    </pic:cNvPicPr>
                  </pic:nvPicPr>
                  <pic:blipFill>
                    <a:blip r:embed="rId8"/>
                    <a:stretch>
                      <a:fillRect/>
                    </a:stretch>
                  </pic:blipFill>
                  <pic:spPr>
                    <a:xfrm>
                      <a:off x="0" y="0"/>
                      <a:ext cx="6115685" cy="1811020"/>
                    </a:xfrm>
                    <a:prstGeom prst="rect">
                      <a:avLst/>
                    </a:prstGeom>
                  </pic:spPr>
                </pic:pic>
              </a:graphicData>
            </a:graphic>
          </wp:inline>
        </w:drawing>
      </w:r>
    </w:p>
    <w:p w14:paraId="6979AFB2" w14:textId="30F99A4A" w:rsidR="00FC631F" w:rsidRDefault="00305485" w:rsidP="00981ED4">
      <w:pPr>
        <w:rPr>
          <w:lang w:val="en-US"/>
        </w:rPr>
      </w:pPr>
      <w:r>
        <w:rPr>
          <w:lang w:val="en-US"/>
        </w:rPr>
        <w:t xml:space="preserve">On the other hand, </w:t>
      </w:r>
      <w:r w:rsidR="00230619">
        <w:rPr>
          <w:lang w:val="en-US"/>
        </w:rPr>
        <w:t>NS_18 was defined for more general protection against DTV and is applicable for all currently defined n28 bandwidths across both duplexers.  It is therefore proposed that NS_18 be applicable to the new 30 MHz channel where A-MPR will need to be studied.</w:t>
      </w:r>
    </w:p>
    <w:p w14:paraId="72A0CD5D" w14:textId="601B723F" w:rsidR="00230619" w:rsidRPr="00230619" w:rsidRDefault="00230619" w:rsidP="00981ED4">
      <w:pPr>
        <w:rPr>
          <w:b/>
          <w:lang w:val="en-US"/>
        </w:rPr>
      </w:pPr>
      <w:r w:rsidRPr="00230619">
        <w:rPr>
          <w:b/>
          <w:lang w:val="en-US"/>
        </w:rPr>
        <w:lastRenderedPageBreak/>
        <w:t>Proposal</w:t>
      </w:r>
      <w:r w:rsidR="00876F79">
        <w:rPr>
          <w:b/>
          <w:lang w:val="en-US"/>
        </w:rPr>
        <w:t xml:space="preserve"> 1</w:t>
      </w:r>
      <w:r w:rsidRPr="00230619">
        <w:rPr>
          <w:b/>
          <w:lang w:val="en-US"/>
        </w:rPr>
        <w:t xml:space="preserve">:  NS_17 is not applicable to 30 MHz in Band n28.  NS_18 is applicable to 30 MHz in Band n28.  The necessary A-MPR will be studied for 30 MHz carrier centered at 718 MHz and 733 </w:t>
      </w:r>
      <w:proofErr w:type="spellStart"/>
      <w:r w:rsidRPr="00230619">
        <w:rPr>
          <w:b/>
          <w:lang w:val="en-US"/>
        </w:rPr>
        <w:t>MHz.</w:t>
      </w:r>
      <w:proofErr w:type="spellEnd"/>
    </w:p>
    <w:p w14:paraId="7CDD3DE5" w14:textId="7A668340" w:rsidR="00230619" w:rsidRDefault="00230619" w:rsidP="00981ED4">
      <w:pPr>
        <w:rPr>
          <w:lang w:val="en-US"/>
        </w:rPr>
      </w:pPr>
      <w:r>
        <w:rPr>
          <w:lang w:val="en-US"/>
        </w:rPr>
        <w:t>For reference sensitivit</w:t>
      </w:r>
      <w:r w:rsidR="00876F79">
        <w:rPr>
          <w:lang w:val="en-US"/>
        </w:rPr>
        <w:t xml:space="preserve">y with 30 MHz channel bandwidth, the Tx-Rx separation relatively small.  </w:t>
      </w:r>
      <w:proofErr w:type="gramStart"/>
      <w:r w:rsidR="00876F79">
        <w:rPr>
          <w:lang w:val="en-US"/>
        </w:rPr>
        <w:t>As a consequence</w:t>
      </w:r>
      <w:proofErr w:type="gramEnd"/>
      <w:r w:rsidR="00876F79">
        <w:rPr>
          <w:lang w:val="en-US"/>
        </w:rPr>
        <w:t xml:space="preserve">, even the smaller bandwidths require a reduced uplink configuration in the reference sensitivity requirement to minimize the influence due to Tx spectral regrowth.  The same can be expected for 30 </w:t>
      </w:r>
      <w:proofErr w:type="spellStart"/>
      <w:r w:rsidR="00876F79">
        <w:rPr>
          <w:lang w:val="en-US"/>
        </w:rPr>
        <w:t>MHz.</w:t>
      </w:r>
      <w:proofErr w:type="spellEnd"/>
      <w:r w:rsidR="00876F79">
        <w:rPr>
          <w:lang w:val="en-US"/>
        </w:rPr>
        <w:t xml:space="preserve">  In addition, however, for 30 MHz the separation between Tx and Rx is small enough that there will be additional reference sensitivity degradation due to interference from counter-IM and other baseband spurious products.  A study of these effects will be needed to derive 30 MHz reference sensitivity.</w:t>
      </w:r>
    </w:p>
    <w:p w14:paraId="49C63100" w14:textId="5D512FE9" w:rsidR="00876F79" w:rsidRPr="00876F79" w:rsidRDefault="00876F79" w:rsidP="00981ED4">
      <w:pPr>
        <w:rPr>
          <w:b/>
          <w:lang w:val="en-US"/>
        </w:rPr>
      </w:pPr>
      <w:r w:rsidRPr="00876F79">
        <w:rPr>
          <w:b/>
          <w:lang w:val="en-US"/>
        </w:rPr>
        <w:t>Proposal 2:  Reference sensitivity for 30 MHz will require a reduced uplink configuration and additional relaxation due to counter-IM and other baseband spurious products due to the narrow Tx-Rx separation.  Further study is needed to quantify these effects</w:t>
      </w:r>
      <w:r w:rsidR="00B72E83">
        <w:rPr>
          <w:b/>
          <w:lang w:val="en-US"/>
        </w:rPr>
        <w:t xml:space="preserve"> for 30 MHz channel with uplink carrier centered at 718 MHz and 733 </w:t>
      </w:r>
      <w:proofErr w:type="spellStart"/>
      <w:r w:rsidR="00B72E83">
        <w:rPr>
          <w:b/>
          <w:lang w:val="en-US"/>
        </w:rPr>
        <w:t>MHz</w:t>
      </w:r>
      <w:r w:rsidRPr="00876F79">
        <w:rPr>
          <w:b/>
          <w:lang w:val="en-US"/>
        </w:rPr>
        <w:t>.</w:t>
      </w:r>
      <w:proofErr w:type="spellEnd"/>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199F40CE" w14:textId="6723ECEC" w:rsidR="00A16631" w:rsidRPr="001937B4" w:rsidRDefault="001A1E5B" w:rsidP="00A16631">
      <w:pPr>
        <w:rPr>
          <w:b/>
          <w:lang w:val="en-US"/>
        </w:rPr>
      </w:pPr>
      <w:r>
        <w:rPr>
          <w:lang w:val="en-US"/>
        </w:rPr>
        <w:t>The introduction of 30 MHz into Band n28 brings about the need for additional study.  The first aspect requiring study is the A-MPR to meet emission requirements.  In this case, it is proposed that NS_18 is applicable for 30 MHz whereas NS_17 is not.  For reference sensitivity, the relatively narrow Tx-Rx separation suggests that Tx spectral regrowth will need to be contained by reducing the uplink configuration.  Moreover, reference sensitivity is expected to be degraded by counter-IM interference from the transmitter due to the wider bandwidth the correspondingly further reach of the transmitter spurious products.</w:t>
      </w:r>
    </w:p>
    <w:p w14:paraId="164EF73E" w14:textId="77777777" w:rsidR="001A1E5B" w:rsidRPr="00230619" w:rsidRDefault="001A1E5B" w:rsidP="001A1E5B">
      <w:pPr>
        <w:rPr>
          <w:b/>
          <w:lang w:val="en-US"/>
        </w:rPr>
      </w:pPr>
      <w:r w:rsidRPr="00230619">
        <w:rPr>
          <w:b/>
          <w:lang w:val="en-US"/>
        </w:rPr>
        <w:t>Proposal</w:t>
      </w:r>
      <w:r>
        <w:rPr>
          <w:b/>
          <w:lang w:val="en-US"/>
        </w:rPr>
        <w:t xml:space="preserve"> 1</w:t>
      </w:r>
      <w:r w:rsidRPr="00230619">
        <w:rPr>
          <w:b/>
          <w:lang w:val="en-US"/>
        </w:rPr>
        <w:t xml:space="preserve">:  NS_17 is not applicable to 30 MHz in Band n28.  NS_18 is applicable to 30 MHz in Band n28.  The necessary A-MPR will be studied for 30 MHz carrier centered at 718 MHz and 733 </w:t>
      </w:r>
      <w:proofErr w:type="spellStart"/>
      <w:r w:rsidRPr="00230619">
        <w:rPr>
          <w:b/>
          <w:lang w:val="en-US"/>
        </w:rPr>
        <w:t>MHz.</w:t>
      </w:r>
      <w:proofErr w:type="spellEnd"/>
    </w:p>
    <w:p w14:paraId="45350E48" w14:textId="4FE33A1F" w:rsidR="001A1E5B" w:rsidRPr="00876F79" w:rsidRDefault="001A1E5B" w:rsidP="001A1E5B">
      <w:pPr>
        <w:rPr>
          <w:b/>
          <w:lang w:val="en-US"/>
        </w:rPr>
      </w:pPr>
      <w:r w:rsidRPr="00876F79">
        <w:rPr>
          <w:b/>
          <w:lang w:val="en-US"/>
        </w:rPr>
        <w:t xml:space="preserve">Proposal 2:  Reference sensitivity for 30 MHz will require a reduced uplink configuration and additional relaxation due to counter-IM and other baseband spurious products due to the narrow Tx-Rx separation.  </w:t>
      </w:r>
      <w:r w:rsidR="00B72E83" w:rsidRPr="00876F79">
        <w:rPr>
          <w:b/>
          <w:lang w:val="en-US"/>
        </w:rPr>
        <w:t>Further study is needed to quantify these effects</w:t>
      </w:r>
      <w:r w:rsidR="00B72E83">
        <w:rPr>
          <w:b/>
          <w:lang w:val="en-US"/>
        </w:rPr>
        <w:t xml:space="preserve"> for 30 MHz channel with uplink carrier centered at 718 MHz and 733 </w:t>
      </w:r>
      <w:proofErr w:type="spellStart"/>
      <w:r w:rsidR="00B72E83">
        <w:rPr>
          <w:b/>
          <w:lang w:val="en-US"/>
        </w:rPr>
        <w:t>MHz</w:t>
      </w:r>
      <w:r w:rsidR="00B72E83" w:rsidRPr="00876F79">
        <w:rPr>
          <w:b/>
          <w:lang w:val="en-US"/>
        </w:rPr>
        <w:t>.</w:t>
      </w:r>
      <w:proofErr w:type="spellEnd"/>
    </w:p>
    <w:p w14:paraId="370EE77B" w14:textId="77777777" w:rsidR="0090577D" w:rsidRDefault="0090577D" w:rsidP="00505D2D">
      <w:pPr>
        <w:pStyle w:val="Heading1"/>
        <w:numPr>
          <w:ilvl w:val="0"/>
          <w:numId w:val="0"/>
        </w:numPr>
        <w:ind w:left="432" w:hanging="432"/>
        <w:rPr>
          <w:lang w:val="en-US"/>
        </w:rPr>
      </w:pPr>
      <w:r>
        <w:rPr>
          <w:lang w:val="en-US"/>
        </w:rPr>
        <w:t>Reference</w:t>
      </w:r>
    </w:p>
    <w:p w14:paraId="32E512A6" w14:textId="65AC37F5" w:rsidR="00B533CA" w:rsidRDefault="005D5961" w:rsidP="001219FC">
      <w:pPr>
        <w:numPr>
          <w:ilvl w:val="0"/>
          <w:numId w:val="2"/>
        </w:numPr>
        <w:tabs>
          <w:tab w:val="left" w:pos="1080"/>
        </w:tabs>
        <w:rPr>
          <w:lang w:val="en-US" w:eastAsia="x-none"/>
        </w:rPr>
      </w:pPr>
      <w:bookmarkStart w:id="2" w:name="_Hlk859252"/>
      <w:r>
        <w:rPr>
          <w:lang w:val="en-US" w:eastAsia="x-none"/>
        </w:rPr>
        <w:t>R</w:t>
      </w:r>
      <w:r w:rsidR="006F4DF6">
        <w:rPr>
          <w:lang w:val="en-US" w:eastAsia="x-none"/>
        </w:rPr>
        <w:t>P-19</w:t>
      </w:r>
      <w:r w:rsidR="00B533CA">
        <w:rPr>
          <w:lang w:val="en-US" w:eastAsia="x-none"/>
        </w:rPr>
        <w:t>2261</w:t>
      </w:r>
      <w:r>
        <w:rPr>
          <w:lang w:val="en-US" w:eastAsia="x-none"/>
        </w:rPr>
        <w:t>, “</w:t>
      </w:r>
      <w:r w:rsidR="00B533CA" w:rsidRPr="00B533CA">
        <w:rPr>
          <w:lang w:val="en-US" w:eastAsia="x-none"/>
        </w:rPr>
        <w:t>New WI proposal: Addition of wider channel bandwidth in NR band n28</w:t>
      </w:r>
      <w:r w:rsidR="00B533CA">
        <w:rPr>
          <w:lang w:val="en-US" w:eastAsia="x-none"/>
        </w:rPr>
        <w:t xml:space="preserve">,” CBN, Huawei, </w:t>
      </w:r>
      <w:proofErr w:type="spellStart"/>
      <w:r w:rsidR="00B533CA">
        <w:rPr>
          <w:lang w:val="en-US" w:eastAsia="x-none"/>
        </w:rPr>
        <w:t>HiSilicon</w:t>
      </w:r>
      <w:proofErr w:type="spellEnd"/>
    </w:p>
    <w:p w14:paraId="1AEB9716" w14:textId="2A1C35E8" w:rsidR="00B533CA" w:rsidRDefault="00B533CA" w:rsidP="00CB6DA8">
      <w:pPr>
        <w:numPr>
          <w:ilvl w:val="0"/>
          <w:numId w:val="2"/>
        </w:numPr>
        <w:tabs>
          <w:tab w:val="left" w:pos="1080"/>
        </w:tabs>
        <w:rPr>
          <w:lang w:val="en-US" w:eastAsia="x-none"/>
        </w:rPr>
      </w:pPr>
      <w:r w:rsidRPr="00B533CA">
        <w:rPr>
          <w:lang w:val="en-US" w:eastAsia="x-none"/>
        </w:rPr>
        <w:t>RP-191726, “Motivation for New WI proposal: Addition of wider channel bandwidth</w:t>
      </w:r>
      <w:r>
        <w:rPr>
          <w:lang w:val="en-US" w:eastAsia="x-none"/>
        </w:rPr>
        <w:t xml:space="preserve"> </w:t>
      </w:r>
      <w:r w:rsidRPr="00B533CA">
        <w:rPr>
          <w:lang w:val="en-US" w:eastAsia="x-none"/>
        </w:rPr>
        <w:t>in NR band n28</w:t>
      </w:r>
      <w:r>
        <w:rPr>
          <w:lang w:val="en-US" w:eastAsia="x-none"/>
        </w:rPr>
        <w:t>,” CBN</w:t>
      </w:r>
    </w:p>
    <w:p w14:paraId="174CCE30" w14:textId="2E13A621" w:rsidR="00305485" w:rsidRPr="00B533CA" w:rsidRDefault="00305485" w:rsidP="00CB6DA8">
      <w:pPr>
        <w:numPr>
          <w:ilvl w:val="0"/>
          <w:numId w:val="2"/>
        </w:numPr>
        <w:tabs>
          <w:tab w:val="left" w:pos="1080"/>
        </w:tabs>
        <w:rPr>
          <w:lang w:val="en-US" w:eastAsia="x-none"/>
        </w:rPr>
      </w:pPr>
      <w:r>
        <w:rPr>
          <w:lang w:val="en-US" w:eastAsia="x-none"/>
        </w:rPr>
        <w:t>R4-122473, “</w:t>
      </w:r>
      <w:r w:rsidRPr="00305485">
        <w:rPr>
          <w:lang w:val="en-US" w:eastAsia="x-none"/>
        </w:rPr>
        <w:t>Lower limit of DTV protection for APAC700 (FDD)</w:t>
      </w:r>
      <w:r>
        <w:rPr>
          <w:lang w:val="en-US" w:eastAsia="x-none"/>
        </w:rPr>
        <w:t xml:space="preserve">,” </w:t>
      </w:r>
      <w:r w:rsidRPr="00305485">
        <w:rPr>
          <w:lang w:val="en-US" w:eastAsia="x-none"/>
        </w:rPr>
        <w:t xml:space="preserve">NTT DOCOMO, Panasonic, </w:t>
      </w:r>
      <w:proofErr w:type="spellStart"/>
      <w:r w:rsidRPr="00305485">
        <w:rPr>
          <w:lang w:val="en-US" w:eastAsia="x-none"/>
        </w:rPr>
        <w:t>eAccess</w:t>
      </w:r>
      <w:proofErr w:type="spellEnd"/>
      <w:r w:rsidRPr="00305485">
        <w:rPr>
          <w:lang w:val="en-US" w:eastAsia="x-none"/>
        </w:rPr>
        <w:t>, KDDI, NEC, Sharp, Fujitsu</w:t>
      </w:r>
      <w:bookmarkEnd w:id="2"/>
    </w:p>
    <w:sectPr w:rsidR="00305485" w:rsidRPr="00B533CA"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C8E64" w14:textId="77777777" w:rsidR="00C53E69" w:rsidRDefault="00C53E69">
      <w:r>
        <w:separator/>
      </w:r>
    </w:p>
  </w:endnote>
  <w:endnote w:type="continuationSeparator" w:id="0">
    <w:p w14:paraId="7F22C4C7" w14:textId="77777777" w:rsidR="00C53E69" w:rsidRDefault="00C5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FD6DA" w14:textId="77777777" w:rsidR="00C53E69" w:rsidRDefault="00C53E69">
      <w:r>
        <w:separator/>
      </w:r>
    </w:p>
  </w:footnote>
  <w:footnote w:type="continuationSeparator" w:id="0">
    <w:p w14:paraId="247555A9" w14:textId="77777777" w:rsidR="00C53E69" w:rsidRDefault="00C53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3"/>
  </w:num>
  <w:num w:numId="4">
    <w:abstractNumId w:val="14"/>
  </w:num>
  <w:num w:numId="5">
    <w:abstractNumId w:val="10"/>
  </w:num>
  <w:num w:numId="6">
    <w:abstractNumId w:val="4"/>
  </w:num>
  <w:num w:numId="7">
    <w:abstractNumId w:val="1"/>
  </w:num>
  <w:num w:numId="8">
    <w:abstractNumId w:val="12"/>
  </w:num>
  <w:num w:numId="9">
    <w:abstractNumId w:val="5"/>
  </w:num>
  <w:num w:numId="10">
    <w:abstractNumId w:val="9"/>
  </w:num>
  <w:num w:numId="11">
    <w:abstractNumId w:val="16"/>
  </w:num>
  <w:num w:numId="12">
    <w:abstractNumId w:val="3"/>
  </w:num>
  <w:num w:numId="13">
    <w:abstractNumId w:val="8"/>
  </w:num>
  <w:num w:numId="14">
    <w:abstractNumId w:val="2"/>
  </w:num>
  <w:num w:numId="15">
    <w:abstractNumId w:val="7"/>
  </w:num>
  <w:num w:numId="16">
    <w:abstractNumId w:val="1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10"/>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1E5B"/>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619"/>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485"/>
    <w:rsid w:val="00305E70"/>
    <w:rsid w:val="0030648A"/>
    <w:rsid w:val="00306C15"/>
    <w:rsid w:val="0030710A"/>
    <w:rsid w:val="00307F1E"/>
    <w:rsid w:val="0031040B"/>
    <w:rsid w:val="003107ED"/>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628"/>
    <w:rsid w:val="0034670C"/>
    <w:rsid w:val="00346BAD"/>
    <w:rsid w:val="00347822"/>
    <w:rsid w:val="003478F5"/>
    <w:rsid w:val="0035071D"/>
    <w:rsid w:val="003508AD"/>
    <w:rsid w:val="003512A1"/>
    <w:rsid w:val="00351328"/>
    <w:rsid w:val="003514E1"/>
    <w:rsid w:val="003517BE"/>
    <w:rsid w:val="003532C2"/>
    <w:rsid w:val="003534A5"/>
    <w:rsid w:val="00353D8F"/>
    <w:rsid w:val="003543AB"/>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2AB"/>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3AF"/>
    <w:rsid w:val="006845CA"/>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DFB"/>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CCC"/>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DFD"/>
    <w:rsid w:val="00875013"/>
    <w:rsid w:val="0087541C"/>
    <w:rsid w:val="00875E39"/>
    <w:rsid w:val="00875ECC"/>
    <w:rsid w:val="008760A4"/>
    <w:rsid w:val="00876F79"/>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949"/>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37DC"/>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3CA"/>
    <w:rsid w:val="00B53BCD"/>
    <w:rsid w:val="00B53DBF"/>
    <w:rsid w:val="00B5471A"/>
    <w:rsid w:val="00B547C3"/>
    <w:rsid w:val="00B54954"/>
    <w:rsid w:val="00B55CE7"/>
    <w:rsid w:val="00B56138"/>
    <w:rsid w:val="00B57C8E"/>
    <w:rsid w:val="00B6022D"/>
    <w:rsid w:val="00B61C7E"/>
    <w:rsid w:val="00B61E2E"/>
    <w:rsid w:val="00B61F6F"/>
    <w:rsid w:val="00B6247B"/>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2E83"/>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55"/>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E69"/>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E"/>
    <w:rsid w:val="00C83D2F"/>
    <w:rsid w:val="00C84110"/>
    <w:rsid w:val="00C843D8"/>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4E5"/>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1F"/>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A6BC9-F0C1-468C-B9F6-E6BE23615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2019-10-04T21:27:00Z</dcterms:created>
  <dcterms:modified xsi:type="dcterms:W3CDTF">2019-10-04T21:27:00Z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