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18EF0" w14:textId="19382239" w:rsidR="00006351" w:rsidRPr="00DB3907" w:rsidRDefault="00006351" w:rsidP="00006351">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4716F0">
        <w:rPr>
          <w:rFonts w:cs="Arial"/>
          <w:sz w:val="24"/>
          <w:szCs w:val="24"/>
          <w:lang w:val="de-DE"/>
        </w:rPr>
        <w:t>2</w:t>
      </w:r>
      <w:r w:rsidR="008475CA">
        <w:rPr>
          <w:rFonts w:cs="Arial"/>
          <w:sz w:val="24"/>
          <w:szCs w:val="24"/>
          <w:lang w:val="de-DE"/>
        </w:rPr>
        <w:t>bis</w:t>
      </w:r>
      <w:r w:rsidRPr="00DB3907">
        <w:rPr>
          <w:rFonts w:cs="Arial"/>
          <w:sz w:val="24"/>
          <w:szCs w:val="24"/>
          <w:lang w:val="de-DE"/>
        </w:rPr>
        <w:tab/>
        <w:t>R4-</w:t>
      </w:r>
      <w:r>
        <w:rPr>
          <w:rFonts w:cs="Arial"/>
          <w:sz w:val="24"/>
          <w:szCs w:val="24"/>
          <w:lang w:val="de-DE"/>
        </w:rPr>
        <w:t>19</w:t>
      </w:r>
      <w:r w:rsidR="008475CA">
        <w:rPr>
          <w:rFonts w:cs="Arial"/>
          <w:sz w:val="24"/>
          <w:szCs w:val="24"/>
          <w:lang w:val="de-DE"/>
        </w:rPr>
        <w:t>1</w:t>
      </w:r>
      <w:r w:rsidR="005B2A44">
        <w:rPr>
          <w:rFonts w:cs="Arial"/>
          <w:sz w:val="24"/>
          <w:szCs w:val="24"/>
          <w:lang w:val="de-DE"/>
        </w:rPr>
        <w:t>2484</w:t>
      </w:r>
      <w:bookmarkStart w:id="0" w:name="_GoBack"/>
      <w:bookmarkEnd w:id="0"/>
    </w:p>
    <w:p w14:paraId="62C54E00" w14:textId="0E48C7FC" w:rsidR="00006351" w:rsidRPr="00DB3907" w:rsidRDefault="00B32606" w:rsidP="00006351">
      <w:pPr>
        <w:pStyle w:val="Header"/>
        <w:tabs>
          <w:tab w:val="left" w:pos="6521"/>
        </w:tabs>
        <w:rPr>
          <w:rFonts w:cs="Arial"/>
          <w:sz w:val="24"/>
          <w:szCs w:val="24"/>
        </w:rPr>
      </w:pPr>
      <w:r>
        <w:rPr>
          <w:rFonts w:cs="Arial"/>
          <w:sz w:val="24"/>
          <w:szCs w:val="24"/>
        </w:rPr>
        <w:t>October</w:t>
      </w:r>
      <w:r w:rsidR="00006351">
        <w:rPr>
          <w:rFonts w:cs="Arial"/>
          <w:sz w:val="24"/>
          <w:szCs w:val="24"/>
        </w:rPr>
        <w:t xml:space="preserve"> </w:t>
      </w:r>
      <w:r>
        <w:rPr>
          <w:rFonts w:cs="Arial"/>
          <w:sz w:val="24"/>
          <w:szCs w:val="24"/>
        </w:rPr>
        <w:t>14</w:t>
      </w:r>
      <w:r w:rsidR="00006351">
        <w:rPr>
          <w:rFonts w:cs="Arial"/>
          <w:sz w:val="24"/>
          <w:szCs w:val="24"/>
          <w:vertAlign w:val="superscript"/>
        </w:rPr>
        <w:t>th</w:t>
      </w:r>
      <w:r w:rsidR="00006351">
        <w:rPr>
          <w:rFonts w:cs="Arial"/>
          <w:sz w:val="24"/>
          <w:szCs w:val="24"/>
        </w:rPr>
        <w:t xml:space="preserve"> ‒ </w:t>
      </w:r>
      <w:r>
        <w:rPr>
          <w:rFonts w:cs="Arial"/>
          <w:sz w:val="24"/>
          <w:szCs w:val="24"/>
        </w:rPr>
        <w:t>18</w:t>
      </w:r>
      <w:r w:rsidR="00006351">
        <w:rPr>
          <w:rFonts w:cs="Arial"/>
          <w:sz w:val="24"/>
          <w:szCs w:val="24"/>
          <w:vertAlign w:val="superscript"/>
        </w:rPr>
        <w:t>th</w:t>
      </w:r>
      <w:r w:rsidR="00006351">
        <w:rPr>
          <w:rFonts w:cs="Arial"/>
          <w:sz w:val="24"/>
          <w:szCs w:val="24"/>
        </w:rPr>
        <w:t>, 2019</w:t>
      </w:r>
    </w:p>
    <w:p w14:paraId="464E3469" w14:textId="291E997E" w:rsidR="00006351" w:rsidRPr="00DB3907" w:rsidRDefault="00D548D5" w:rsidP="00006351">
      <w:pPr>
        <w:pStyle w:val="Header"/>
        <w:rPr>
          <w:rFonts w:cs="Arial"/>
          <w:sz w:val="24"/>
          <w:szCs w:val="24"/>
        </w:rPr>
      </w:pPr>
      <w:r>
        <w:rPr>
          <w:rFonts w:cs="Arial"/>
          <w:sz w:val="24"/>
          <w:szCs w:val="24"/>
        </w:rPr>
        <w:t>Chongqing, CN</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FB0868E"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45349F">
        <w:rPr>
          <w:rFonts w:ascii="Arial" w:hAnsi="Arial"/>
          <w:sz w:val="24"/>
          <w:lang w:val="en-US"/>
        </w:rPr>
        <w:t>10.3.1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7FAB12FE"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C2D31">
        <w:rPr>
          <w:rFonts w:ascii="Arial" w:hAnsi="Arial"/>
          <w:sz w:val="24"/>
          <w:lang w:val="en-US"/>
        </w:rPr>
        <w:t xml:space="preserve">Comparison of options for </w:t>
      </w:r>
      <w:r w:rsidR="008475CA">
        <w:rPr>
          <w:rFonts w:ascii="Arial" w:hAnsi="Arial"/>
          <w:sz w:val="24"/>
          <w:lang w:val="en-US"/>
        </w:rPr>
        <w:t>FDD-TDD PC2 duty cycle capability signaling</w:t>
      </w:r>
    </w:p>
    <w:p w14:paraId="013F978F"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2C1343">
        <w:rPr>
          <w:rFonts w:ascii="Arial" w:hAnsi="Arial"/>
          <w:sz w:val="24"/>
          <w:lang w:val="en-US"/>
        </w:rPr>
        <w:t>Discussion</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1D16DBAE" w14:textId="539BF79E" w:rsidR="00E12531" w:rsidRPr="00EA675F" w:rsidRDefault="00FB4C76" w:rsidP="00E12531">
      <w:pPr>
        <w:rPr>
          <w:lang w:val="en-US"/>
        </w:rPr>
      </w:pPr>
      <w:r>
        <w:rPr>
          <w:lang w:val="en-US"/>
        </w:rPr>
        <w:t>In [</w:t>
      </w:r>
      <w:r w:rsidR="003210FF">
        <w:rPr>
          <w:lang w:val="en-US"/>
        </w:rPr>
        <w:t>1</w:t>
      </w:r>
      <w:r>
        <w:rPr>
          <w:lang w:val="en-US"/>
        </w:rPr>
        <w:t>], six options were summarized on how to enable maximum uplink transmission power for FDD-TDD EN-DC while at the same time meeting constraints due to SAR</w:t>
      </w:r>
      <w:r w:rsidR="00036D09">
        <w:rPr>
          <w:lang w:val="en-US"/>
        </w:rPr>
        <w:t>.</w:t>
      </w:r>
      <w:r>
        <w:rPr>
          <w:lang w:val="en-US"/>
        </w:rPr>
        <w:t xml:space="preserve">  These options are intended to be network-assisted solutions, while UE autonomous solutions using P-MPR are always allowed [</w:t>
      </w:r>
      <w:r w:rsidR="003210FF">
        <w:rPr>
          <w:lang w:val="en-US"/>
        </w:rPr>
        <w:t>2</w:t>
      </w:r>
      <w:r>
        <w:rPr>
          <w:lang w:val="en-US"/>
        </w:rPr>
        <w:t xml:space="preserve">].  The network-assisted solutions </w:t>
      </w:r>
      <w:r w:rsidR="002470BB">
        <w:rPr>
          <w:lang w:val="en-US"/>
        </w:rPr>
        <w:t>rely upon the UE signaling a capability related to maximum uplink duty cycle or the network imposing a lowered maximum output power constraint on the FDD cell group to enable opportunity to transmit on the TDD cell group.</w:t>
      </w:r>
    </w:p>
    <w:p w14:paraId="10F6602E" w14:textId="5CE10DA4" w:rsidR="007E1E78" w:rsidRDefault="007E1E78" w:rsidP="0099327E">
      <w:pPr>
        <w:pStyle w:val="Heading1"/>
        <w:tabs>
          <w:tab w:val="clear" w:pos="432"/>
          <w:tab w:val="num" w:pos="522"/>
        </w:tabs>
        <w:ind w:left="522" w:hanging="522"/>
        <w:rPr>
          <w:lang w:val="en-US"/>
        </w:rPr>
      </w:pPr>
      <w:r>
        <w:rPr>
          <w:lang w:val="en-US"/>
        </w:rPr>
        <w:t>Discussion</w:t>
      </w:r>
    </w:p>
    <w:p w14:paraId="760E67BA" w14:textId="77777777" w:rsidR="003210FF" w:rsidRDefault="002470BB" w:rsidP="002470BB">
      <w:pPr>
        <w:rPr>
          <w:lang w:val="en-US"/>
        </w:rPr>
      </w:pPr>
      <w:r>
        <w:rPr>
          <w:lang w:val="en-US"/>
        </w:rPr>
        <w:t>As argued in [</w:t>
      </w:r>
      <w:r w:rsidR="003210FF">
        <w:rPr>
          <w:lang w:val="en-US"/>
        </w:rPr>
        <w:t>3</w:t>
      </w:r>
      <w:r>
        <w:rPr>
          <w:lang w:val="en-US"/>
        </w:rPr>
        <w:t xml:space="preserve">] a UE autonomous solution using P-MPR is always available irrespective of any network-assisted solution that may also be </w:t>
      </w:r>
      <w:r w:rsidR="00D2761C">
        <w:rPr>
          <w:lang w:val="en-US"/>
        </w:rPr>
        <w:t xml:space="preserve">facilitated by UE capability signaling.  </w:t>
      </w:r>
      <w:r w:rsidR="003210FF">
        <w:rPr>
          <w:lang w:val="en-US"/>
        </w:rPr>
        <w:t>Since this point seems agreeable without contention, t</w:t>
      </w:r>
      <w:r w:rsidR="00D2761C">
        <w:rPr>
          <w:lang w:val="en-US"/>
        </w:rPr>
        <w:t>his contribution focuses on the network-assisted solutions</w:t>
      </w:r>
      <w:r w:rsidR="003210FF">
        <w:rPr>
          <w:lang w:val="en-US"/>
        </w:rPr>
        <w:t xml:space="preserve"> on top of UE autonomous</w:t>
      </w:r>
      <w:r w:rsidR="00D2761C">
        <w:rPr>
          <w:lang w:val="en-US"/>
        </w:rPr>
        <w:t>.</w:t>
      </w:r>
      <w:r w:rsidR="003210FF">
        <w:rPr>
          <w:lang w:val="en-US"/>
        </w:rPr>
        <w:t xml:space="preserve">  </w:t>
      </w:r>
      <w:r w:rsidR="00D2761C">
        <w:rPr>
          <w:lang w:val="en-US"/>
        </w:rPr>
        <w:t xml:space="preserve">The purpose of network-assisted solutions </w:t>
      </w:r>
      <w:proofErr w:type="gramStart"/>
      <w:r w:rsidR="00D2761C">
        <w:rPr>
          <w:lang w:val="en-US"/>
        </w:rPr>
        <w:t>are</w:t>
      </w:r>
      <w:proofErr w:type="gramEnd"/>
      <w:r w:rsidR="00D2761C">
        <w:rPr>
          <w:lang w:val="en-US"/>
        </w:rPr>
        <w:t xml:space="preserve"> to supplement UE autonomous P-MPR in a way that maximizes the transmit power from the UE.  In other words, with network assistance, the UE should be able to transmit at higher power levels with greater frequency without</w:t>
      </w:r>
      <w:r w:rsidR="003210FF">
        <w:rPr>
          <w:lang w:val="en-US"/>
        </w:rPr>
        <w:t xml:space="preserve"> a forced fallback to PC3.</w:t>
      </w:r>
    </w:p>
    <w:p w14:paraId="23AC8C4B" w14:textId="5AE090BB" w:rsidR="002253AB" w:rsidRDefault="006002A5" w:rsidP="002470BB">
      <w:pPr>
        <w:rPr>
          <w:lang w:val="en-US"/>
        </w:rPr>
      </w:pPr>
      <w:r>
        <w:rPr>
          <w:lang w:val="en-US"/>
        </w:rPr>
        <w:t>The following options are presented in [</w:t>
      </w:r>
      <w:r w:rsidR="003210FF">
        <w:rPr>
          <w:lang w:val="en-US"/>
        </w:rPr>
        <w:t>1</w:t>
      </w:r>
      <w:r>
        <w:rPr>
          <w:lang w:val="en-US"/>
        </w:rPr>
        <w:t>]</w:t>
      </w:r>
    </w:p>
    <w:p w14:paraId="3D60FD86" w14:textId="1E3776C3" w:rsidR="006002A5" w:rsidRPr="006002A5" w:rsidRDefault="006002A5" w:rsidP="00572C82">
      <w:pPr>
        <w:numPr>
          <w:ilvl w:val="1"/>
          <w:numId w:val="13"/>
        </w:numPr>
        <w:rPr>
          <w:lang w:val="en-US"/>
        </w:rPr>
      </w:pPr>
      <w:r w:rsidRPr="006002A5">
        <w:rPr>
          <w:rFonts w:hint="eastAsia"/>
          <w:lang w:val="en-US"/>
        </w:rPr>
        <w:t xml:space="preserve">Option1 report EN-DC total Duty </w:t>
      </w:r>
      <w:proofErr w:type="gramStart"/>
      <w:r w:rsidRPr="006002A5">
        <w:rPr>
          <w:rFonts w:hint="eastAsia"/>
          <w:lang w:val="en-US"/>
        </w:rPr>
        <w:t>cycle(</w:t>
      </w:r>
      <w:proofErr w:type="gramEnd"/>
      <w:r w:rsidRPr="006002A5">
        <w:rPr>
          <w:rFonts w:hint="eastAsia"/>
          <w:lang w:val="en-US"/>
        </w:rPr>
        <w:t xml:space="preserve">Duty threshold) based on </w:t>
      </w:r>
      <w:proofErr w:type="spellStart"/>
      <w:r w:rsidRPr="006002A5">
        <w:rPr>
          <w:rFonts w:hint="eastAsia"/>
          <w:lang w:val="x-none"/>
        </w:rPr>
        <w:t>Duty</w:t>
      </w:r>
      <w:r w:rsidRPr="006002A5">
        <w:rPr>
          <w:rFonts w:hint="eastAsia"/>
          <w:vertAlign w:val="subscript"/>
          <w:lang w:val="x-none"/>
        </w:rPr>
        <w:t>LTE</w:t>
      </w:r>
      <w:proofErr w:type="spellEnd"/>
      <w:r w:rsidRPr="006002A5">
        <w:rPr>
          <w:rFonts w:hint="eastAsia"/>
          <w:lang w:val="en-US"/>
        </w:rPr>
        <w:t>*</w:t>
      </w:r>
      <w:r w:rsidRPr="006002A5">
        <w:rPr>
          <w:rFonts w:hint="eastAsia"/>
          <w:lang w:val="x-none"/>
        </w:rPr>
        <w:t>(P</w:t>
      </w:r>
      <w:r w:rsidRPr="006002A5">
        <w:rPr>
          <w:rFonts w:hint="eastAsia"/>
          <w:vertAlign w:val="subscript"/>
          <w:lang w:val="x-none"/>
        </w:rPr>
        <w:t>LTE</w:t>
      </w:r>
      <w:r w:rsidRPr="006002A5">
        <w:rPr>
          <w:rFonts w:hint="eastAsia"/>
          <w:lang w:val="x-none"/>
        </w:rPr>
        <w:t>/ P</w:t>
      </w:r>
      <w:r w:rsidRPr="006002A5">
        <w:rPr>
          <w:rFonts w:hint="eastAsia"/>
          <w:vertAlign w:val="subscript"/>
          <w:lang w:val="x-none"/>
        </w:rPr>
        <w:t>26</w:t>
      </w:r>
      <w:r w:rsidRPr="006002A5">
        <w:rPr>
          <w:rFonts w:hint="eastAsia"/>
          <w:lang w:val="x-none"/>
        </w:rPr>
        <w:t xml:space="preserve">) + </w:t>
      </w:r>
      <w:proofErr w:type="spellStart"/>
      <w:r w:rsidRPr="006002A5">
        <w:rPr>
          <w:rFonts w:hint="eastAsia"/>
          <w:lang w:val="x-none"/>
        </w:rPr>
        <w:t>Duty</w:t>
      </w:r>
      <w:r w:rsidRPr="006002A5">
        <w:rPr>
          <w:rFonts w:hint="eastAsia"/>
          <w:vertAlign w:val="subscript"/>
          <w:lang w:val="x-none"/>
        </w:rPr>
        <w:t>NR</w:t>
      </w:r>
      <w:proofErr w:type="spellEnd"/>
      <w:r w:rsidRPr="006002A5">
        <w:rPr>
          <w:rFonts w:hint="eastAsia"/>
          <w:lang w:val="en-US"/>
        </w:rPr>
        <w:t>*</w:t>
      </w:r>
      <w:r w:rsidRPr="006002A5">
        <w:rPr>
          <w:rFonts w:hint="eastAsia"/>
          <w:lang w:val="x-none"/>
        </w:rPr>
        <w:t>(P</w:t>
      </w:r>
      <w:r w:rsidRPr="006002A5">
        <w:rPr>
          <w:rFonts w:hint="eastAsia"/>
          <w:vertAlign w:val="subscript"/>
          <w:lang w:val="x-none"/>
        </w:rPr>
        <w:t>NR</w:t>
      </w:r>
      <w:r w:rsidRPr="006002A5">
        <w:rPr>
          <w:rFonts w:hint="eastAsia"/>
          <w:lang w:val="x-none"/>
        </w:rPr>
        <w:t>/ P</w:t>
      </w:r>
      <w:r w:rsidRPr="006002A5">
        <w:rPr>
          <w:rFonts w:hint="eastAsia"/>
          <w:vertAlign w:val="subscript"/>
          <w:lang w:val="x-none"/>
        </w:rPr>
        <w:t>26</w:t>
      </w:r>
      <w:r w:rsidRPr="006002A5">
        <w:rPr>
          <w:rFonts w:hint="eastAsia"/>
          <w:lang w:val="x-none"/>
        </w:rPr>
        <w:t>)</w:t>
      </w:r>
      <w:r w:rsidRPr="006002A5">
        <w:rPr>
          <w:rFonts w:hint="eastAsia"/>
          <w:lang w:val="en-US"/>
        </w:rPr>
        <w:t xml:space="preserve"> </w:t>
      </w:r>
      <w:r w:rsidRPr="006002A5">
        <w:rPr>
          <w:rFonts w:hint="eastAsia"/>
          <w:lang w:val="x-none"/>
        </w:rPr>
        <w:t xml:space="preserve">≤ </w:t>
      </w:r>
      <w:r w:rsidRPr="006002A5">
        <w:rPr>
          <w:rFonts w:hint="eastAsia"/>
          <w:i/>
          <w:iCs/>
          <w:lang w:val="en-US"/>
        </w:rPr>
        <w:t>Duty threshold</w:t>
      </w:r>
    </w:p>
    <w:p w14:paraId="4CEADBF0" w14:textId="7E8C3945" w:rsidR="006002A5" w:rsidRPr="006002A5" w:rsidRDefault="006002A5" w:rsidP="00572C82">
      <w:pPr>
        <w:numPr>
          <w:ilvl w:val="1"/>
          <w:numId w:val="13"/>
        </w:numPr>
        <w:rPr>
          <w:lang w:val="en-US"/>
        </w:rPr>
      </w:pPr>
      <w:r w:rsidRPr="006002A5">
        <w:rPr>
          <w:rFonts w:hint="eastAsia"/>
          <w:lang w:val="en-US"/>
        </w:rPr>
        <w:t xml:space="preserve">Option2 report </w:t>
      </w:r>
      <w:proofErr w:type="spellStart"/>
      <w:r w:rsidRPr="006002A5">
        <w:rPr>
          <w:rFonts w:hint="eastAsia"/>
          <w:lang w:val="en-US"/>
        </w:rPr>
        <w:t>Duty</w:t>
      </w:r>
      <w:r w:rsidRPr="006002A5">
        <w:rPr>
          <w:rFonts w:hint="eastAsia"/>
          <w:vertAlign w:val="subscript"/>
          <w:lang w:val="en-US"/>
        </w:rPr>
        <w:t>LTE</w:t>
      </w:r>
      <w:proofErr w:type="spellEnd"/>
      <w:r w:rsidRPr="006002A5">
        <w:rPr>
          <w:rFonts w:hint="eastAsia"/>
          <w:lang w:val="en-US"/>
        </w:rPr>
        <w:t xml:space="preserve"> based on NR TDD sub-frame configuration</w:t>
      </w:r>
    </w:p>
    <w:p w14:paraId="6904735B" w14:textId="040837DA" w:rsidR="006002A5" w:rsidRPr="006002A5" w:rsidRDefault="006002A5" w:rsidP="00572C82">
      <w:pPr>
        <w:numPr>
          <w:ilvl w:val="1"/>
          <w:numId w:val="13"/>
        </w:numPr>
        <w:rPr>
          <w:lang w:val="en-US"/>
        </w:rPr>
      </w:pPr>
      <w:r w:rsidRPr="006002A5">
        <w:rPr>
          <w:rFonts w:hint="eastAsia"/>
          <w:lang w:val="en-US"/>
        </w:rPr>
        <w:t xml:space="preserve">Option3 report </w:t>
      </w:r>
      <w:proofErr w:type="spellStart"/>
      <w:r w:rsidRPr="006002A5">
        <w:rPr>
          <w:rFonts w:hint="eastAsia"/>
          <w:lang w:val="en-US"/>
        </w:rPr>
        <w:t>Duty</w:t>
      </w:r>
      <w:r w:rsidRPr="006002A5">
        <w:rPr>
          <w:rFonts w:hint="eastAsia"/>
          <w:vertAlign w:val="subscript"/>
          <w:lang w:val="en-US"/>
        </w:rPr>
        <w:t>NR</w:t>
      </w:r>
      <w:proofErr w:type="spellEnd"/>
      <w:r w:rsidRPr="006002A5">
        <w:rPr>
          <w:rFonts w:hint="eastAsia"/>
          <w:lang w:val="en-US"/>
        </w:rPr>
        <w:t xml:space="preserve"> based on LTE fixed </w:t>
      </w:r>
      <w:proofErr w:type="spellStart"/>
      <w:r w:rsidRPr="006002A5">
        <w:rPr>
          <w:rFonts w:hint="eastAsia"/>
          <w:lang w:val="en-US"/>
        </w:rPr>
        <w:t>dutycycle</w:t>
      </w:r>
      <w:proofErr w:type="spellEnd"/>
      <w:r w:rsidRPr="006002A5">
        <w:rPr>
          <w:rFonts w:hint="eastAsia"/>
          <w:lang w:val="en-US"/>
        </w:rPr>
        <w:t xml:space="preserve"> with LTE maximum transmit power 23dBm</w:t>
      </w:r>
    </w:p>
    <w:p w14:paraId="6ACA5CD9" w14:textId="44F28392" w:rsidR="006002A5" w:rsidRPr="006002A5" w:rsidRDefault="006002A5" w:rsidP="00572C82">
      <w:pPr>
        <w:numPr>
          <w:ilvl w:val="1"/>
          <w:numId w:val="13"/>
        </w:numPr>
        <w:rPr>
          <w:lang w:val="en-US"/>
        </w:rPr>
      </w:pPr>
      <w:r w:rsidRPr="006002A5">
        <w:rPr>
          <w:rFonts w:hint="eastAsia"/>
          <w:lang w:val="en-US"/>
        </w:rPr>
        <w:t xml:space="preserve">Option4 report </w:t>
      </w:r>
      <w:proofErr w:type="spellStart"/>
      <w:r w:rsidRPr="006002A5">
        <w:rPr>
          <w:rFonts w:hint="eastAsia"/>
          <w:lang w:val="en-US"/>
        </w:rPr>
        <w:t>SAR</w:t>
      </w:r>
      <w:r w:rsidRPr="006002A5">
        <w:rPr>
          <w:rFonts w:hint="eastAsia"/>
          <w:vertAlign w:val="subscript"/>
          <w:lang w:val="en-US"/>
        </w:rPr>
        <w:t>ratio</w:t>
      </w:r>
      <w:proofErr w:type="spellEnd"/>
      <w:r w:rsidRPr="006002A5">
        <w:rPr>
          <w:rFonts w:hint="eastAsia"/>
          <w:lang w:val="en-US"/>
        </w:rPr>
        <w:t xml:space="preserve"> based on</w:t>
      </w:r>
      <w:r w:rsidRPr="006002A5">
        <w:rPr>
          <w:rFonts w:hint="eastAsia"/>
          <w:lang w:val="x-none"/>
        </w:rPr>
        <w:t xml:space="preserve"> </w:t>
      </w:r>
      <w:proofErr w:type="spellStart"/>
      <w:r w:rsidRPr="006002A5">
        <w:rPr>
          <w:rFonts w:hint="eastAsia"/>
          <w:lang w:val="x-none"/>
        </w:rPr>
        <w:t>Duty</w:t>
      </w:r>
      <w:r w:rsidRPr="006002A5">
        <w:rPr>
          <w:rFonts w:hint="eastAsia"/>
          <w:vertAlign w:val="subscript"/>
          <w:lang w:val="x-none"/>
        </w:rPr>
        <w:t>LTE</w:t>
      </w:r>
      <w:proofErr w:type="spellEnd"/>
      <w:r w:rsidRPr="006002A5">
        <w:rPr>
          <w:rFonts w:hint="eastAsia"/>
          <w:lang w:val="en-US"/>
        </w:rPr>
        <w:t>*</w:t>
      </w:r>
      <w:r w:rsidRPr="006002A5">
        <w:rPr>
          <w:rFonts w:hint="eastAsia"/>
          <w:lang w:val="x-none"/>
        </w:rPr>
        <w:t>(P</w:t>
      </w:r>
      <w:r w:rsidRPr="006002A5">
        <w:rPr>
          <w:rFonts w:hint="eastAsia"/>
          <w:vertAlign w:val="subscript"/>
          <w:lang w:val="x-none"/>
        </w:rPr>
        <w:t>LTE</w:t>
      </w:r>
      <w:r w:rsidRPr="006002A5">
        <w:rPr>
          <w:rFonts w:hint="eastAsia"/>
          <w:lang w:val="x-none"/>
        </w:rPr>
        <w:t>/ P</w:t>
      </w:r>
      <w:r w:rsidRPr="006002A5">
        <w:rPr>
          <w:rFonts w:hint="eastAsia"/>
          <w:vertAlign w:val="subscript"/>
          <w:lang w:val="x-none"/>
        </w:rPr>
        <w:t>26</w:t>
      </w:r>
      <w:r w:rsidRPr="006002A5">
        <w:rPr>
          <w:rFonts w:hint="eastAsia"/>
          <w:lang w:val="x-none"/>
        </w:rPr>
        <w:t xml:space="preserve">) + </w:t>
      </w:r>
      <w:proofErr w:type="spellStart"/>
      <w:r w:rsidRPr="006002A5">
        <w:rPr>
          <w:rFonts w:hint="eastAsia"/>
          <w:lang w:val="en-US"/>
        </w:rPr>
        <w:t>SAR</w:t>
      </w:r>
      <w:r w:rsidRPr="006002A5">
        <w:rPr>
          <w:rFonts w:hint="eastAsia"/>
          <w:vertAlign w:val="subscript"/>
          <w:lang w:val="en-US"/>
        </w:rPr>
        <w:t>ratio</w:t>
      </w:r>
      <w:proofErr w:type="spellEnd"/>
      <w:r w:rsidRPr="006002A5">
        <w:rPr>
          <w:rFonts w:hint="eastAsia"/>
          <w:lang w:val="en-US"/>
        </w:rPr>
        <w:t>*</w:t>
      </w:r>
      <w:proofErr w:type="spellStart"/>
      <w:r w:rsidRPr="006002A5">
        <w:rPr>
          <w:rFonts w:hint="eastAsia"/>
          <w:lang w:val="x-none"/>
        </w:rPr>
        <w:t>Duty</w:t>
      </w:r>
      <w:r w:rsidRPr="006002A5">
        <w:rPr>
          <w:rFonts w:hint="eastAsia"/>
          <w:vertAlign w:val="subscript"/>
          <w:lang w:val="x-none"/>
        </w:rPr>
        <w:t>NR</w:t>
      </w:r>
      <w:proofErr w:type="spellEnd"/>
      <w:r w:rsidRPr="006002A5">
        <w:rPr>
          <w:rFonts w:hint="eastAsia"/>
          <w:lang w:val="en-US"/>
        </w:rPr>
        <w:t>*</w:t>
      </w:r>
      <w:r w:rsidRPr="006002A5">
        <w:rPr>
          <w:rFonts w:hint="eastAsia"/>
          <w:lang w:val="x-none"/>
        </w:rPr>
        <w:t>(P</w:t>
      </w:r>
      <w:r w:rsidRPr="006002A5">
        <w:rPr>
          <w:rFonts w:hint="eastAsia"/>
          <w:vertAlign w:val="subscript"/>
          <w:lang w:val="x-none"/>
        </w:rPr>
        <w:t>NR</w:t>
      </w:r>
      <w:r w:rsidRPr="006002A5">
        <w:rPr>
          <w:rFonts w:hint="eastAsia"/>
          <w:lang w:val="x-none"/>
        </w:rPr>
        <w:t>/ P</w:t>
      </w:r>
      <w:r w:rsidRPr="006002A5">
        <w:rPr>
          <w:rFonts w:hint="eastAsia"/>
          <w:vertAlign w:val="subscript"/>
          <w:lang w:val="x-none"/>
        </w:rPr>
        <w:t>26</w:t>
      </w:r>
      <w:r w:rsidRPr="006002A5">
        <w:rPr>
          <w:rFonts w:hint="eastAsia"/>
          <w:lang w:val="x-none"/>
        </w:rPr>
        <w:t>)</w:t>
      </w:r>
      <w:r w:rsidRPr="006002A5">
        <w:rPr>
          <w:rFonts w:hint="eastAsia"/>
          <w:lang w:val="en-US"/>
        </w:rPr>
        <w:t xml:space="preserve"> </w:t>
      </w:r>
      <w:r w:rsidRPr="006002A5">
        <w:rPr>
          <w:rFonts w:hint="eastAsia"/>
          <w:lang w:val="x-none"/>
        </w:rPr>
        <w:t xml:space="preserve">≤ </w:t>
      </w:r>
      <w:r w:rsidRPr="006002A5">
        <w:rPr>
          <w:rFonts w:hint="eastAsia"/>
          <w:i/>
          <w:iCs/>
          <w:lang w:val="en-US"/>
        </w:rPr>
        <w:t>50%</w:t>
      </w:r>
    </w:p>
    <w:p w14:paraId="7058D529" w14:textId="0A07ADAC" w:rsidR="006002A5" w:rsidRPr="006002A5" w:rsidRDefault="006002A5" w:rsidP="00572C82">
      <w:pPr>
        <w:numPr>
          <w:ilvl w:val="1"/>
          <w:numId w:val="13"/>
        </w:numPr>
        <w:rPr>
          <w:lang w:val="en-US"/>
        </w:rPr>
      </w:pPr>
      <w:r w:rsidRPr="006002A5">
        <w:rPr>
          <w:rFonts w:hint="eastAsia"/>
          <w:lang w:val="en-US"/>
        </w:rPr>
        <w:t xml:space="preserve">Option5 report </w:t>
      </w:r>
      <w:proofErr w:type="spellStart"/>
      <w:r w:rsidRPr="006002A5">
        <w:rPr>
          <w:rFonts w:hint="eastAsia"/>
          <w:lang w:val="en-US"/>
        </w:rPr>
        <w:t>SAR</w:t>
      </w:r>
      <w:r w:rsidRPr="006002A5">
        <w:rPr>
          <w:rFonts w:hint="eastAsia"/>
          <w:vertAlign w:val="subscript"/>
          <w:lang w:val="en-US"/>
        </w:rPr>
        <w:t>ratio</w:t>
      </w:r>
      <w:proofErr w:type="spellEnd"/>
      <w:r w:rsidRPr="006002A5">
        <w:rPr>
          <w:rFonts w:hint="eastAsia"/>
          <w:lang w:val="en-US"/>
        </w:rPr>
        <w:t xml:space="preserve"> and EN-DC total Duty </w:t>
      </w:r>
      <w:proofErr w:type="gramStart"/>
      <w:r w:rsidRPr="006002A5">
        <w:rPr>
          <w:rFonts w:hint="eastAsia"/>
          <w:lang w:val="en-US"/>
        </w:rPr>
        <w:t>cycle(</w:t>
      </w:r>
      <w:proofErr w:type="gramEnd"/>
      <w:r w:rsidRPr="006002A5">
        <w:rPr>
          <w:rFonts w:hint="eastAsia"/>
          <w:lang w:val="en-US"/>
        </w:rPr>
        <w:t>Duty threshold)</w:t>
      </w:r>
      <w:r w:rsidRPr="006002A5">
        <w:rPr>
          <w:rFonts w:hint="eastAsia"/>
          <w:i/>
          <w:iCs/>
          <w:lang w:val="en-US"/>
        </w:rPr>
        <w:t xml:space="preserve"> </w:t>
      </w:r>
      <w:r w:rsidRPr="006002A5">
        <w:rPr>
          <w:rFonts w:hint="eastAsia"/>
          <w:lang w:val="en-US"/>
        </w:rPr>
        <w:t>based on</w:t>
      </w:r>
      <w:r w:rsidRPr="006002A5">
        <w:rPr>
          <w:rFonts w:hint="eastAsia"/>
          <w:lang w:val="x-none"/>
        </w:rPr>
        <w:t xml:space="preserve"> </w:t>
      </w:r>
      <w:proofErr w:type="spellStart"/>
      <w:r w:rsidRPr="006002A5">
        <w:rPr>
          <w:rFonts w:hint="eastAsia"/>
          <w:lang w:val="x-none"/>
        </w:rPr>
        <w:t>Duty</w:t>
      </w:r>
      <w:r w:rsidRPr="006002A5">
        <w:rPr>
          <w:rFonts w:hint="eastAsia"/>
          <w:vertAlign w:val="subscript"/>
          <w:lang w:val="x-none"/>
        </w:rPr>
        <w:t>LTE</w:t>
      </w:r>
      <w:proofErr w:type="spellEnd"/>
      <w:r w:rsidRPr="006002A5">
        <w:rPr>
          <w:rFonts w:hint="eastAsia"/>
          <w:lang w:val="en-US"/>
        </w:rPr>
        <w:t>*</w:t>
      </w:r>
      <w:r w:rsidRPr="006002A5">
        <w:rPr>
          <w:rFonts w:hint="eastAsia"/>
          <w:lang w:val="x-none"/>
        </w:rPr>
        <w:t>(P</w:t>
      </w:r>
      <w:r w:rsidRPr="006002A5">
        <w:rPr>
          <w:rFonts w:hint="eastAsia"/>
          <w:vertAlign w:val="subscript"/>
          <w:lang w:val="x-none"/>
        </w:rPr>
        <w:t>LTE</w:t>
      </w:r>
      <w:r w:rsidRPr="006002A5">
        <w:rPr>
          <w:rFonts w:hint="eastAsia"/>
          <w:lang w:val="x-none"/>
        </w:rPr>
        <w:t>/ P</w:t>
      </w:r>
      <w:r w:rsidRPr="006002A5">
        <w:rPr>
          <w:rFonts w:hint="eastAsia"/>
          <w:vertAlign w:val="subscript"/>
          <w:lang w:val="x-none"/>
        </w:rPr>
        <w:t>26</w:t>
      </w:r>
      <w:r w:rsidRPr="006002A5">
        <w:rPr>
          <w:rFonts w:hint="eastAsia"/>
          <w:lang w:val="x-none"/>
        </w:rPr>
        <w:t xml:space="preserve">) + </w:t>
      </w:r>
      <w:proofErr w:type="spellStart"/>
      <w:r w:rsidRPr="006002A5">
        <w:rPr>
          <w:rFonts w:hint="eastAsia"/>
          <w:lang w:val="en-US"/>
        </w:rPr>
        <w:t>SAR</w:t>
      </w:r>
      <w:r w:rsidRPr="006002A5">
        <w:rPr>
          <w:rFonts w:hint="eastAsia"/>
          <w:vertAlign w:val="subscript"/>
          <w:lang w:val="en-US"/>
        </w:rPr>
        <w:t>ratio</w:t>
      </w:r>
      <w:proofErr w:type="spellEnd"/>
      <w:r w:rsidRPr="006002A5">
        <w:rPr>
          <w:rFonts w:hint="eastAsia"/>
          <w:lang w:val="en-US"/>
        </w:rPr>
        <w:t>*</w:t>
      </w:r>
      <w:proofErr w:type="spellStart"/>
      <w:r w:rsidRPr="006002A5">
        <w:rPr>
          <w:rFonts w:hint="eastAsia"/>
          <w:lang w:val="x-none"/>
        </w:rPr>
        <w:t>Duty</w:t>
      </w:r>
      <w:r w:rsidRPr="006002A5">
        <w:rPr>
          <w:rFonts w:hint="eastAsia"/>
          <w:vertAlign w:val="subscript"/>
          <w:lang w:val="x-none"/>
        </w:rPr>
        <w:t>NR</w:t>
      </w:r>
      <w:proofErr w:type="spellEnd"/>
      <w:r w:rsidRPr="006002A5">
        <w:rPr>
          <w:rFonts w:hint="eastAsia"/>
          <w:lang w:val="en-US"/>
        </w:rPr>
        <w:t>*</w:t>
      </w:r>
      <w:r w:rsidRPr="006002A5">
        <w:rPr>
          <w:rFonts w:hint="eastAsia"/>
          <w:lang w:val="x-none"/>
        </w:rPr>
        <w:t>(P</w:t>
      </w:r>
      <w:r w:rsidRPr="006002A5">
        <w:rPr>
          <w:rFonts w:hint="eastAsia"/>
          <w:vertAlign w:val="subscript"/>
          <w:lang w:val="x-none"/>
        </w:rPr>
        <w:t>NR</w:t>
      </w:r>
      <w:r w:rsidRPr="006002A5">
        <w:rPr>
          <w:rFonts w:hint="eastAsia"/>
          <w:lang w:val="x-none"/>
        </w:rPr>
        <w:t>/ P</w:t>
      </w:r>
      <w:r w:rsidRPr="006002A5">
        <w:rPr>
          <w:rFonts w:hint="eastAsia"/>
          <w:vertAlign w:val="subscript"/>
          <w:lang w:val="x-none"/>
        </w:rPr>
        <w:t>26</w:t>
      </w:r>
      <w:r w:rsidRPr="006002A5">
        <w:rPr>
          <w:rFonts w:hint="eastAsia"/>
          <w:lang w:val="x-none"/>
        </w:rPr>
        <w:t>)</w:t>
      </w:r>
      <w:r w:rsidRPr="006002A5">
        <w:rPr>
          <w:rFonts w:hint="eastAsia"/>
          <w:lang w:val="en-US"/>
        </w:rPr>
        <w:t xml:space="preserve"> </w:t>
      </w:r>
      <w:r w:rsidRPr="006002A5">
        <w:rPr>
          <w:rFonts w:hint="eastAsia"/>
          <w:lang w:val="x-none"/>
        </w:rPr>
        <w:t xml:space="preserve">≤ </w:t>
      </w:r>
      <w:r w:rsidRPr="006002A5">
        <w:rPr>
          <w:rFonts w:hint="eastAsia"/>
          <w:i/>
          <w:iCs/>
          <w:lang w:val="en-US"/>
        </w:rPr>
        <w:t>Duty threshold</w:t>
      </w:r>
    </w:p>
    <w:p w14:paraId="1AF66821" w14:textId="08B14399" w:rsidR="006002A5" w:rsidRPr="006002A5" w:rsidRDefault="006002A5" w:rsidP="00572C82">
      <w:pPr>
        <w:numPr>
          <w:ilvl w:val="1"/>
          <w:numId w:val="13"/>
        </w:numPr>
        <w:rPr>
          <w:lang w:val="en-US"/>
        </w:rPr>
      </w:pPr>
      <w:r w:rsidRPr="006002A5">
        <w:rPr>
          <w:rFonts w:hint="eastAsia"/>
          <w:lang w:val="en-US"/>
        </w:rPr>
        <w:t xml:space="preserve">Option6 configure </w:t>
      </w:r>
      <w:proofErr w:type="spellStart"/>
      <w:r w:rsidRPr="006002A5">
        <w:rPr>
          <w:rFonts w:hint="eastAsia"/>
          <w:lang w:val="en-US"/>
        </w:rPr>
        <w:t>Plte</w:t>
      </w:r>
      <w:proofErr w:type="spellEnd"/>
      <w:r w:rsidRPr="006002A5">
        <w:rPr>
          <w:rFonts w:hint="eastAsia"/>
          <w:lang w:val="en-US"/>
        </w:rPr>
        <w:t xml:space="preserve"> lower than 23dBm based on LTE 100% </w:t>
      </w:r>
      <w:proofErr w:type="spellStart"/>
      <w:r w:rsidRPr="006002A5">
        <w:rPr>
          <w:rFonts w:hint="eastAsia"/>
          <w:lang w:val="en-US"/>
        </w:rPr>
        <w:t>dutycycle</w:t>
      </w:r>
      <w:proofErr w:type="spellEnd"/>
    </w:p>
    <w:p w14:paraId="55E4B9E5" w14:textId="521A93DE" w:rsidR="0054607C" w:rsidRDefault="006D0F47" w:rsidP="002470BB">
      <w:pPr>
        <w:rPr>
          <w:lang w:val="en-US"/>
        </w:rPr>
      </w:pPr>
      <w:r>
        <w:rPr>
          <w:lang w:val="en-US"/>
        </w:rPr>
        <w:t xml:space="preserve">For each of options 1 – 5, the UE reports a capability to the network related to a maximum uplink duty cycle.  This duty cycle is based on </w:t>
      </w:r>
      <w:r w:rsidR="00BA3286">
        <w:rPr>
          <w:lang w:val="en-US"/>
        </w:rPr>
        <w:t xml:space="preserve">a simplified model of SAR that is directly proportional to the conducted transmit power (in </w:t>
      </w:r>
      <w:proofErr w:type="spellStart"/>
      <w:r w:rsidR="00BA3286">
        <w:rPr>
          <w:lang w:val="en-US"/>
        </w:rPr>
        <w:t>mW</w:t>
      </w:r>
      <w:proofErr w:type="spellEnd"/>
      <w:r w:rsidR="00BA3286">
        <w:rPr>
          <w:lang w:val="en-US"/>
        </w:rPr>
        <w:t xml:space="preserve">) and the fraction of time over which the UE transmits.  Additionally, Options 2 – 5 also model the gain of the NR antenna system relative to the LTE antenna system towards SAR.  Therefore, if it can be assumed that a UE can fulfil SAR requirements with continuous transmission at 23 dBm, then it is also expected to fulfil SAR at 26 dBm transmission when its uplink duty cycle is restricted to 50% of less, assuming both NR and LTE antennas exhibit unity gain.  If the NR antenna system contributes </w:t>
      </w:r>
      <w:r w:rsidR="0054607C">
        <w:rPr>
          <w:lang w:val="en-US"/>
        </w:rPr>
        <w:t xml:space="preserve">twice the amount of SAR compared to the LTE antenna system, then the duty cycle must be restricted accordingly.  The generalized relationship </w:t>
      </w:r>
      <w:r w:rsidR="00F47367">
        <w:rPr>
          <w:lang w:val="en-US"/>
        </w:rPr>
        <w:t>can be</w:t>
      </w:r>
      <w:r w:rsidR="0054607C">
        <w:rPr>
          <w:lang w:val="en-US"/>
        </w:rPr>
        <w:t xml:space="preserve"> expressed as</w:t>
      </w:r>
    </w:p>
    <w:p w14:paraId="2D986C3F" w14:textId="46F83AF8" w:rsidR="0054607C" w:rsidRDefault="006002A5" w:rsidP="00F47367">
      <w:pPr>
        <w:ind w:firstLine="284"/>
        <w:rPr>
          <w:lang w:val="en-US"/>
        </w:rPr>
      </w:pPr>
      <w:proofErr w:type="spellStart"/>
      <w:r w:rsidRPr="006002A5">
        <w:rPr>
          <w:rFonts w:hint="eastAsia"/>
          <w:lang w:val="x-none"/>
        </w:rPr>
        <w:t>Duty</w:t>
      </w:r>
      <w:r w:rsidRPr="006002A5">
        <w:rPr>
          <w:rFonts w:hint="eastAsia"/>
          <w:vertAlign w:val="subscript"/>
          <w:lang w:val="x-none"/>
        </w:rPr>
        <w:t>LTE</w:t>
      </w:r>
      <w:proofErr w:type="spellEnd"/>
      <w:r w:rsidRPr="006002A5">
        <w:rPr>
          <w:rFonts w:hint="eastAsia"/>
          <w:lang w:val="en-US"/>
        </w:rPr>
        <w:t>*</w:t>
      </w:r>
      <w:r w:rsidRPr="006002A5">
        <w:rPr>
          <w:rFonts w:hint="eastAsia"/>
          <w:lang w:val="x-none"/>
        </w:rPr>
        <w:t>(P</w:t>
      </w:r>
      <w:r w:rsidRPr="006002A5">
        <w:rPr>
          <w:rFonts w:hint="eastAsia"/>
          <w:vertAlign w:val="subscript"/>
          <w:lang w:val="x-none"/>
        </w:rPr>
        <w:t>LTE</w:t>
      </w:r>
      <w:r w:rsidRPr="006002A5">
        <w:rPr>
          <w:rFonts w:hint="eastAsia"/>
          <w:lang w:val="x-none"/>
        </w:rPr>
        <w:t>/ P</w:t>
      </w:r>
      <w:r w:rsidRPr="006002A5">
        <w:rPr>
          <w:rFonts w:hint="eastAsia"/>
          <w:vertAlign w:val="subscript"/>
          <w:lang w:val="x-none"/>
        </w:rPr>
        <w:t>26</w:t>
      </w:r>
      <w:r w:rsidRPr="006002A5">
        <w:rPr>
          <w:rFonts w:hint="eastAsia"/>
          <w:lang w:val="x-none"/>
        </w:rPr>
        <w:t xml:space="preserve">) + </w:t>
      </w:r>
      <w:proofErr w:type="spellStart"/>
      <w:r w:rsidRPr="006002A5">
        <w:rPr>
          <w:rFonts w:hint="eastAsia"/>
          <w:lang w:val="en-US"/>
        </w:rPr>
        <w:t>SAR</w:t>
      </w:r>
      <w:r w:rsidRPr="006002A5">
        <w:rPr>
          <w:rFonts w:hint="eastAsia"/>
          <w:vertAlign w:val="subscript"/>
          <w:lang w:val="en-US"/>
        </w:rPr>
        <w:t>ratio</w:t>
      </w:r>
      <w:proofErr w:type="spellEnd"/>
      <w:r w:rsidRPr="006002A5">
        <w:rPr>
          <w:rFonts w:hint="eastAsia"/>
          <w:lang w:val="en-US"/>
        </w:rPr>
        <w:t>*</w:t>
      </w:r>
      <w:proofErr w:type="spellStart"/>
      <w:r w:rsidRPr="006002A5">
        <w:rPr>
          <w:rFonts w:hint="eastAsia"/>
          <w:lang w:val="x-none"/>
        </w:rPr>
        <w:t>Duty</w:t>
      </w:r>
      <w:r w:rsidRPr="006002A5">
        <w:rPr>
          <w:rFonts w:hint="eastAsia"/>
          <w:vertAlign w:val="subscript"/>
          <w:lang w:val="x-none"/>
        </w:rPr>
        <w:t>NR</w:t>
      </w:r>
      <w:proofErr w:type="spellEnd"/>
      <w:r w:rsidRPr="006002A5">
        <w:rPr>
          <w:rFonts w:hint="eastAsia"/>
          <w:lang w:val="en-US"/>
        </w:rPr>
        <w:t>*</w:t>
      </w:r>
      <w:r w:rsidRPr="006002A5">
        <w:rPr>
          <w:rFonts w:hint="eastAsia"/>
          <w:lang w:val="x-none"/>
        </w:rPr>
        <w:t>(P</w:t>
      </w:r>
      <w:r w:rsidRPr="006002A5">
        <w:rPr>
          <w:rFonts w:hint="eastAsia"/>
          <w:vertAlign w:val="subscript"/>
          <w:lang w:val="x-none"/>
        </w:rPr>
        <w:t>NR</w:t>
      </w:r>
      <w:r w:rsidRPr="006002A5">
        <w:rPr>
          <w:rFonts w:hint="eastAsia"/>
          <w:lang w:val="x-none"/>
        </w:rPr>
        <w:t>/ P</w:t>
      </w:r>
      <w:r w:rsidRPr="006002A5">
        <w:rPr>
          <w:rFonts w:hint="eastAsia"/>
          <w:vertAlign w:val="subscript"/>
          <w:lang w:val="x-none"/>
        </w:rPr>
        <w:t>26</w:t>
      </w:r>
      <w:r w:rsidRPr="006002A5">
        <w:rPr>
          <w:rFonts w:hint="eastAsia"/>
          <w:lang w:val="x-none"/>
        </w:rPr>
        <w:t>)</w:t>
      </w:r>
      <w:r w:rsidRPr="006002A5">
        <w:rPr>
          <w:rFonts w:hint="eastAsia"/>
          <w:lang w:val="en-US"/>
        </w:rPr>
        <w:t xml:space="preserve"> </w:t>
      </w:r>
      <w:r w:rsidRPr="006002A5">
        <w:rPr>
          <w:rFonts w:hint="eastAsia"/>
          <w:lang w:val="x-none"/>
        </w:rPr>
        <w:t xml:space="preserve">≤ </w:t>
      </w:r>
      <w:r w:rsidRPr="006002A5">
        <w:rPr>
          <w:rFonts w:hint="eastAsia"/>
          <w:i/>
          <w:iCs/>
          <w:lang w:val="en-US"/>
        </w:rPr>
        <w:t>Duty threshold</w:t>
      </w:r>
    </w:p>
    <w:p w14:paraId="2858EE3F" w14:textId="24299ECD" w:rsidR="0054607C" w:rsidRDefault="00F47367" w:rsidP="002470BB">
      <w:pPr>
        <w:rPr>
          <w:lang w:val="en-US"/>
        </w:rPr>
      </w:pPr>
      <w:r>
        <w:rPr>
          <w:lang w:val="en-US"/>
        </w:rPr>
        <w:t xml:space="preserve">In this equation, the </w:t>
      </w:r>
      <w:proofErr w:type="spellStart"/>
      <w:r>
        <w:rPr>
          <w:lang w:val="en-US"/>
        </w:rPr>
        <w:t>Duty</w:t>
      </w:r>
      <w:r w:rsidRPr="00F47367">
        <w:rPr>
          <w:vertAlign w:val="subscript"/>
          <w:lang w:val="en-US"/>
        </w:rPr>
        <w:t>LTE</w:t>
      </w:r>
      <w:proofErr w:type="spellEnd"/>
      <w:r>
        <w:rPr>
          <w:lang w:val="en-US"/>
        </w:rPr>
        <w:t xml:space="preserve"> and </w:t>
      </w:r>
      <w:proofErr w:type="spellStart"/>
      <w:r>
        <w:rPr>
          <w:lang w:val="en-US"/>
        </w:rPr>
        <w:t>Duty</w:t>
      </w:r>
      <w:r w:rsidRPr="00F47367">
        <w:rPr>
          <w:vertAlign w:val="subscript"/>
          <w:lang w:val="en-US"/>
        </w:rPr>
        <w:t>NR</w:t>
      </w:r>
      <w:proofErr w:type="spellEnd"/>
      <w:r>
        <w:rPr>
          <w:lang w:val="en-US"/>
        </w:rPr>
        <w:t xml:space="preserve"> terms can be either the configured duty cycles (i.e., based on UL/DL configuration or TDM-pattern) or can be the measured transmit duty cycles over an unspecified amount of time.  The P</w:t>
      </w:r>
      <w:r w:rsidRPr="00F47367">
        <w:rPr>
          <w:vertAlign w:val="subscript"/>
          <w:lang w:val="en-US"/>
        </w:rPr>
        <w:t>LTE</w:t>
      </w:r>
      <w:r>
        <w:rPr>
          <w:lang w:val="en-US"/>
        </w:rPr>
        <w:t xml:space="preserve"> and P</w:t>
      </w:r>
      <w:r w:rsidRPr="00F47367">
        <w:rPr>
          <w:vertAlign w:val="subscript"/>
          <w:lang w:val="en-US"/>
        </w:rPr>
        <w:t>NR</w:t>
      </w:r>
      <w:r>
        <w:rPr>
          <w:lang w:val="en-US"/>
        </w:rPr>
        <w:t xml:space="preserve"> are the maximum output powers for each cell group, irrespective of the actual transmit power.  </w:t>
      </w:r>
      <w:proofErr w:type="spellStart"/>
      <w:r>
        <w:rPr>
          <w:lang w:val="en-US"/>
        </w:rPr>
        <w:t>SAR</w:t>
      </w:r>
      <w:r w:rsidRPr="00F47367">
        <w:rPr>
          <w:vertAlign w:val="subscript"/>
          <w:lang w:val="en-US"/>
        </w:rPr>
        <w:t>ratio</w:t>
      </w:r>
      <w:proofErr w:type="spellEnd"/>
      <w:r>
        <w:rPr>
          <w:lang w:val="en-US"/>
        </w:rPr>
        <w:t xml:space="preserve"> is the relative gain of the NR cell group antenna system in its contribution towards SAR compared to a normalized LTE </w:t>
      </w:r>
      <w:r>
        <w:rPr>
          <w:lang w:val="en-US"/>
        </w:rPr>
        <w:lastRenderedPageBreak/>
        <w:t xml:space="preserve">gain of one.  A </w:t>
      </w:r>
      <w:proofErr w:type="spellStart"/>
      <w:r>
        <w:rPr>
          <w:lang w:val="en-US"/>
        </w:rPr>
        <w:t>SAR</w:t>
      </w:r>
      <w:r w:rsidRPr="00F47367">
        <w:rPr>
          <w:vertAlign w:val="subscript"/>
          <w:lang w:val="en-US"/>
        </w:rPr>
        <w:t>ratio</w:t>
      </w:r>
      <w:proofErr w:type="spellEnd"/>
      <w:r>
        <w:rPr>
          <w:lang w:val="en-US"/>
        </w:rPr>
        <w:t xml:space="preserve"> of two, for example, would indicate that the NR antenna system has twice the impact on SAR as the LTE antenna system.</w:t>
      </w:r>
      <w:r w:rsidR="002722A0">
        <w:rPr>
          <w:lang w:val="en-US"/>
        </w:rPr>
        <w:t xml:space="preserve">  Duty threshold can be regarded </w:t>
      </w:r>
      <w:r w:rsidR="00540E4D">
        <w:rPr>
          <w:lang w:val="en-US"/>
        </w:rPr>
        <w:t xml:space="preserve">as approximately 50% assuming PC2 output power levels to meet an equivalent SAR output of PC3 output with continuous transmission. </w:t>
      </w:r>
    </w:p>
    <w:p w14:paraId="254BDF35" w14:textId="45A50BB8" w:rsidR="0016353B" w:rsidRDefault="0016353B" w:rsidP="0016353B">
      <w:pPr>
        <w:pStyle w:val="Heading2"/>
        <w:rPr>
          <w:lang w:val="en-US"/>
        </w:rPr>
      </w:pPr>
      <w:r>
        <w:rPr>
          <w:lang w:val="en-US"/>
        </w:rPr>
        <w:t>Modeling options</w:t>
      </w:r>
    </w:p>
    <w:p w14:paraId="6BBDEE0B" w14:textId="7813EFB5" w:rsidR="002D2DBA" w:rsidRDefault="006375E5" w:rsidP="002470BB">
      <w:pPr>
        <w:rPr>
          <w:lang w:val="en-US"/>
        </w:rPr>
      </w:pPr>
      <w:r>
        <w:rPr>
          <w:lang w:val="en-US"/>
        </w:rPr>
        <w:t>To simplify the performance evaluation, a</w:t>
      </w:r>
      <w:r w:rsidR="002D2DBA">
        <w:rPr>
          <w:lang w:val="en-US"/>
        </w:rPr>
        <w:t xml:space="preserve"> mapping of parameters in the equation above to options considered is shown below</w:t>
      </w:r>
    </w:p>
    <w:tbl>
      <w:tblPr>
        <w:tblStyle w:val="TableGrid"/>
        <w:tblW w:w="0" w:type="auto"/>
        <w:tblLook w:val="04A0" w:firstRow="1" w:lastRow="0" w:firstColumn="1" w:lastColumn="0" w:noHBand="0" w:noVBand="1"/>
      </w:tblPr>
      <w:tblGrid>
        <w:gridCol w:w="1160"/>
        <w:gridCol w:w="1272"/>
        <w:gridCol w:w="1127"/>
        <w:gridCol w:w="1268"/>
        <w:gridCol w:w="1226"/>
        <w:gridCol w:w="1127"/>
        <w:gridCol w:w="1440"/>
      </w:tblGrid>
      <w:tr w:rsidR="00540E4D" w14:paraId="6152DA32" w14:textId="5A1EC2EB" w:rsidTr="00540E4D">
        <w:tc>
          <w:tcPr>
            <w:tcW w:w="1160" w:type="dxa"/>
          </w:tcPr>
          <w:p w14:paraId="04659ED7" w14:textId="53878C7B" w:rsidR="00540E4D" w:rsidRDefault="00540E4D" w:rsidP="002470BB">
            <w:pPr>
              <w:rPr>
                <w:lang w:val="en-US"/>
              </w:rPr>
            </w:pPr>
            <w:r>
              <w:rPr>
                <w:lang w:val="en-US"/>
              </w:rPr>
              <w:t>Option</w:t>
            </w:r>
          </w:p>
        </w:tc>
        <w:tc>
          <w:tcPr>
            <w:tcW w:w="1272" w:type="dxa"/>
          </w:tcPr>
          <w:p w14:paraId="498B5806" w14:textId="571F01AC" w:rsidR="00540E4D" w:rsidRDefault="00540E4D" w:rsidP="002470BB">
            <w:pPr>
              <w:rPr>
                <w:lang w:val="en-US"/>
              </w:rPr>
            </w:pPr>
            <w:proofErr w:type="spellStart"/>
            <w:r>
              <w:rPr>
                <w:lang w:val="en-US"/>
              </w:rPr>
              <w:t>Duty</w:t>
            </w:r>
            <w:r w:rsidRPr="00540E4D">
              <w:rPr>
                <w:vertAlign w:val="subscript"/>
                <w:lang w:val="en-US"/>
              </w:rPr>
              <w:t>LTE</w:t>
            </w:r>
            <w:proofErr w:type="spellEnd"/>
          </w:p>
        </w:tc>
        <w:tc>
          <w:tcPr>
            <w:tcW w:w="1118" w:type="dxa"/>
          </w:tcPr>
          <w:p w14:paraId="01BCC7AF" w14:textId="308758A6" w:rsidR="00540E4D" w:rsidRDefault="00540E4D" w:rsidP="002470BB">
            <w:pPr>
              <w:rPr>
                <w:lang w:val="en-US"/>
              </w:rPr>
            </w:pPr>
            <w:r>
              <w:rPr>
                <w:lang w:val="en-US"/>
              </w:rPr>
              <w:t>P</w:t>
            </w:r>
            <w:r w:rsidRPr="00540E4D">
              <w:rPr>
                <w:vertAlign w:val="subscript"/>
                <w:lang w:val="en-US"/>
              </w:rPr>
              <w:t>LTE</w:t>
            </w:r>
          </w:p>
        </w:tc>
        <w:tc>
          <w:tcPr>
            <w:tcW w:w="1268" w:type="dxa"/>
          </w:tcPr>
          <w:p w14:paraId="42452E76" w14:textId="1EBEE6E1" w:rsidR="00540E4D" w:rsidRDefault="00540E4D" w:rsidP="002470BB">
            <w:pPr>
              <w:rPr>
                <w:lang w:val="en-US"/>
              </w:rPr>
            </w:pPr>
            <w:proofErr w:type="spellStart"/>
            <w:r>
              <w:rPr>
                <w:lang w:val="en-US"/>
              </w:rPr>
              <w:t>SAR</w:t>
            </w:r>
            <w:r w:rsidRPr="00540E4D">
              <w:rPr>
                <w:vertAlign w:val="subscript"/>
                <w:lang w:val="en-US"/>
              </w:rPr>
              <w:t>ratio</w:t>
            </w:r>
            <w:proofErr w:type="spellEnd"/>
          </w:p>
        </w:tc>
        <w:tc>
          <w:tcPr>
            <w:tcW w:w="1226" w:type="dxa"/>
          </w:tcPr>
          <w:p w14:paraId="73142CF3" w14:textId="1F541B76" w:rsidR="00540E4D" w:rsidRDefault="00540E4D" w:rsidP="002470BB">
            <w:pPr>
              <w:rPr>
                <w:lang w:val="en-US"/>
              </w:rPr>
            </w:pPr>
            <w:proofErr w:type="spellStart"/>
            <w:r>
              <w:rPr>
                <w:lang w:val="en-US"/>
              </w:rPr>
              <w:t>Duty</w:t>
            </w:r>
            <w:r w:rsidRPr="00540E4D">
              <w:rPr>
                <w:vertAlign w:val="subscript"/>
                <w:lang w:val="en-US"/>
              </w:rPr>
              <w:t>NR</w:t>
            </w:r>
            <w:proofErr w:type="spellEnd"/>
          </w:p>
        </w:tc>
        <w:tc>
          <w:tcPr>
            <w:tcW w:w="1061" w:type="dxa"/>
          </w:tcPr>
          <w:p w14:paraId="680D4D14" w14:textId="6F3E2DD6" w:rsidR="00540E4D" w:rsidRDefault="00540E4D" w:rsidP="002470BB">
            <w:pPr>
              <w:rPr>
                <w:lang w:val="en-US"/>
              </w:rPr>
            </w:pPr>
            <w:r>
              <w:rPr>
                <w:lang w:val="en-US"/>
              </w:rPr>
              <w:t>P</w:t>
            </w:r>
            <w:r w:rsidRPr="00540E4D">
              <w:rPr>
                <w:vertAlign w:val="subscript"/>
                <w:lang w:val="en-US"/>
              </w:rPr>
              <w:t>NR</w:t>
            </w:r>
          </w:p>
        </w:tc>
        <w:tc>
          <w:tcPr>
            <w:tcW w:w="1440" w:type="dxa"/>
          </w:tcPr>
          <w:p w14:paraId="69289686" w14:textId="0CB261EC" w:rsidR="00540E4D" w:rsidRDefault="00540E4D" w:rsidP="002470BB">
            <w:pPr>
              <w:rPr>
                <w:lang w:val="en-US"/>
              </w:rPr>
            </w:pPr>
            <w:r>
              <w:rPr>
                <w:lang w:val="en-US"/>
              </w:rPr>
              <w:t>Duty threshold</w:t>
            </w:r>
          </w:p>
        </w:tc>
      </w:tr>
      <w:tr w:rsidR="00540E4D" w14:paraId="6FAEB263" w14:textId="483F7246" w:rsidTr="00540E4D">
        <w:tc>
          <w:tcPr>
            <w:tcW w:w="1160" w:type="dxa"/>
          </w:tcPr>
          <w:p w14:paraId="42899983" w14:textId="098F7519" w:rsidR="00540E4D" w:rsidRDefault="00540E4D" w:rsidP="002470BB">
            <w:pPr>
              <w:rPr>
                <w:lang w:val="en-US"/>
              </w:rPr>
            </w:pPr>
            <w:r>
              <w:rPr>
                <w:lang w:val="en-US"/>
              </w:rPr>
              <w:t>1</w:t>
            </w:r>
          </w:p>
        </w:tc>
        <w:tc>
          <w:tcPr>
            <w:tcW w:w="1272" w:type="dxa"/>
          </w:tcPr>
          <w:p w14:paraId="33D31F44" w14:textId="2533A2FC" w:rsidR="00540E4D" w:rsidRDefault="00540E4D" w:rsidP="002470BB">
            <w:pPr>
              <w:rPr>
                <w:lang w:val="en-US"/>
              </w:rPr>
            </w:pPr>
            <w:r>
              <w:rPr>
                <w:lang w:val="en-US"/>
              </w:rPr>
              <w:t>Measured</w:t>
            </w:r>
          </w:p>
        </w:tc>
        <w:tc>
          <w:tcPr>
            <w:tcW w:w="1118" w:type="dxa"/>
          </w:tcPr>
          <w:p w14:paraId="45634407" w14:textId="1E9943E5" w:rsidR="00540E4D" w:rsidRDefault="00540E4D" w:rsidP="002470BB">
            <w:pPr>
              <w:rPr>
                <w:lang w:val="en-US"/>
              </w:rPr>
            </w:pPr>
            <w:r>
              <w:rPr>
                <w:lang w:val="en-US"/>
              </w:rPr>
              <w:t>Configured</w:t>
            </w:r>
          </w:p>
        </w:tc>
        <w:tc>
          <w:tcPr>
            <w:tcW w:w="1268" w:type="dxa"/>
          </w:tcPr>
          <w:p w14:paraId="0C358F99" w14:textId="0C0E060A" w:rsidR="00540E4D" w:rsidRDefault="00540E4D" w:rsidP="002470BB">
            <w:pPr>
              <w:rPr>
                <w:lang w:val="en-US"/>
              </w:rPr>
            </w:pPr>
            <w:r>
              <w:rPr>
                <w:lang w:val="en-US"/>
              </w:rPr>
              <w:t>Assume 1</w:t>
            </w:r>
          </w:p>
        </w:tc>
        <w:tc>
          <w:tcPr>
            <w:tcW w:w="1226" w:type="dxa"/>
          </w:tcPr>
          <w:p w14:paraId="7DD285E5" w14:textId="015E0AF2" w:rsidR="00540E4D" w:rsidRDefault="00797BC0" w:rsidP="002470BB">
            <w:pPr>
              <w:rPr>
                <w:lang w:val="en-US"/>
              </w:rPr>
            </w:pPr>
            <w:r>
              <w:rPr>
                <w:lang w:val="en-US"/>
              </w:rPr>
              <w:t>Measured</w:t>
            </w:r>
          </w:p>
        </w:tc>
        <w:tc>
          <w:tcPr>
            <w:tcW w:w="1061" w:type="dxa"/>
          </w:tcPr>
          <w:p w14:paraId="10678D91" w14:textId="74204D77" w:rsidR="00540E4D" w:rsidRDefault="00797BC0" w:rsidP="002470BB">
            <w:pPr>
              <w:rPr>
                <w:lang w:val="en-US"/>
              </w:rPr>
            </w:pPr>
            <w:r>
              <w:rPr>
                <w:lang w:val="en-US"/>
              </w:rPr>
              <w:t>Configured</w:t>
            </w:r>
          </w:p>
        </w:tc>
        <w:tc>
          <w:tcPr>
            <w:tcW w:w="1440" w:type="dxa"/>
          </w:tcPr>
          <w:p w14:paraId="450FB881" w14:textId="03E7E4D9" w:rsidR="00540E4D" w:rsidRDefault="00797BC0" w:rsidP="002470BB">
            <w:pPr>
              <w:rPr>
                <w:lang w:val="en-US"/>
              </w:rPr>
            </w:pPr>
            <w:r>
              <w:rPr>
                <w:lang w:val="en-US"/>
              </w:rPr>
              <w:t>Reported</w:t>
            </w:r>
          </w:p>
        </w:tc>
      </w:tr>
      <w:tr w:rsidR="00540E4D" w14:paraId="24CEA8F7" w14:textId="0478423A" w:rsidTr="00540E4D">
        <w:tc>
          <w:tcPr>
            <w:tcW w:w="1160" w:type="dxa"/>
          </w:tcPr>
          <w:p w14:paraId="1BFE8172" w14:textId="7242F8D3" w:rsidR="00540E4D" w:rsidRDefault="00797BC0" w:rsidP="002470BB">
            <w:pPr>
              <w:rPr>
                <w:lang w:val="en-US"/>
              </w:rPr>
            </w:pPr>
            <w:r>
              <w:rPr>
                <w:lang w:val="en-US"/>
              </w:rPr>
              <w:t>2</w:t>
            </w:r>
          </w:p>
        </w:tc>
        <w:tc>
          <w:tcPr>
            <w:tcW w:w="1272" w:type="dxa"/>
          </w:tcPr>
          <w:p w14:paraId="0DB8A119" w14:textId="702B972E" w:rsidR="00540E4D" w:rsidRDefault="00797BC0" w:rsidP="002470BB">
            <w:pPr>
              <w:rPr>
                <w:lang w:val="en-US"/>
              </w:rPr>
            </w:pPr>
            <w:r>
              <w:rPr>
                <w:lang w:val="en-US"/>
              </w:rPr>
              <w:t>Reported</w:t>
            </w:r>
          </w:p>
        </w:tc>
        <w:tc>
          <w:tcPr>
            <w:tcW w:w="1118" w:type="dxa"/>
          </w:tcPr>
          <w:p w14:paraId="7F08F5C6" w14:textId="3DB437F5" w:rsidR="00540E4D" w:rsidRDefault="00797BC0" w:rsidP="002470BB">
            <w:pPr>
              <w:rPr>
                <w:lang w:val="en-US"/>
              </w:rPr>
            </w:pPr>
            <w:r>
              <w:rPr>
                <w:lang w:val="en-US"/>
              </w:rPr>
              <w:t>Configured</w:t>
            </w:r>
          </w:p>
        </w:tc>
        <w:tc>
          <w:tcPr>
            <w:tcW w:w="1268" w:type="dxa"/>
          </w:tcPr>
          <w:p w14:paraId="15C9A7E4" w14:textId="340204C5" w:rsidR="00540E4D" w:rsidRDefault="00797BC0" w:rsidP="002470BB">
            <w:pPr>
              <w:rPr>
                <w:lang w:val="en-US"/>
              </w:rPr>
            </w:pPr>
            <w:r>
              <w:rPr>
                <w:lang w:val="en-US"/>
              </w:rPr>
              <w:t>Measured</w:t>
            </w:r>
          </w:p>
        </w:tc>
        <w:tc>
          <w:tcPr>
            <w:tcW w:w="1226" w:type="dxa"/>
          </w:tcPr>
          <w:p w14:paraId="743A8C26" w14:textId="5DCC6703" w:rsidR="00540E4D" w:rsidRDefault="00797BC0" w:rsidP="002470BB">
            <w:pPr>
              <w:rPr>
                <w:lang w:val="en-US"/>
              </w:rPr>
            </w:pPr>
            <w:r>
              <w:rPr>
                <w:lang w:val="en-US"/>
              </w:rPr>
              <w:t>Configured</w:t>
            </w:r>
          </w:p>
        </w:tc>
        <w:tc>
          <w:tcPr>
            <w:tcW w:w="1061" w:type="dxa"/>
          </w:tcPr>
          <w:p w14:paraId="051F8219" w14:textId="43D5371E" w:rsidR="00540E4D" w:rsidRDefault="00797BC0" w:rsidP="002470BB">
            <w:pPr>
              <w:rPr>
                <w:lang w:val="en-US"/>
              </w:rPr>
            </w:pPr>
            <w:r>
              <w:rPr>
                <w:lang w:val="en-US"/>
              </w:rPr>
              <w:t>Configured</w:t>
            </w:r>
          </w:p>
        </w:tc>
        <w:tc>
          <w:tcPr>
            <w:tcW w:w="1440" w:type="dxa"/>
          </w:tcPr>
          <w:p w14:paraId="14916CDC" w14:textId="4241CDD3" w:rsidR="00540E4D" w:rsidRDefault="00797BC0" w:rsidP="002470BB">
            <w:pPr>
              <w:rPr>
                <w:lang w:val="en-US"/>
              </w:rPr>
            </w:pPr>
            <w:r>
              <w:rPr>
                <w:lang w:val="en-US"/>
              </w:rPr>
              <w:t>Assume 50%</w:t>
            </w:r>
          </w:p>
        </w:tc>
      </w:tr>
      <w:tr w:rsidR="00540E4D" w14:paraId="41B409D4" w14:textId="42354B10" w:rsidTr="00540E4D">
        <w:tc>
          <w:tcPr>
            <w:tcW w:w="1160" w:type="dxa"/>
          </w:tcPr>
          <w:p w14:paraId="2734C1D5" w14:textId="4C7DC65E" w:rsidR="00540E4D" w:rsidRDefault="00797BC0" w:rsidP="002470BB">
            <w:pPr>
              <w:rPr>
                <w:lang w:val="en-US"/>
              </w:rPr>
            </w:pPr>
            <w:r>
              <w:rPr>
                <w:lang w:val="en-US"/>
              </w:rPr>
              <w:t>3</w:t>
            </w:r>
          </w:p>
        </w:tc>
        <w:tc>
          <w:tcPr>
            <w:tcW w:w="1272" w:type="dxa"/>
          </w:tcPr>
          <w:p w14:paraId="2DFCC167" w14:textId="4CE9E4E8" w:rsidR="00540E4D" w:rsidRDefault="00797BC0" w:rsidP="002470BB">
            <w:pPr>
              <w:rPr>
                <w:lang w:val="en-US"/>
              </w:rPr>
            </w:pPr>
            <w:r>
              <w:rPr>
                <w:lang w:val="en-US"/>
              </w:rPr>
              <w:t>Configured</w:t>
            </w:r>
          </w:p>
        </w:tc>
        <w:tc>
          <w:tcPr>
            <w:tcW w:w="1118" w:type="dxa"/>
          </w:tcPr>
          <w:p w14:paraId="549448A9" w14:textId="4BA55D79" w:rsidR="00540E4D" w:rsidRDefault="00797BC0" w:rsidP="002470BB">
            <w:pPr>
              <w:rPr>
                <w:lang w:val="en-US"/>
              </w:rPr>
            </w:pPr>
            <w:r>
              <w:rPr>
                <w:lang w:val="en-US"/>
              </w:rPr>
              <w:t>Configured</w:t>
            </w:r>
          </w:p>
        </w:tc>
        <w:tc>
          <w:tcPr>
            <w:tcW w:w="1268" w:type="dxa"/>
          </w:tcPr>
          <w:p w14:paraId="57B456BB" w14:textId="606D0F5F" w:rsidR="00540E4D" w:rsidRDefault="00797BC0" w:rsidP="002470BB">
            <w:pPr>
              <w:rPr>
                <w:lang w:val="en-US"/>
              </w:rPr>
            </w:pPr>
            <w:r>
              <w:rPr>
                <w:lang w:val="en-US"/>
              </w:rPr>
              <w:t>Measured</w:t>
            </w:r>
          </w:p>
        </w:tc>
        <w:tc>
          <w:tcPr>
            <w:tcW w:w="1226" w:type="dxa"/>
          </w:tcPr>
          <w:p w14:paraId="3C702DE2" w14:textId="7D22B2DE" w:rsidR="00540E4D" w:rsidRDefault="00797BC0" w:rsidP="002470BB">
            <w:pPr>
              <w:rPr>
                <w:lang w:val="en-US"/>
              </w:rPr>
            </w:pPr>
            <w:r>
              <w:rPr>
                <w:lang w:val="en-US"/>
              </w:rPr>
              <w:t>Reported</w:t>
            </w:r>
          </w:p>
        </w:tc>
        <w:tc>
          <w:tcPr>
            <w:tcW w:w="1061" w:type="dxa"/>
          </w:tcPr>
          <w:p w14:paraId="369D0ACC" w14:textId="785CFA03" w:rsidR="00540E4D" w:rsidRDefault="00797BC0" w:rsidP="002470BB">
            <w:pPr>
              <w:rPr>
                <w:lang w:val="en-US"/>
              </w:rPr>
            </w:pPr>
            <w:r>
              <w:rPr>
                <w:lang w:val="en-US"/>
              </w:rPr>
              <w:t>Configured</w:t>
            </w:r>
          </w:p>
        </w:tc>
        <w:tc>
          <w:tcPr>
            <w:tcW w:w="1440" w:type="dxa"/>
          </w:tcPr>
          <w:p w14:paraId="118D827A" w14:textId="2F3070D6" w:rsidR="00540E4D" w:rsidRDefault="00797BC0" w:rsidP="002470BB">
            <w:pPr>
              <w:rPr>
                <w:lang w:val="en-US"/>
              </w:rPr>
            </w:pPr>
            <w:r>
              <w:rPr>
                <w:lang w:val="en-US"/>
              </w:rPr>
              <w:t>Assume 50%</w:t>
            </w:r>
          </w:p>
        </w:tc>
      </w:tr>
      <w:tr w:rsidR="00797BC0" w14:paraId="17D77B5B" w14:textId="77777777" w:rsidTr="00540E4D">
        <w:tc>
          <w:tcPr>
            <w:tcW w:w="1160" w:type="dxa"/>
          </w:tcPr>
          <w:p w14:paraId="356B82AC" w14:textId="5FE3B85A" w:rsidR="00797BC0" w:rsidRDefault="00797BC0" w:rsidP="002470BB">
            <w:pPr>
              <w:rPr>
                <w:lang w:val="en-US"/>
              </w:rPr>
            </w:pPr>
            <w:r>
              <w:rPr>
                <w:lang w:val="en-US"/>
              </w:rPr>
              <w:t>4</w:t>
            </w:r>
          </w:p>
        </w:tc>
        <w:tc>
          <w:tcPr>
            <w:tcW w:w="1272" w:type="dxa"/>
          </w:tcPr>
          <w:p w14:paraId="7880CB2F" w14:textId="37169322" w:rsidR="00797BC0" w:rsidRDefault="002D2DBA" w:rsidP="002470BB">
            <w:pPr>
              <w:rPr>
                <w:lang w:val="en-US"/>
              </w:rPr>
            </w:pPr>
            <w:r>
              <w:rPr>
                <w:lang w:val="en-US"/>
              </w:rPr>
              <w:t>Measured</w:t>
            </w:r>
          </w:p>
        </w:tc>
        <w:tc>
          <w:tcPr>
            <w:tcW w:w="1118" w:type="dxa"/>
          </w:tcPr>
          <w:p w14:paraId="7FFFCDF2" w14:textId="1545E113" w:rsidR="00797BC0" w:rsidRDefault="002D2DBA" w:rsidP="002470BB">
            <w:pPr>
              <w:rPr>
                <w:lang w:val="en-US"/>
              </w:rPr>
            </w:pPr>
            <w:r>
              <w:rPr>
                <w:lang w:val="en-US"/>
              </w:rPr>
              <w:t>Configured</w:t>
            </w:r>
          </w:p>
        </w:tc>
        <w:tc>
          <w:tcPr>
            <w:tcW w:w="1268" w:type="dxa"/>
          </w:tcPr>
          <w:p w14:paraId="138CB122" w14:textId="78E8973F" w:rsidR="00797BC0" w:rsidRDefault="002D2DBA" w:rsidP="002470BB">
            <w:pPr>
              <w:rPr>
                <w:lang w:val="en-US"/>
              </w:rPr>
            </w:pPr>
            <w:r>
              <w:rPr>
                <w:lang w:val="en-US"/>
              </w:rPr>
              <w:t>Reported</w:t>
            </w:r>
          </w:p>
        </w:tc>
        <w:tc>
          <w:tcPr>
            <w:tcW w:w="1226" w:type="dxa"/>
          </w:tcPr>
          <w:p w14:paraId="17740E57" w14:textId="1874769A" w:rsidR="00797BC0" w:rsidRDefault="002D2DBA" w:rsidP="002470BB">
            <w:pPr>
              <w:rPr>
                <w:lang w:val="en-US"/>
              </w:rPr>
            </w:pPr>
            <w:r>
              <w:rPr>
                <w:lang w:val="en-US"/>
              </w:rPr>
              <w:t>Measured</w:t>
            </w:r>
          </w:p>
        </w:tc>
        <w:tc>
          <w:tcPr>
            <w:tcW w:w="1061" w:type="dxa"/>
          </w:tcPr>
          <w:p w14:paraId="5A56E0CB" w14:textId="32E4562F" w:rsidR="00797BC0" w:rsidRDefault="002D2DBA" w:rsidP="002470BB">
            <w:pPr>
              <w:rPr>
                <w:lang w:val="en-US"/>
              </w:rPr>
            </w:pPr>
            <w:r>
              <w:rPr>
                <w:lang w:val="en-US"/>
              </w:rPr>
              <w:t>Configured</w:t>
            </w:r>
          </w:p>
        </w:tc>
        <w:tc>
          <w:tcPr>
            <w:tcW w:w="1440" w:type="dxa"/>
          </w:tcPr>
          <w:p w14:paraId="51FAA6A2" w14:textId="59569870" w:rsidR="00797BC0" w:rsidRDefault="002D2DBA" w:rsidP="002470BB">
            <w:pPr>
              <w:rPr>
                <w:lang w:val="en-US"/>
              </w:rPr>
            </w:pPr>
            <w:r>
              <w:rPr>
                <w:lang w:val="en-US"/>
              </w:rPr>
              <w:t>Assume 50%</w:t>
            </w:r>
          </w:p>
        </w:tc>
      </w:tr>
      <w:tr w:rsidR="00797BC0" w14:paraId="386A44F2" w14:textId="77777777" w:rsidTr="00540E4D">
        <w:tc>
          <w:tcPr>
            <w:tcW w:w="1160" w:type="dxa"/>
          </w:tcPr>
          <w:p w14:paraId="40A4181E" w14:textId="3E2436A1" w:rsidR="00797BC0" w:rsidRDefault="00797BC0" w:rsidP="002470BB">
            <w:pPr>
              <w:rPr>
                <w:lang w:val="en-US"/>
              </w:rPr>
            </w:pPr>
            <w:r>
              <w:rPr>
                <w:lang w:val="en-US"/>
              </w:rPr>
              <w:t>5</w:t>
            </w:r>
          </w:p>
        </w:tc>
        <w:tc>
          <w:tcPr>
            <w:tcW w:w="1272" w:type="dxa"/>
          </w:tcPr>
          <w:p w14:paraId="723E0A5E" w14:textId="5B129AC3" w:rsidR="00797BC0" w:rsidRDefault="002D2DBA" w:rsidP="002470BB">
            <w:pPr>
              <w:rPr>
                <w:lang w:val="en-US"/>
              </w:rPr>
            </w:pPr>
            <w:r>
              <w:rPr>
                <w:lang w:val="en-US"/>
              </w:rPr>
              <w:t>Measured</w:t>
            </w:r>
          </w:p>
        </w:tc>
        <w:tc>
          <w:tcPr>
            <w:tcW w:w="1118" w:type="dxa"/>
          </w:tcPr>
          <w:p w14:paraId="51209F53" w14:textId="1430834B" w:rsidR="00797BC0" w:rsidRDefault="002D2DBA" w:rsidP="002470BB">
            <w:pPr>
              <w:rPr>
                <w:lang w:val="en-US"/>
              </w:rPr>
            </w:pPr>
            <w:r>
              <w:rPr>
                <w:lang w:val="en-US"/>
              </w:rPr>
              <w:t>Configured</w:t>
            </w:r>
          </w:p>
        </w:tc>
        <w:tc>
          <w:tcPr>
            <w:tcW w:w="1268" w:type="dxa"/>
          </w:tcPr>
          <w:p w14:paraId="6B8D11A2" w14:textId="4FE8A357" w:rsidR="00797BC0" w:rsidRDefault="002D2DBA" w:rsidP="002470BB">
            <w:pPr>
              <w:rPr>
                <w:lang w:val="en-US"/>
              </w:rPr>
            </w:pPr>
            <w:r>
              <w:rPr>
                <w:lang w:val="en-US"/>
              </w:rPr>
              <w:t>Reported</w:t>
            </w:r>
          </w:p>
        </w:tc>
        <w:tc>
          <w:tcPr>
            <w:tcW w:w="1226" w:type="dxa"/>
          </w:tcPr>
          <w:p w14:paraId="1DEA75EE" w14:textId="5AF52049" w:rsidR="00797BC0" w:rsidRDefault="002D2DBA" w:rsidP="002470BB">
            <w:pPr>
              <w:rPr>
                <w:lang w:val="en-US"/>
              </w:rPr>
            </w:pPr>
            <w:r>
              <w:rPr>
                <w:lang w:val="en-US"/>
              </w:rPr>
              <w:t>Measured</w:t>
            </w:r>
          </w:p>
        </w:tc>
        <w:tc>
          <w:tcPr>
            <w:tcW w:w="1061" w:type="dxa"/>
          </w:tcPr>
          <w:p w14:paraId="46BAEB86" w14:textId="34FBA896" w:rsidR="00797BC0" w:rsidRDefault="002D2DBA" w:rsidP="002470BB">
            <w:pPr>
              <w:rPr>
                <w:lang w:val="en-US"/>
              </w:rPr>
            </w:pPr>
            <w:r>
              <w:rPr>
                <w:lang w:val="en-US"/>
              </w:rPr>
              <w:t>Configured</w:t>
            </w:r>
          </w:p>
        </w:tc>
        <w:tc>
          <w:tcPr>
            <w:tcW w:w="1440" w:type="dxa"/>
          </w:tcPr>
          <w:p w14:paraId="0BEA5923" w14:textId="4B841995" w:rsidR="00797BC0" w:rsidRDefault="002D2DBA" w:rsidP="002470BB">
            <w:pPr>
              <w:rPr>
                <w:lang w:val="en-US"/>
              </w:rPr>
            </w:pPr>
            <w:r>
              <w:rPr>
                <w:lang w:val="en-US"/>
              </w:rPr>
              <w:t>Reported</w:t>
            </w:r>
          </w:p>
        </w:tc>
      </w:tr>
      <w:tr w:rsidR="002D2DBA" w14:paraId="248A522B" w14:textId="77777777" w:rsidTr="00540E4D">
        <w:tc>
          <w:tcPr>
            <w:tcW w:w="1160" w:type="dxa"/>
          </w:tcPr>
          <w:p w14:paraId="0A9C7182" w14:textId="697F037A" w:rsidR="002D2DBA" w:rsidRDefault="002D2DBA" w:rsidP="002470BB">
            <w:pPr>
              <w:rPr>
                <w:lang w:val="en-US"/>
              </w:rPr>
            </w:pPr>
            <w:r>
              <w:rPr>
                <w:lang w:val="en-US"/>
              </w:rPr>
              <w:t>6</w:t>
            </w:r>
          </w:p>
        </w:tc>
        <w:tc>
          <w:tcPr>
            <w:tcW w:w="1272" w:type="dxa"/>
          </w:tcPr>
          <w:p w14:paraId="2EBB3689" w14:textId="450CC62D" w:rsidR="002D2DBA" w:rsidRDefault="00C322C4" w:rsidP="002470BB">
            <w:pPr>
              <w:rPr>
                <w:lang w:val="en-US"/>
              </w:rPr>
            </w:pPr>
            <w:r>
              <w:rPr>
                <w:lang w:val="en-US"/>
              </w:rPr>
              <w:t>Assume 100%</w:t>
            </w:r>
          </w:p>
        </w:tc>
        <w:tc>
          <w:tcPr>
            <w:tcW w:w="1118" w:type="dxa"/>
          </w:tcPr>
          <w:p w14:paraId="5F27E2FC" w14:textId="57E4E8A3" w:rsidR="002D2DBA" w:rsidRDefault="00A817FF" w:rsidP="002470BB">
            <w:pPr>
              <w:rPr>
                <w:lang w:val="en-US"/>
              </w:rPr>
            </w:pPr>
            <w:r>
              <w:rPr>
                <w:lang w:val="en-US"/>
              </w:rPr>
              <w:t>Configured at &lt; 23 dBm</w:t>
            </w:r>
          </w:p>
        </w:tc>
        <w:tc>
          <w:tcPr>
            <w:tcW w:w="1268" w:type="dxa"/>
          </w:tcPr>
          <w:p w14:paraId="183BC6C0" w14:textId="013467F1" w:rsidR="002D2DBA" w:rsidRDefault="00A817FF" w:rsidP="002470BB">
            <w:pPr>
              <w:rPr>
                <w:lang w:val="en-US"/>
              </w:rPr>
            </w:pPr>
            <w:r>
              <w:rPr>
                <w:lang w:val="en-US"/>
              </w:rPr>
              <w:t>Assume 1</w:t>
            </w:r>
          </w:p>
        </w:tc>
        <w:tc>
          <w:tcPr>
            <w:tcW w:w="1226" w:type="dxa"/>
          </w:tcPr>
          <w:p w14:paraId="48446820" w14:textId="28CB9201" w:rsidR="002D2DBA" w:rsidRDefault="00EB1075" w:rsidP="002470BB">
            <w:pPr>
              <w:rPr>
                <w:lang w:val="en-US"/>
              </w:rPr>
            </w:pPr>
            <w:r>
              <w:rPr>
                <w:lang w:val="en-US"/>
              </w:rPr>
              <w:t>Configured</w:t>
            </w:r>
          </w:p>
        </w:tc>
        <w:tc>
          <w:tcPr>
            <w:tcW w:w="1061" w:type="dxa"/>
          </w:tcPr>
          <w:p w14:paraId="035B6C32" w14:textId="5B5FA2C8" w:rsidR="002D2DBA" w:rsidRDefault="00A817FF" w:rsidP="002470BB">
            <w:pPr>
              <w:rPr>
                <w:lang w:val="en-US"/>
              </w:rPr>
            </w:pPr>
            <w:r>
              <w:rPr>
                <w:lang w:val="en-US"/>
              </w:rPr>
              <w:t>Configured</w:t>
            </w:r>
          </w:p>
        </w:tc>
        <w:tc>
          <w:tcPr>
            <w:tcW w:w="1440" w:type="dxa"/>
          </w:tcPr>
          <w:p w14:paraId="65526219" w14:textId="4D73569D" w:rsidR="002D2DBA" w:rsidRDefault="00EB1075" w:rsidP="002470BB">
            <w:pPr>
              <w:rPr>
                <w:lang w:val="en-US"/>
              </w:rPr>
            </w:pPr>
            <w:r>
              <w:rPr>
                <w:lang w:val="en-US"/>
              </w:rPr>
              <w:t>Assume 50%</w:t>
            </w:r>
          </w:p>
        </w:tc>
      </w:tr>
    </w:tbl>
    <w:p w14:paraId="7690BF8A" w14:textId="1825A754" w:rsidR="00540E4D" w:rsidRDefault="00540E4D" w:rsidP="002470BB">
      <w:pPr>
        <w:rPr>
          <w:lang w:val="en-US"/>
        </w:rPr>
      </w:pPr>
    </w:p>
    <w:p w14:paraId="55FB703A" w14:textId="3E185476" w:rsidR="006D0F47" w:rsidRDefault="002D2DBA" w:rsidP="002470BB">
      <w:pPr>
        <w:rPr>
          <w:lang w:val="en-US"/>
        </w:rPr>
      </w:pPr>
      <w:r>
        <w:rPr>
          <w:lang w:val="en-US"/>
        </w:rPr>
        <w:t>In this table, parameters of the equation are categorized as “measured</w:t>
      </w:r>
      <w:r w:rsidR="00762293">
        <w:rPr>
          <w:lang w:val="en-US"/>
        </w:rPr>
        <w:t>,</w:t>
      </w:r>
      <w:r>
        <w:rPr>
          <w:lang w:val="en-US"/>
        </w:rPr>
        <w:t>” “configured</w:t>
      </w:r>
      <w:r w:rsidR="00762293">
        <w:rPr>
          <w:lang w:val="en-US"/>
        </w:rPr>
        <w:t>,</w:t>
      </w:r>
      <w:r>
        <w:rPr>
          <w:lang w:val="en-US"/>
        </w:rPr>
        <w:t>”</w:t>
      </w:r>
      <w:r w:rsidR="00CA4E0C">
        <w:rPr>
          <w:lang w:val="en-US"/>
        </w:rPr>
        <w:t xml:space="preserve"> </w:t>
      </w:r>
      <w:r>
        <w:rPr>
          <w:lang w:val="en-US"/>
        </w:rPr>
        <w:t>“assumed</w:t>
      </w:r>
      <w:r w:rsidR="00762293">
        <w:rPr>
          <w:lang w:val="en-US"/>
        </w:rPr>
        <w:t>,</w:t>
      </w:r>
      <w:r>
        <w:rPr>
          <w:lang w:val="en-US"/>
        </w:rPr>
        <w:t>”</w:t>
      </w:r>
      <w:r w:rsidR="00CA4E0C">
        <w:rPr>
          <w:lang w:val="en-US"/>
        </w:rPr>
        <w:t xml:space="preserve"> or “reported</w:t>
      </w:r>
      <w:r w:rsidR="00762293">
        <w:rPr>
          <w:lang w:val="en-US"/>
        </w:rPr>
        <w:t>.</w:t>
      </w:r>
      <w:r w:rsidR="00CA4E0C">
        <w:rPr>
          <w:lang w:val="en-US"/>
        </w:rPr>
        <w:t>”</w:t>
      </w:r>
      <w:r>
        <w:rPr>
          <w:lang w:val="en-US"/>
        </w:rPr>
        <w:t xml:space="preserve">  Parameters that are “measured”</w:t>
      </w:r>
      <w:r w:rsidR="006375E5">
        <w:rPr>
          <w:lang w:val="en-US"/>
        </w:rPr>
        <w:t xml:space="preserve"> </w:t>
      </w:r>
      <w:proofErr w:type="gramStart"/>
      <w:r w:rsidR="006375E5">
        <w:rPr>
          <w:lang w:val="en-US"/>
        </w:rPr>
        <w:t>are considered to be</w:t>
      </w:r>
      <w:proofErr w:type="gramEnd"/>
      <w:r w:rsidR="006375E5">
        <w:rPr>
          <w:lang w:val="en-US"/>
        </w:rPr>
        <w:t xml:space="preserve"> known.  For example, the duty cycle can be measured over </w:t>
      </w:r>
      <w:proofErr w:type="gramStart"/>
      <w:r w:rsidR="006375E5">
        <w:rPr>
          <w:lang w:val="en-US"/>
        </w:rPr>
        <w:t>a period of time</w:t>
      </w:r>
      <w:proofErr w:type="gramEnd"/>
      <w:r w:rsidR="006375E5">
        <w:rPr>
          <w:lang w:val="en-US"/>
        </w:rPr>
        <w:t xml:space="preserve"> and therefore known.  The SAR ratio can be known as well based on design or measurement.  Of course, the measured parameters are also subject to error</w:t>
      </w:r>
      <w:r w:rsidR="00FB2983">
        <w:rPr>
          <w:lang w:val="en-US"/>
        </w:rPr>
        <w:t xml:space="preserve"> (sometimes large error rendering them no better than estimated parameters)</w:t>
      </w:r>
      <w:r w:rsidR="006375E5">
        <w:rPr>
          <w:lang w:val="en-US"/>
        </w:rPr>
        <w:t xml:space="preserve">, but the error in measured parameters is ignored in the performance evaluation.  Parameters that are “configured” are </w:t>
      </w:r>
      <w:r w:rsidR="00827B7C">
        <w:rPr>
          <w:lang w:val="en-US"/>
        </w:rPr>
        <w:t>for example set by the network and may represent a bound.  For example, a duty cycle</w:t>
      </w:r>
      <w:r w:rsidR="00516EF0">
        <w:rPr>
          <w:lang w:val="en-US"/>
        </w:rPr>
        <w:t xml:space="preserve"> that is configured might be based on the TDD UL/DL configuration set by the network.  It represents an upper bound on transmit duty cycle since those UL slots are the only ones available for scheduling.  Similarly, configure</w:t>
      </w:r>
      <w:r w:rsidR="00FB2983">
        <w:rPr>
          <w:lang w:val="en-US"/>
        </w:rPr>
        <w:t>d</w:t>
      </w:r>
      <w:r w:rsidR="00516EF0">
        <w:rPr>
          <w:lang w:val="en-US"/>
        </w:rPr>
        <w:t xml:space="preserve"> P</w:t>
      </w:r>
      <w:r w:rsidR="00516EF0" w:rsidRPr="00516EF0">
        <w:rPr>
          <w:vertAlign w:val="subscript"/>
          <w:lang w:val="en-US"/>
        </w:rPr>
        <w:t>LTE</w:t>
      </w:r>
      <w:r w:rsidR="00516EF0">
        <w:rPr>
          <w:lang w:val="en-US"/>
        </w:rPr>
        <w:t xml:space="preserve"> or P</w:t>
      </w:r>
      <w:r w:rsidR="00516EF0" w:rsidRPr="00516EF0">
        <w:rPr>
          <w:vertAlign w:val="subscript"/>
          <w:lang w:val="en-US"/>
        </w:rPr>
        <w:t>NR</w:t>
      </w:r>
      <w:r w:rsidR="00516EF0">
        <w:rPr>
          <w:lang w:val="en-US"/>
        </w:rPr>
        <w:t xml:space="preserve"> represents the maximum output power that the UE can transmit within the cell group.  The difference between “configured” and “measured” is that the configured value is </w:t>
      </w:r>
      <w:r w:rsidR="00253D02">
        <w:rPr>
          <w:lang w:val="en-US"/>
        </w:rPr>
        <w:t>established</w:t>
      </w:r>
      <w:r w:rsidR="00516EF0">
        <w:rPr>
          <w:lang w:val="en-US"/>
        </w:rPr>
        <w:t xml:space="preserve"> ahead of time </w:t>
      </w:r>
      <w:r w:rsidR="00265EC8">
        <w:rPr>
          <w:lang w:val="en-US"/>
        </w:rPr>
        <w:t xml:space="preserve">before traffic and network conditions are known </w:t>
      </w:r>
      <w:r w:rsidR="00516EF0">
        <w:rPr>
          <w:lang w:val="en-US"/>
        </w:rPr>
        <w:t>and therefore only represents the bound.  The “measured” value represents the actual performance, for example, actual Tx power may be lower than the configured P</w:t>
      </w:r>
      <w:r w:rsidR="00516EF0" w:rsidRPr="00516EF0">
        <w:rPr>
          <w:vertAlign w:val="subscript"/>
          <w:lang w:val="en-US"/>
        </w:rPr>
        <w:t>LTE</w:t>
      </w:r>
      <w:r w:rsidR="00516EF0">
        <w:rPr>
          <w:lang w:val="en-US"/>
        </w:rPr>
        <w:t xml:space="preserve"> or P</w:t>
      </w:r>
      <w:r w:rsidR="00516EF0" w:rsidRPr="00516EF0">
        <w:rPr>
          <w:vertAlign w:val="subscript"/>
          <w:lang w:val="en-US"/>
        </w:rPr>
        <w:t>NR</w:t>
      </w:r>
      <w:r w:rsidR="00516EF0">
        <w:rPr>
          <w:lang w:val="en-US"/>
        </w:rPr>
        <w:t xml:space="preserve">.  Parameters that are “assumed” </w:t>
      </w:r>
      <w:r w:rsidR="00A97CDF">
        <w:rPr>
          <w:lang w:val="en-US"/>
        </w:rPr>
        <w:t xml:space="preserve">are inherent in the calculation.  Assumed values may </w:t>
      </w:r>
      <w:r w:rsidR="00265EC8">
        <w:rPr>
          <w:lang w:val="en-US"/>
        </w:rPr>
        <w:t xml:space="preserve">be inaccurate </w:t>
      </w:r>
      <w:r w:rsidR="00A97CDF">
        <w:rPr>
          <w:lang w:val="en-US"/>
        </w:rPr>
        <w:t>not correspond</w:t>
      </w:r>
      <w:r w:rsidR="00265EC8">
        <w:rPr>
          <w:lang w:val="en-US"/>
        </w:rPr>
        <w:t>ing</w:t>
      </w:r>
      <w:r w:rsidR="00A97CDF">
        <w:rPr>
          <w:lang w:val="en-US"/>
        </w:rPr>
        <w:t xml:space="preserve"> to the actual value of the parameter.  For example, the calculation for option 1 assumes a </w:t>
      </w:r>
      <w:proofErr w:type="spellStart"/>
      <w:r w:rsidR="00A97CDF">
        <w:rPr>
          <w:lang w:val="en-US"/>
        </w:rPr>
        <w:t>SAR</w:t>
      </w:r>
      <w:r w:rsidR="00A97CDF" w:rsidRPr="00A97CDF">
        <w:rPr>
          <w:vertAlign w:val="subscript"/>
          <w:lang w:val="en-US"/>
        </w:rPr>
        <w:t>ratio</w:t>
      </w:r>
      <w:proofErr w:type="spellEnd"/>
      <w:r w:rsidR="00A97CDF">
        <w:rPr>
          <w:lang w:val="en-US"/>
        </w:rPr>
        <w:t xml:space="preserve"> of 1 that may not reflect the actual antenna </w:t>
      </w:r>
      <w:proofErr w:type="gramStart"/>
      <w:r w:rsidR="00A97CDF">
        <w:rPr>
          <w:lang w:val="en-US"/>
        </w:rPr>
        <w:t>design</w:t>
      </w:r>
      <w:proofErr w:type="gramEnd"/>
      <w:r w:rsidR="00265EC8">
        <w:rPr>
          <w:lang w:val="en-US"/>
        </w:rPr>
        <w:t xml:space="preserve"> but the value is assumed in the absence of any other information.</w:t>
      </w:r>
    </w:p>
    <w:p w14:paraId="2219C9E3" w14:textId="59D91553" w:rsidR="0016353B" w:rsidRDefault="0016353B" w:rsidP="0016353B">
      <w:pPr>
        <w:pStyle w:val="Heading2"/>
        <w:rPr>
          <w:lang w:val="en-US"/>
        </w:rPr>
      </w:pPr>
      <w:r>
        <w:rPr>
          <w:lang w:val="en-US"/>
        </w:rPr>
        <w:t>Example scenarios</w:t>
      </w:r>
    </w:p>
    <w:p w14:paraId="0A039578" w14:textId="40EEBEC8" w:rsidR="0016353B" w:rsidRDefault="0016353B" w:rsidP="002470BB">
      <w:pPr>
        <w:rPr>
          <w:lang w:val="en-US"/>
        </w:rPr>
      </w:pPr>
      <w:r>
        <w:rPr>
          <w:lang w:val="en-US"/>
        </w:rPr>
        <w:t>Seven example scenarios are evaluated below to illustrate the behavior of each option when information is imperfect.  Errors in assumptions or estimates cause various options to either underestimate or overestimate the actual activity factor as described below.</w:t>
      </w:r>
    </w:p>
    <w:p w14:paraId="74A3E146" w14:textId="10233133" w:rsidR="00265EC8" w:rsidRDefault="00457AB9" w:rsidP="002470BB">
      <w:pPr>
        <w:rPr>
          <w:lang w:val="en-US"/>
        </w:rPr>
      </w:pPr>
      <w:r w:rsidRPr="00457AB9">
        <w:rPr>
          <w:noProof/>
        </w:rPr>
        <w:lastRenderedPageBreak/>
        <w:drawing>
          <wp:inline distT="0" distB="0" distL="0" distR="0" wp14:anchorId="7AF603D2" wp14:editId="5F6B2932">
            <wp:extent cx="6115685" cy="23736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2373630"/>
                    </a:xfrm>
                    <a:prstGeom prst="rect">
                      <a:avLst/>
                    </a:prstGeom>
                    <a:noFill/>
                    <a:ln>
                      <a:noFill/>
                    </a:ln>
                  </pic:spPr>
                </pic:pic>
              </a:graphicData>
            </a:graphic>
          </wp:inline>
        </w:drawing>
      </w:r>
    </w:p>
    <w:p w14:paraId="214F8737" w14:textId="77777777" w:rsidR="00A97CDF" w:rsidRPr="00516EF0" w:rsidRDefault="00A97CDF" w:rsidP="002470BB">
      <w:pPr>
        <w:rPr>
          <w:lang w:val="en-US"/>
        </w:rPr>
      </w:pPr>
    </w:p>
    <w:p w14:paraId="727DD327" w14:textId="509C3D22" w:rsidR="006375E5" w:rsidRDefault="00C91C84" w:rsidP="002470BB">
      <w:pPr>
        <w:rPr>
          <w:lang w:val="en-US"/>
        </w:rPr>
      </w:pPr>
      <w:r>
        <w:rPr>
          <w:lang w:val="en-US"/>
        </w:rPr>
        <w:t xml:space="preserve">Options 1 to </w:t>
      </w:r>
      <w:r w:rsidR="00B31306">
        <w:rPr>
          <w:lang w:val="en-US"/>
        </w:rPr>
        <w:t>6</w:t>
      </w:r>
      <w:r>
        <w:rPr>
          <w:lang w:val="en-US"/>
        </w:rPr>
        <w:t xml:space="preserve"> are evaluated under </w:t>
      </w:r>
      <w:proofErr w:type="gramStart"/>
      <w:r>
        <w:rPr>
          <w:lang w:val="en-US"/>
        </w:rPr>
        <w:t>a number of</w:t>
      </w:r>
      <w:proofErr w:type="gramEnd"/>
      <w:r>
        <w:rPr>
          <w:lang w:val="en-US"/>
        </w:rPr>
        <w:t xml:space="preserve"> different scenarios shown above.  </w:t>
      </w:r>
      <w:r w:rsidR="00B31306">
        <w:rPr>
          <w:lang w:val="en-US"/>
        </w:rPr>
        <w:t xml:space="preserve">Scenarios 1 – 5 are not valid for Option 6 since Option 6 restricts the maximum FDD power level to less than 23 dBm but without </w:t>
      </w:r>
      <w:r w:rsidR="005B2A44">
        <w:rPr>
          <w:lang w:val="en-US"/>
        </w:rPr>
        <w:t>restricting</w:t>
      </w:r>
      <w:r w:rsidR="00B31306">
        <w:rPr>
          <w:lang w:val="en-US"/>
        </w:rPr>
        <w:t xml:space="preserve"> any uplink duty cycling on FDD.  </w:t>
      </w:r>
      <w:r>
        <w:rPr>
          <w:lang w:val="en-US"/>
        </w:rPr>
        <w:t xml:space="preserve">The computed duty cycle is shown for each option, while the actual “activity” is shown highlighted in yellow.  Assuming a reported 50% duty cycle, if the activity exceeds 50%, then it can be interpreted that SAR may not be met under those conditions.  On the other hand, if the computed duty cycles exceed 50%, then it is interpreted that the UE </w:t>
      </w:r>
      <w:r w:rsidR="005B2A44">
        <w:rPr>
          <w:lang w:val="en-US"/>
        </w:rPr>
        <w:t>must</w:t>
      </w:r>
      <w:r>
        <w:rPr>
          <w:lang w:val="en-US"/>
        </w:rPr>
        <w:t xml:space="preserve"> fall back to PC3.  The actual activity and computed duty cycle may not be the same since the computed duty cycle is based on assumed or configured parameters as described above. </w:t>
      </w:r>
    </w:p>
    <w:p w14:paraId="04682370" w14:textId="263D776C" w:rsidR="00C91C84" w:rsidRDefault="00C91C84" w:rsidP="002470BB">
      <w:pPr>
        <w:rPr>
          <w:lang w:val="en-US"/>
        </w:rPr>
      </w:pPr>
      <w:r>
        <w:rPr>
          <w:lang w:val="en-US"/>
        </w:rPr>
        <w:t>Scenario 1:  The SAR ratio of 1.5 is not accounted for by option 1 and therefore underestimates the activity and maintains PC2.  The actual activity, however, implies that SAR cannot be met so P-MPR will be taken.  Options 2 – 5 correctly estimate that the activity is too high and therefore fall back to PC3.</w:t>
      </w:r>
    </w:p>
    <w:p w14:paraId="5269B8BE" w14:textId="5F9D1C7E" w:rsidR="00C91C84" w:rsidRDefault="00C91C84" w:rsidP="002470BB">
      <w:pPr>
        <w:rPr>
          <w:lang w:val="en-US"/>
        </w:rPr>
      </w:pPr>
      <w:r>
        <w:rPr>
          <w:lang w:val="en-US"/>
        </w:rPr>
        <w:t xml:space="preserve">Scenario 2:  The SAR ratio is not accounted for by option 1, but since the ratio in this case is lower than 1, the option 1 overestimates the activity.  Nonetheless the duty cycle calculated is 50% so fall back does not occur.  The only </w:t>
      </w:r>
      <w:r w:rsidR="005D7E2B">
        <w:rPr>
          <w:lang w:val="en-US"/>
        </w:rPr>
        <w:t xml:space="preserve">detriment is that the calculation might lead the </w:t>
      </w:r>
      <w:proofErr w:type="spellStart"/>
      <w:r w:rsidR="005D7E2B">
        <w:rPr>
          <w:lang w:val="en-US"/>
        </w:rPr>
        <w:t>basestation</w:t>
      </w:r>
      <w:proofErr w:type="spellEnd"/>
      <w:r w:rsidR="005D7E2B">
        <w:rPr>
          <w:lang w:val="en-US"/>
        </w:rPr>
        <w:t xml:space="preserve"> to schedule less uplink than could </w:t>
      </w:r>
      <w:proofErr w:type="gramStart"/>
      <w:r w:rsidR="005D7E2B">
        <w:rPr>
          <w:lang w:val="en-US"/>
        </w:rPr>
        <w:t>actually have</w:t>
      </w:r>
      <w:proofErr w:type="gramEnd"/>
      <w:r w:rsidR="005D7E2B">
        <w:rPr>
          <w:lang w:val="en-US"/>
        </w:rPr>
        <w:t xml:space="preserve"> been accommodated.  Options 2 – 5 correctly estimate the activity since they do </w:t>
      </w:r>
      <w:proofErr w:type="gramStart"/>
      <w:r w:rsidR="005D7E2B">
        <w:rPr>
          <w:lang w:val="en-US"/>
        </w:rPr>
        <w:t>take into account</w:t>
      </w:r>
      <w:proofErr w:type="gramEnd"/>
      <w:r w:rsidR="005D7E2B">
        <w:rPr>
          <w:lang w:val="en-US"/>
        </w:rPr>
        <w:t xml:space="preserve"> SAR ratio.</w:t>
      </w:r>
    </w:p>
    <w:p w14:paraId="46ED893B" w14:textId="56A0628E" w:rsidR="005D7E2B" w:rsidRDefault="005D7E2B" w:rsidP="002470BB">
      <w:pPr>
        <w:rPr>
          <w:lang w:val="en-US"/>
        </w:rPr>
      </w:pPr>
      <w:r>
        <w:rPr>
          <w:lang w:val="en-US"/>
        </w:rPr>
        <w:t>Scenario 3:  For this scenario, the actual Tx output powers are lower than the power class implies.  Since all options assume maximum output power, they all overestimate the activity.  Options 2 – 5 unnecessarily trigger a fallback to PC3.  However, since the actual output powers are anyways 20 dBm, fallback to PC3 does not necessarily reduce uplink power in this scenario.  However, since it is unclear when and how a UE that has fallen back to PC3 will eventually promote back to PC2, unnecessary fallback is still preferred to be avoided if possible.</w:t>
      </w:r>
    </w:p>
    <w:p w14:paraId="2FC481E2" w14:textId="0CF6DB49" w:rsidR="005D7E2B" w:rsidRDefault="005D7E2B" w:rsidP="002470BB">
      <w:pPr>
        <w:rPr>
          <w:lang w:val="en-US"/>
        </w:rPr>
      </w:pPr>
      <w:r>
        <w:rPr>
          <w:lang w:val="en-US"/>
        </w:rPr>
        <w:t xml:space="preserve">Scenario 4:  </w:t>
      </w:r>
      <w:r w:rsidR="00000837">
        <w:rPr>
          <w:lang w:val="en-US"/>
        </w:rPr>
        <w:t xml:space="preserve">In this scenario where </w:t>
      </w:r>
      <w:r w:rsidR="003829C1">
        <w:rPr>
          <w:lang w:val="en-US"/>
        </w:rPr>
        <w:t xml:space="preserve">the scheduled duty cycle for FDD is lower than configured, Option 3 overestimates the activity and triggers fallback to PC3.  </w:t>
      </w:r>
    </w:p>
    <w:p w14:paraId="5E92F126" w14:textId="2E409F8B" w:rsidR="003829C1" w:rsidRDefault="003829C1" w:rsidP="002470BB">
      <w:pPr>
        <w:rPr>
          <w:lang w:val="en-US"/>
        </w:rPr>
      </w:pPr>
      <w:r>
        <w:rPr>
          <w:lang w:val="en-US"/>
        </w:rPr>
        <w:t>Scenario 5:  In this scenario where the scheduled duty cycle for TDD is lower than configured, Option 3 overestimates the activity and triggers fallback to PC3.</w:t>
      </w:r>
    </w:p>
    <w:p w14:paraId="74AEE495" w14:textId="17D07C08" w:rsidR="006375E5" w:rsidRDefault="008A4795" w:rsidP="002470BB">
      <w:pPr>
        <w:rPr>
          <w:lang w:val="en-US"/>
        </w:rPr>
      </w:pPr>
      <w:r>
        <w:rPr>
          <w:lang w:val="en-US"/>
        </w:rPr>
        <w:t>Scenario 6:</w:t>
      </w:r>
      <w:r w:rsidR="003336B2">
        <w:rPr>
          <w:lang w:val="en-US"/>
        </w:rPr>
        <w:t xml:space="preserve"> The FDD maximum transmit power is permanently reduced by 1 dB to 22 dBm allowing for TDD transmission </w:t>
      </w:r>
      <w:r w:rsidR="0016353B">
        <w:rPr>
          <w:lang w:val="en-US"/>
        </w:rPr>
        <w:t>with 40% duty cycle up to 20.1 dBm.  In this scenario, the activity is 50% suggesting that SAR can be met without fallback, but Option2 and Option6 which are based on the TDD configured duty cycle trigger fallback to PC3.</w:t>
      </w:r>
    </w:p>
    <w:p w14:paraId="3433008B" w14:textId="40D57ADA" w:rsidR="0016353B" w:rsidRDefault="0016353B" w:rsidP="002470BB">
      <w:pPr>
        <w:rPr>
          <w:lang w:val="en-US"/>
        </w:rPr>
      </w:pPr>
      <w:r>
        <w:rPr>
          <w:lang w:val="en-US"/>
        </w:rPr>
        <w:t xml:space="preserve">Scenario 7:  The scenario is </w:t>
      </w:r>
      <w:proofErr w:type="gramStart"/>
      <w:r>
        <w:rPr>
          <w:lang w:val="en-US"/>
        </w:rPr>
        <w:t>similar to</w:t>
      </w:r>
      <w:proofErr w:type="gramEnd"/>
      <w:r>
        <w:rPr>
          <w:lang w:val="en-US"/>
        </w:rPr>
        <w:t xml:space="preserve"> that of Scenario 6, but with a slightly different tradeoff between LTE FDD maximum power and NR TDD maximum power.</w:t>
      </w:r>
    </w:p>
    <w:p w14:paraId="1AC4F485" w14:textId="488E80BD" w:rsidR="00DA14F9" w:rsidRDefault="00093167" w:rsidP="002470BB">
      <w:pPr>
        <w:rPr>
          <w:lang w:val="en-US"/>
        </w:rPr>
      </w:pPr>
      <w:r>
        <w:rPr>
          <w:lang w:val="en-US"/>
        </w:rPr>
        <w:t>In each of these example scenarios, there are options that perform we</w:t>
      </w:r>
      <w:r w:rsidR="00B25CA1">
        <w:rPr>
          <w:lang w:val="en-US"/>
        </w:rPr>
        <w:t xml:space="preserve">ll and options that either underestimate or overestimate the activity and the need to reduce output power to meet SAR.  It is difficult to draw a generalized conclusion </w:t>
      </w:r>
      <w:r w:rsidR="00517965">
        <w:rPr>
          <w:lang w:val="en-US"/>
        </w:rPr>
        <w:t xml:space="preserve">from the above </w:t>
      </w:r>
      <w:r w:rsidR="00DA14F9">
        <w:rPr>
          <w:lang w:val="en-US"/>
        </w:rPr>
        <w:t xml:space="preserve">since there are scenarios where each option may perform differently.  In general, however, it is suggested that a solution which incorporates both duty cycle reporting (and therefore network assisted scheduling may be available) and UE-autonomous P-MPR is optimal.  In this case, it is preferable to underestimate the activity so that the UE does not unnecessarily fallback to PC3.  For a UE that </w:t>
      </w:r>
      <w:r w:rsidR="005B2A44">
        <w:rPr>
          <w:lang w:val="en-US"/>
        </w:rPr>
        <w:t>is</w:t>
      </w:r>
      <w:r w:rsidR="00DA14F9">
        <w:rPr>
          <w:lang w:val="en-US"/>
        </w:rPr>
        <w:t xml:space="preserve"> not </w:t>
      </w:r>
      <w:r w:rsidR="005B2A44">
        <w:rPr>
          <w:lang w:val="en-US"/>
        </w:rPr>
        <w:t xml:space="preserve">able to </w:t>
      </w:r>
      <w:r w:rsidR="00DA14F9">
        <w:rPr>
          <w:lang w:val="en-US"/>
        </w:rPr>
        <w:t>support a robust P-MPR mechanism to ensure SAR, then it may be preferable to overestimate the activity to ensure that PC3 fallback is available.</w:t>
      </w:r>
    </w:p>
    <w:p w14:paraId="20E97C29" w14:textId="56F2D26A" w:rsidR="00DA14F9" w:rsidRPr="00DA14F9" w:rsidRDefault="00DA14F9" w:rsidP="002470BB">
      <w:pPr>
        <w:rPr>
          <w:b/>
          <w:lang w:val="en-US"/>
        </w:rPr>
      </w:pPr>
      <w:r w:rsidRPr="00DA14F9">
        <w:rPr>
          <w:b/>
          <w:lang w:val="en-US"/>
        </w:rPr>
        <w:lastRenderedPageBreak/>
        <w:t xml:space="preserve">Observation:  For a UE that includes </w:t>
      </w:r>
      <w:r w:rsidR="00D4094B">
        <w:rPr>
          <w:b/>
          <w:lang w:val="en-US"/>
        </w:rPr>
        <w:t xml:space="preserve">the capability for autonomous </w:t>
      </w:r>
      <w:r w:rsidRPr="00DA14F9">
        <w:rPr>
          <w:b/>
          <w:lang w:val="en-US"/>
        </w:rPr>
        <w:t xml:space="preserve">P-MPR, underestimating the transmit activity may be preferable to minimize unnecessary PC3 fallback.  For a </w:t>
      </w:r>
      <w:r w:rsidR="005B2A44">
        <w:rPr>
          <w:b/>
          <w:lang w:val="en-US"/>
        </w:rPr>
        <w:t xml:space="preserve">less capable </w:t>
      </w:r>
      <w:r w:rsidRPr="00DA14F9">
        <w:rPr>
          <w:b/>
          <w:lang w:val="en-US"/>
        </w:rPr>
        <w:t xml:space="preserve">UE that </w:t>
      </w:r>
      <w:r w:rsidR="005B2A44">
        <w:rPr>
          <w:b/>
          <w:lang w:val="en-US"/>
        </w:rPr>
        <w:t>is not able to</w:t>
      </w:r>
      <w:r w:rsidRPr="00DA14F9">
        <w:rPr>
          <w:b/>
          <w:lang w:val="en-US"/>
        </w:rPr>
        <w:t xml:space="preserve"> include</w:t>
      </w:r>
      <w:r w:rsidR="00D4094B">
        <w:rPr>
          <w:b/>
          <w:lang w:val="en-US"/>
        </w:rPr>
        <w:t xml:space="preserve"> a robust</w:t>
      </w:r>
      <w:r w:rsidRPr="00DA14F9">
        <w:rPr>
          <w:b/>
          <w:lang w:val="en-US"/>
        </w:rPr>
        <w:t xml:space="preserve"> P-MPR, overestimating the transmit activity may be preferable to utilize PC3 fallback in lieu of P-MPR.</w:t>
      </w:r>
    </w:p>
    <w:p w14:paraId="610ACD3B" w14:textId="75FBDB33" w:rsidR="00DA14F9" w:rsidRPr="009F4336" w:rsidRDefault="00DA14F9" w:rsidP="002470BB">
      <w:pPr>
        <w:rPr>
          <w:b/>
          <w:lang w:val="en-US"/>
        </w:rPr>
      </w:pPr>
      <w:r w:rsidRPr="009F4336">
        <w:rPr>
          <w:b/>
          <w:lang w:val="en-US"/>
        </w:rPr>
        <w:t xml:space="preserve">Observation:  </w:t>
      </w:r>
      <w:r w:rsidR="009F4336" w:rsidRPr="009F4336">
        <w:rPr>
          <w:b/>
          <w:lang w:val="en-US"/>
        </w:rPr>
        <w:t>The duty threshold, if reported as capability, can be used to effectively bias the estimate either upwards or downwards.</w:t>
      </w:r>
    </w:p>
    <w:p w14:paraId="2ABBC095" w14:textId="52A9486A" w:rsidR="003832A1" w:rsidRDefault="009F4336" w:rsidP="002470BB">
      <w:pPr>
        <w:rPr>
          <w:lang w:val="en-US"/>
        </w:rPr>
      </w:pPr>
      <w:r>
        <w:rPr>
          <w:lang w:val="en-US"/>
        </w:rPr>
        <w:t>Reporting of the SAR ratio has been suggested in Option 4 and 5, wh</w:t>
      </w:r>
      <w:r w:rsidR="003832A1">
        <w:rPr>
          <w:lang w:val="en-US"/>
        </w:rPr>
        <w:t>ile</w:t>
      </w:r>
      <w:r>
        <w:rPr>
          <w:lang w:val="en-US"/>
        </w:rPr>
        <w:t xml:space="preserve"> the SAR ratio is inherently included in Option 2 and 3.  </w:t>
      </w:r>
      <w:r w:rsidR="003832A1">
        <w:rPr>
          <w:lang w:val="en-US"/>
        </w:rPr>
        <w:t xml:space="preserve">Unfortunately, it is difficult to accurate assess and report the SAR ratio between antennas.  </w:t>
      </w:r>
    </w:p>
    <w:p w14:paraId="10C016AF" w14:textId="033A7D2A" w:rsidR="003832A1" w:rsidRDefault="003832A1" w:rsidP="003832A1">
      <w:pPr>
        <w:ind w:left="720" w:right="991"/>
        <w:jc w:val="both"/>
        <w:rPr>
          <w:rFonts w:eastAsia="SimSun"/>
          <w:lang w:val="en-US" w:eastAsia="zh-CN"/>
        </w:rPr>
      </w:pPr>
      <w:r w:rsidRPr="005B2A44">
        <w:rPr>
          <w:rFonts w:eastAsia="SimSun" w:hint="eastAsia"/>
          <w:sz w:val="18"/>
          <w:lang w:val="en-US" w:eastAsia="zh-CN"/>
        </w:rPr>
        <w:t xml:space="preserve">However, in fact it is very hard to determine the exact value for the weighting factor F since SAR test is very complicated and affected by various factors. Furthermore, since there may be not only one transmission antenna for one band, which may require switching between different antennas or simultaneous transmission in two antennas, how to consider the SAR effects for these cases become more complicated and need to be further studied. In addition, above conclusion is based on the </w:t>
      </w:r>
      <w:proofErr w:type="spellStart"/>
      <w:r w:rsidRPr="005B2A44">
        <w:rPr>
          <w:rFonts w:eastAsia="SimSun" w:hint="eastAsia"/>
          <w:sz w:val="18"/>
          <w:lang w:val="en-US" w:eastAsia="zh-CN"/>
        </w:rPr>
        <w:t>the</w:t>
      </w:r>
      <w:proofErr w:type="spellEnd"/>
      <w:r w:rsidRPr="005B2A44">
        <w:rPr>
          <w:rFonts w:eastAsia="SimSun" w:hint="eastAsia"/>
          <w:sz w:val="18"/>
          <w:lang w:val="en-US" w:eastAsia="zh-CN"/>
        </w:rPr>
        <w:t xml:space="preserve"> human head SAR test mode, if other SAR test mode such as body flat SAR test mode is considered, it could be very different.</w:t>
      </w:r>
      <w:r w:rsidRPr="005B2A44">
        <w:rPr>
          <w:rFonts w:eastAsia="SimSun"/>
          <w:sz w:val="18"/>
          <w:lang w:val="en-US" w:eastAsia="zh-CN"/>
        </w:rPr>
        <w:t xml:space="preserve"> </w:t>
      </w:r>
      <w:r>
        <w:rPr>
          <w:rFonts w:eastAsia="SimSun"/>
          <w:lang w:val="en-US" w:eastAsia="zh-CN"/>
        </w:rPr>
        <w:t>[</w:t>
      </w:r>
      <w:r w:rsidR="005B2A44">
        <w:rPr>
          <w:rFonts w:eastAsia="SimSun"/>
          <w:lang w:val="en-US" w:eastAsia="zh-CN"/>
        </w:rPr>
        <w:t>4</w:t>
      </w:r>
      <w:r>
        <w:rPr>
          <w:rFonts w:eastAsia="SimSun"/>
          <w:lang w:val="en-US" w:eastAsia="zh-CN"/>
        </w:rPr>
        <w:t>]</w:t>
      </w:r>
    </w:p>
    <w:p w14:paraId="434BFA3A" w14:textId="7989F666" w:rsidR="00720547" w:rsidRDefault="00720547" w:rsidP="00720547">
      <w:pPr>
        <w:rPr>
          <w:lang w:val="en-US"/>
        </w:rPr>
      </w:pPr>
      <w:r>
        <w:rPr>
          <w:lang w:val="en-US"/>
        </w:rPr>
        <w:t>Due to the difficulty in assessing the SAR ratio, it is likely that any reported value will have limited value.  For example, it is likely that most UE’s will report a value of 1 indicating that both antenna systems for FDD and TDD contribute equally to SAR.  If there is mismatch, then due to inaccuracy of measurement, then it is also likely that the reported value will be near to 1.  If the reported value is near to 1, then the impact on overall activity factor will be small.  If the actual mismatch between antenna systems is large, then the device is effectively dominated by one of the antenna systems, FDD or TDD, for which a SAR solution must be found for standalone operation for any band that shares the antenna.  In other words, for large mismatch from one antenna system a SAR solution must be found irrespective of FDD-TDD EN-DC.</w:t>
      </w:r>
    </w:p>
    <w:p w14:paraId="3CBEA9CE" w14:textId="37422196" w:rsidR="00720547" w:rsidRPr="00C103DD" w:rsidRDefault="00720547" w:rsidP="00720547">
      <w:pPr>
        <w:rPr>
          <w:b/>
          <w:lang w:val="en-US"/>
        </w:rPr>
      </w:pPr>
      <w:r w:rsidRPr="00C103DD">
        <w:rPr>
          <w:b/>
          <w:lang w:val="en-US"/>
        </w:rPr>
        <w:t>Observation:  Direct reporting of SAR ratio may be of limited practical value.</w:t>
      </w:r>
    </w:p>
    <w:p w14:paraId="56A14409" w14:textId="3DA4E136" w:rsidR="00586599" w:rsidRDefault="006D765E" w:rsidP="00720547">
      <w:pPr>
        <w:rPr>
          <w:lang w:val="en-US"/>
        </w:rPr>
      </w:pPr>
      <w:r>
        <w:rPr>
          <w:lang w:val="en-US"/>
        </w:rPr>
        <w:t xml:space="preserve">Option 6 proposes to </w:t>
      </w:r>
      <w:r w:rsidR="00750434">
        <w:rPr>
          <w:lang w:val="en-US"/>
        </w:rPr>
        <w:t xml:space="preserve">permanently </w:t>
      </w:r>
      <w:r>
        <w:rPr>
          <w:lang w:val="en-US"/>
        </w:rPr>
        <w:t>reduce the FDD maximum Tx power</w:t>
      </w:r>
      <w:r w:rsidR="00750434">
        <w:rPr>
          <w:lang w:val="en-US"/>
        </w:rPr>
        <w:t xml:space="preserve"> [</w:t>
      </w:r>
      <w:r w:rsidR="005B2A44">
        <w:rPr>
          <w:lang w:val="en-US"/>
        </w:rPr>
        <w:t>5</w:t>
      </w:r>
      <w:r w:rsidR="00750434">
        <w:rPr>
          <w:lang w:val="en-US"/>
        </w:rPr>
        <w:t xml:space="preserve">] thereby reserving EN-DC power for the TDD cell group to transmit.  </w:t>
      </w:r>
      <w:r w:rsidR="00155F77">
        <w:rPr>
          <w:lang w:val="en-US"/>
        </w:rPr>
        <w:t>Additionally</w:t>
      </w:r>
      <w:r w:rsidR="00750434">
        <w:rPr>
          <w:lang w:val="en-US"/>
        </w:rPr>
        <w:t>, the transmit power of the TDD cell group can be increased</w:t>
      </w:r>
      <w:r w:rsidR="00155F77">
        <w:rPr>
          <w:lang w:val="en-US"/>
        </w:rPr>
        <w:t xml:space="preserve"> above the power allowed by summing maximum output powers from FDD and TDD cell groups</w:t>
      </w:r>
      <w:r w:rsidR="00750434">
        <w:rPr>
          <w:lang w:val="en-US"/>
        </w:rPr>
        <w:t xml:space="preserve"> due to the uplink duty cycle </w:t>
      </w:r>
      <w:r w:rsidR="00155F77">
        <w:rPr>
          <w:lang w:val="en-US"/>
        </w:rPr>
        <w:t xml:space="preserve">in TDD </w:t>
      </w:r>
      <w:r w:rsidR="00750434">
        <w:rPr>
          <w:lang w:val="en-US"/>
        </w:rPr>
        <w:t xml:space="preserve">being less than 100%.  </w:t>
      </w:r>
    </w:p>
    <w:p w14:paraId="4768D364" w14:textId="2A0908A9" w:rsidR="00586599" w:rsidRDefault="00586599" w:rsidP="00720547">
      <w:pPr>
        <w:rPr>
          <w:lang w:val="en-US"/>
        </w:rPr>
      </w:pPr>
      <w:r>
        <w:rPr>
          <w:lang w:val="en-US"/>
        </w:rPr>
        <w:t>The first aspect of this option is to limit the power available in the FDD cell group by setting P</w:t>
      </w:r>
      <w:r w:rsidRPr="00586599">
        <w:rPr>
          <w:vertAlign w:val="subscript"/>
          <w:lang w:val="en-US"/>
        </w:rPr>
        <w:t>LTE</w:t>
      </w:r>
      <w:r>
        <w:rPr>
          <w:lang w:val="en-US"/>
        </w:rPr>
        <w:t xml:space="preserve"> with a purpose of reserving power for transmission in the TDD cell group.  One disadvantage of reserving power is that the cell coverage in the PCC is reduced due to this reduction in maximum output power.  This reduction is always enforced regardless of any eventual transmission</w:t>
      </w:r>
      <w:r w:rsidR="005B2A44">
        <w:rPr>
          <w:lang w:val="en-US"/>
        </w:rPr>
        <w:t xml:space="preserve"> (or even lack thereof)</w:t>
      </w:r>
      <w:r>
        <w:rPr>
          <w:lang w:val="en-US"/>
        </w:rPr>
        <w:t xml:space="preserve"> in the NR cell group.  In other words, the uplink power is permanently reduced in the E-UTRA cell group when configured for EN-DC even </w:t>
      </w:r>
      <w:proofErr w:type="gramStart"/>
      <w:r>
        <w:rPr>
          <w:lang w:val="en-US"/>
        </w:rPr>
        <w:t>in the event that</w:t>
      </w:r>
      <w:proofErr w:type="gramEnd"/>
      <w:r>
        <w:rPr>
          <w:lang w:val="en-US"/>
        </w:rPr>
        <w:t xml:space="preserve"> there is no uplink transmission in the NR cell group.  Nonetheless, this aspect of limiting power in the E-UTRA cell group is already available in the specification by P</w:t>
      </w:r>
      <w:r w:rsidRPr="00586599">
        <w:rPr>
          <w:vertAlign w:val="subscript"/>
          <w:lang w:val="en-US"/>
        </w:rPr>
        <w:t>LTE</w:t>
      </w:r>
      <w:r>
        <w:rPr>
          <w:lang w:val="en-US"/>
        </w:rPr>
        <w:t xml:space="preserve"> should the network decide to utilize such a strategy.  No change to the specification is required.</w:t>
      </w:r>
    </w:p>
    <w:p w14:paraId="5B261F66" w14:textId="4A94F942" w:rsidR="0094654A" w:rsidRPr="0094654A" w:rsidRDefault="0094654A" w:rsidP="00720547">
      <w:pPr>
        <w:rPr>
          <w:b/>
          <w:lang w:val="en-US"/>
        </w:rPr>
      </w:pPr>
      <w:r w:rsidRPr="0094654A">
        <w:rPr>
          <w:b/>
          <w:lang w:val="en-US"/>
        </w:rPr>
        <w:t xml:space="preserve">Observation:  Reducing FDD transmit power negatively impacts the </w:t>
      </w:r>
      <w:proofErr w:type="spellStart"/>
      <w:r w:rsidRPr="0094654A">
        <w:rPr>
          <w:b/>
          <w:lang w:val="en-US"/>
        </w:rPr>
        <w:t>PCell</w:t>
      </w:r>
      <w:proofErr w:type="spellEnd"/>
      <w:r w:rsidRPr="0094654A">
        <w:rPr>
          <w:b/>
          <w:lang w:val="en-US"/>
        </w:rPr>
        <w:t xml:space="preserve"> coverage.  If desired</w:t>
      </w:r>
      <w:r w:rsidR="00154A62">
        <w:rPr>
          <w:b/>
          <w:lang w:val="en-US"/>
        </w:rPr>
        <w:t xml:space="preserve"> nonetheless</w:t>
      </w:r>
      <w:r w:rsidRPr="0094654A">
        <w:rPr>
          <w:b/>
          <w:lang w:val="en-US"/>
        </w:rPr>
        <w:t>, the reduction of FDD transmit power by configuring P</w:t>
      </w:r>
      <w:r w:rsidRPr="0094654A">
        <w:rPr>
          <w:b/>
          <w:vertAlign w:val="subscript"/>
          <w:lang w:val="en-US"/>
        </w:rPr>
        <w:t>LTE</w:t>
      </w:r>
      <w:r w:rsidRPr="0094654A">
        <w:rPr>
          <w:b/>
          <w:lang w:val="en-US"/>
        </w:rPr>
        <w:t xml:space="preserve"> is already available; no specification changes are required.</w:t>
      </w:r>
    </w:p>
    <w:p w14:paraId="3CD7C011" w14:textId="09285105" w:rsidR="00586599" w:rsidRDefault="00586599" w:rsidP="00720547">
      <w:pPr>
        <w:rPr>
          <w:lang w:val="en-US"/>
        </w:rPr>
      </w:pPr>
      <w:r>
        <w:rPr>
          <w:lang w:val="en-US"/>
        </w:rPr>
        <w:t xml:space="preserve">The second aspect of option 6 is to redefine the output power of the UE to normalize it by its uplink duty cycle when averaged over a period spanning multiple ON/OFF cycles.  The effect is that the instantaneous transmission power (i.e., the transmitted power during any ON cycle) is increased and therefore cell coverage increased, but the average power when averaged over multiple ON/OFF cycles meets the conventional specified power level.  </w:t>
      </w:r>
      <w:r w:rsidR="0094654A">
        <w:rPr>
          <w:lang w:val="en-US"/>
        </w:rPr>
        <w:t>However, redefining output power also implicates such requirements as ACLR, SEM, spurious emissions, EVM, etc.  By similar reasoning, these definitions should also be normalized over multiple ON/OFF cycles since they relate to transmit power.  MPR and A-MPR may also be impacted since these have not been computed for the higher instantaneous transmission powers now available.  However, many of these transmitter requirements such as ACLR, SEM, EVM, and spurious emissions reflect coexistence conditions and regulatory requirements, as does instantaneous output power itself.  Modifying the definition to exploit time averaging may affect the coexistence conditions and may violate regulatory rules.</w:t>
      </w:r>
    </w:p>
    <w:p w14:paraId="356E6AA7" w14:textId="35C331E6" w:rsidR="0094654A" w:rsidRPr="00730A49" w:rsidRDefault="0094654A" w:rsidP="00720547">
      <w:pPr>
        <w:rPr>
          <w:b/>
          <w:lang w:val="en-US"/>
        </w:rPr>
      </w:pPr>
      <w:r w:rsidRPr="00730A49">
        <w:rPr>
          <w:b/>
          <w:lang w:val="en-US"/>
        </w:rPr>
        <w:t>Observation:  Redefining output power to normalize by uplink duty cycle and exploit time averaging may have consequences to other transmitter requirements</w:t>
      </w:r>
      <w:r w:rsidR="00730A49" w:rsidRPr="00730A49">
        <w:rPr>
          <w:b/>
          <w:lang w:val="en-US"/>
        </w:rPr>
        <w:t xml:space="preserve">, coexistence assumptions, and regulatory </w:t>
      </w:r>
      <w:r w:rsidR="00D11583">
        <w:rPr>
          <w:b/>
          <w:lang w:val="en-US"/>
        </w:rPr>
        <w:t>compliance</w:t>
      </w:r>
      <w:r w:rsidR="00730A49" w:rsidRPr="00730A49">
        <w:rPr>
          <w:b/>
          <w:lang w:val="en-US"/>
        </w:rPr>
        <w:t>.</w:t>
      </w:r>
    </w:p>
    <w:p w14:paraId="48C79EEB" w14:textId="2A1FF794" w:rsidR="009F4336" w:rsidRDefault="00D11583" w:rsidP="002470BB">
      <w:pPr>
        <w:rPr>
          <w:lang w:val="en-US"/>
        </w:rPr>
      </w:pPr>
      <w:r>
        <w:rPr>
          <w:lang w:val="en-US"/>
        </w:rPr>
        <w:t xml:space="preserve">Based on the above observations, our preference is for a capability signaling solution that directly reports duty threshold, that does not report SAR ratio, and that does not redefine output power by time averaging over duty cycle.  </w:t>
      </w:r>
      <w:r w:rsidR="00547903">
        <w:rPr>
          <w:lang w:val="en-US"/>
        </w:rPr>
        <w:t xml:space="preserve">Finally, a simpler solution </w:t>
      </w:r>
      <w:r w:rsidR="005B2A44">
        <w:rPr>
          <w:lang w:val="en-US"/>
        </w:rPr>
        <w:t xml:space="preserve">yet with enough flexibility </w:t>
      </w:r>
      <w:r w:rsidR="00547903">
        <w:rPr>
          <w:lang w:val="en-US"/>
        </w:rPr>
        <w:t xml:space="preserve">especially for initial FDD-TDD EN-DC specification is more likely to be successfully implemented in the field.  </w:t>
      </w:r>
      <w:r>
        <w:rPr>
          <w:lang w:val="en-US"/>
        </w:rPr>
        <w:t>Therefore, our suggestion is to adopt Option 1.</w:t>
      </w:r>
    </w:p>
    <w:p w14:paraId="3A2981E2" w14:textId="7C5F2BF2" w:rsidR="00D11583" w:rsidRPr="00D11583" w:rsidRDefault="00D11583" w:rsidP="002470BB">
      <w:pPr>
        <w:rPr>
          <w:b/>
          <w:lang w:val="en-US"/>
        </w:rPr>
      </w:pPr>
      <w:r w:rsidRPr="00D11583">
        <w:rPr>
          <w:b/>
          <w:lang w:val="en-US"/>
        </w:rPr>
        <w:lastRenderedPageBreak/>
        <w:t>Proposal:  Adopt Option 1 for capability signaling.</w:t>
      </w:r>
    </w:p>
    <w:p w14:paraId="33211D76" w14:textId="3E54C488" w:rsidR="001748B7" w:rsidRDefault="001748B7" w:rsidP="001748B7">
      <w:pPr>
        <w:pStyle w:val="Heading1"/>
        <w:tabs>
          <w:tab w:val="clear" w:pos="432"/>
          <w:tab w:val="num" w:pos="522"/>
        </w:tabs>
        <w:ind w:left="522" w:hanging="522"/>
        <w:rPr>
          <w:lang w:val="en-US"/>
        </w:rPr>
      </w:pPr>
      <w:r>
        <w:rPr>
          <w:lang w:val="en-US"/>
        </w:rPr>
        <w:t>Conclusion</w:t>
      </w:r>
    </w:p>
    <w:p w14:paraId="550458FE" w14:textId="42DB9BEC" w:rsidR="003B0D36" w:rsidRPr="003B0D36" w:rsidRDefault="00D11583" w:rsidP="003B0D36">
      <w:pPr>
        <w:rPr>
          <w:lang w:val="en-US"/>
        </w:rPr>
      </w:pPr>
      <w:r>
        <w:rPr>
          <w:lang w:val="en-US"/>
        </w:rPr>
        <w:t>Six options were considered for UE capability signaling to assist in managing SAR for FDD-TDD PC2 EN-DC</w:t>
      </w:r>
      <w:r w:rsidR="00FD699B">
        <w:rPr>
          <w:lang w:val="en-US"/>
        </w:rPr>
        <w:t xml:space="preserve"> according to [</w:t>
      </w:r>
      <w:r w:rsidR="005B2A44">
        <w:rPr>
          <w:lang w:val="en-US"/>
        </w:rPr>
        <w:t>1</w:t>
      </w:r>
      <w:r w:rsidR="00FD699B">
        <w:rPr>
          <w:lang w:val="en-US"/>
        </w:rPr>
        <w:t>]</w:t>
      </w:r>
      <w:r w:rsidR="003F1CE6">
        <w:rPr>
          <w:lang w:val="en-US"/>
        </w:rPr>
        <w:t>.</w:t>
      </w:r>
      <w:r>
        <w:rPr>
          <w:lang w:val="en-US"/>
        </w:rPr>
        <w:t xml:space="preserve">  The capability signaling is intended to support a network-assisted approach to managing SAR as well as to provide a threshold for PC3 fallback, in conjunction with UE autonomous techniques such as P-MPR.  Each option was simplistically modeled and evaluated in </w:t>
      </w:r>
      <w:proofErr w:type="gramStart"/>
      <w:r>
        <w:rPr>
          <w:lang w:val="en-US"/>
        </w:rPr>
        <w:t>a number of</w:t>
      </w:r>
      <w:proofErr w:type="gramEnd"/>
      <w:r>
        <w:rPr>
          <w:lang w:val="en-US"/>
        </w:rPr>
        <w:t xml:space="preserve"> scenarios where the estimated, configured, or assumed parameters may differ from actual values for the scenario.  The activity factor from each option was then computed to indicate whether the option might overestimate or underestimate the activity.  It was observed that underestimation or overestimation might be preferable depending upon the </w:t>
      </w:r>
      <w:r w:rsidR="0051139E">
        <w:rPr>
          <w:lang w:val="en-US"/>
        </w:rPr>
        <w:t xml:space="preserve">ability of the UE to also utilize a robust autonomous P-MPR technique to address SAR, and that reporting the duty threshold directly provides the means to bias the estimation one way or the other.  A proposal to average output power to take advantage of duty cycling was also evaluated, but not recommended </w:t>
      </w:r>
      <w:r w:rsidR="00FD699B">
        <w:rPr>
          <w:lang w:val="en-US"/>
        </w:rPr>
        <w:t>due to potential impact to other Tx requirements, coexistence, and regulatory compliance.  Finally, option 1 is identified as the preferred solution.</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2D5E73D0" w14:textId="32D5EAC2" w:rsidR="003210FF" w:rsidRDefault="003210FF" w:rsidP="001219FC">
      <w:pPr>
        <w:numPr>
          <w:ilvl w:val="0"/>
          <w:numId w:val="2"/>
        </w:numPr>
        <w:tabs>
          <w:tab w:val="left" w:pos="1080"/>
        </w:tabs>
        <w:rPr>
          <w:lang w:val="en-US" w:eastAsia="x-none"/>
        </w:rPr>
      </w:pPr>
      <w:bookmarkStart w:id="1" w:name="_Hlk859252"/>
      <w:r>
        <w:rPr>
          <w:lang w:val="en-US" w:eastAsia="x-none"/>
        </w:rPr>
        <w:t>R4-1910277, “WF on EN-DC HPUE FDD+TDD,” China Unicom, CHTTL, China Telecom</w:t>
      </w:r>
    </w:p>
    <w:p w14:paraId="282CB102" w14:textId="769A9865" w:rsidR="003210FF" w:rsidRDefault="003210FF" w:rsidP="001219FC">
      <w:pPr>
        <w:numPr>
          <w:ilvl w:val="0"/>
          <w:numId w:val="2"/>
        </w:numPr>
        <w:tabs>
          <w:tab w:val="left" w:pos="1080"/>
        </w:tabs>
        <w:rPr>
          <w:lang w:val="en-US" w:eastAsia="x-none"/>
        </w:rPr>
      </w:pPr>
      <w:r>
        <w:rPr>
          <w:lang w:val="en-US" w:eastAsia="x-none"/>
        </w:rPr>
        <w:t>R4-1907488, “WF on NSA FDD-TDD HPUE,” CHTTL, China Unicom, OPPO</w:t>
      </w:r>
    </w:p>
    <w:p w14:paraId="23D54A09" w14:textId="3197316A" w:rsidR="003210FF" w:rsidRDefault="003210FF" w:rsidP="001219FC">
      <w:pPr>
        <w:numPr>
          <w:ilvl w:val="0"/>
          <w:numId w:val="2"/>
        </w:numPr>
        <w:tabs>
          <w:tab w:val="left" w:pos="1080"/>
        </w:tabs>
        <w:rPr>
          <w:lang w:val="en-US" w:eastAsia="x-none"/>
        </w:rPr>
      </w:pPr>
      <w:r>
        <w:rPr>
          <w:lang w:val="en-US" w:eastAsia="x-none"/>
        </w:rPr>
        <w:t>R4-1904619, “SAR mitigation for PC2 FDD-TDD EN-DC in FR1,” Qualcomm Incorporated</w:t>
      </w:r>
    </w:p>
    <w:p w14:paraId="189D286E" w14:textId="1B8DC0DD" w:rsidR="003832A1" w:rsidRDefault="00862384" w:rsidP="001219FC">
      <w:pPr>
        <w:numPr>
          <w:ilvl w:val="0"/>
          <w:numId w:val="2"/>
        </w:numPr>
        <w:tabs>
          <w:tab w:val="left" w:pos="1080"/>
        </w:tabs>
        <w:rPr>
          <w:lang w:val="en-US" w:eastAsia="x-none"/>
        </w:rPr>
      </w:pPr>
      <w:r>
        <w:rPr>
          <w:lang w:val="en-US" w:eastAsia="x-none"/>
        </w:rPr>
        <w:t>R4-190</w:t>
      </w:r>
      <w:r w:rsidR="003832A1">
        <w:rPr>
          <w:lang w:val="en-US" w:eastAsia="x-none"/>
        </w:rPr>
        <w:t>8568</w:t>
      </w:r>
      <w:r>
        <w:rPr>
          <w:lang w:val="en-US" w:eastAsia="x-none"/>
        </w:rPr>
        <w:t>, “</w:t>
      </w:r>
      <w:r w:rsidR="003832A1">
        <w:rPr>
          <w:lang w:val="en-US" w:eastAsia="x-none"/>
        </w:rPr>
        <w:t>Discussion on NSA FDD-TDD high power UE,” ZTE Corporation</w:t>
      </w:r>
    </w:p>
    <w:p w14:paraId="5C822EA1" w14:textId="026B320D" w:rsidR="00750434" w:rsidRDefault="00750434" w:rsidP="001219FC">
      <w:pPr>
        <w:numPr>
          <w:ilvl w:val="0"/>
          <w:numId w:val="2"/>
        </w:numPr>
        <w:tabs>
          <w:tab w:val="left" w:pos="1080"/>
        </w:tabs>
        <w:rPr>
          <w:lang w:val="en-US" w:eastAsia="x-none"/>
        </w:rPr>
      </w:pPr>
      <w:r>
        <w:rPr>
          <w:lang w:val="en-US" w:eastAsia="x-none"/>
        </w:rPr>
        <w:t>R4-1908721, “Increasing EN-DC power for FDD-TDD PC2 and PC3,” Ericsson</w:t>
      </w:r>
      <w:bookmarkEnd w:id="1"/>
    </w:p>
    <w:sectPr w:rsidR="00750434"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06626" w14:textId="77777777" w:rsidR="00EC5730" w:rsidRDefault="00EC5730">
      <w:r>
        <w:separator/>
      </w:r>
    </w:p>
  </w:endnote>
  <w:endnote w:type="continuationSeparator" w:id="0">
    <w:p w14:paraId="682F5FF3" w14:textId="77777777" w:rsidR="00EC5730" w:rsidRDefault="00EC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A6706C" w:rsidRDefault="00A67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A6706C" w:rsidRDefault="00A670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A6706C" w:rsidRDefault="00A670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FD023" w14:textId="77777777" w:rsidR="00EC5730" w:rsidRDefault="00EC5730">
      <w:r>
        <w:separator/>
      </w:r>
    </w:p>
  </w:footnote>
  <w:footnote w:type="continuationSeparator" w:id="0">
    <w:p w14:paraId="1D492B9B" w14:textId="77777777" w:rsidR="00EC5730" w:rsidRDefault="00EC5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10"/>
  </w:num>
  <w:num w:numId="4">
    <w:abstractNumId w:val="11"/>
  </w:num>
  <w:num w:numId="5">
    <w:abstractNumId w:val="7"/>
  </w:num>
  <w:num w:numId="6">
    <w:abstractNumId w:val="2"/>
  </w:num>
  <w:num w:numId="7">
    <w:abstractNumId w:val="0"/>
  </w:num>
  <w:num w:numId="8">
    <w:abstractNumId w:val="9"/>
  </w:num>
  <w:num w:numId="9">
    <w:abstractNumId w:val="3"/>
  </w:num>
  <w:num w:numId="10">
    <w:abstractNumId w:val="6"/>
  </w:num>
  <w:num w:numId="11">
    <w:abstractNumId w:val="12"/>
  </w:num>
  <w:num w:numId="12">
    <w:abstractNumId w:val="1"/>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EB8"/>
    <w:rsid w:val="00176652"/>
    <w:rsid w:val="00176945"/>
    <w:rsid w:val="00177069"/>
    <w:rsid w:val="001771D5"/>
    <w:rsid w:val="00177970"/>
    <w:rsid w:val="00177F69"/>
    <w:rsid w:val="0018021E"/>
    <w:rsid w:val="00180E17"/>
    <w:rsid w:val="00180E49"/>
    <w:rsid w:val="00181289"/>
    <w:rsid w:val="00181B3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1D1"/>
    <w:rsid w:val="001E1C0D"/>
    <w:rsid w:val="001E22AF"/>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9AF"/>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7510"/>
    <w:rsid w:val="002F7C38"/>
    <w:rsid w:val="002F7E3E"/>
    <w:rsid w:val="00300433"/>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0FF"/>
    <w:rsid w:val="0032195A"/>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4B3C"/>
    <w:rsid w:val="003359A3"/>
    <w:rsid w:val="003370EF"/>
    <w:rsid w:val="00337554"/>
    <w:rsid w:val="00337613"/>
    <w:rsid w:val="00337A5E"/>
    <w:rsid w:val="003402F4"/>
    <w:rsid w:val="0034157C"/>
    <w:rsid w:val="00341D2E"/>
    <w:rsid w:val="00341F00"/>
    <w:rsid w:val="003427F4"/>
    <w:rsid w:val="00342D54"/>
    <w:rsid w:val="00343AE0"/>
    <w:rsid w:val="00345CDD"/>
    <w:rsid w:val="00345FDB"/>
    <w:rsid w:val="00345FF9"/>
    <w:rsid w:val="0034613F"/>
    <w:rsid w:val="00346628"/>
    <w:rsid w:val="0034670C"/>
    <w:rsid w:val="00346BAD"/>
    <w:rsid w:val="00347822"/>
    <w:rsid w:val="003478F5"/>
    <w:rsid w:val="0035071D"/>
    <w:rsid w:val="003508AD"/>
    <w:rsid w:val="003512A1"/>
    <w:rsid w:val="00351328"/>
    <w:rsid w:val="003517BE"/>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49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2F8"/>
    <w:rsid w:val="004928E2"/>
    <w:rsid w:val="00492A05"/>
    <w:rsid w:val="00492A0F"/>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0E4D"/>
    <w:rsid w:val="0054188C"/>
    <w:rsid w:val="005427B8"/>
    <w:rsid w:val="00543144"/>
    <w:rsid w:val="00543E5A"/>
    <w:rsid w:val="00544F7A"/>
    <w:rsid w:val="00545421"/>
    <w:rsid w:val="00545B0C"/>
    <w:rsid w:val="00546005"/>
    <w:rsid w:val="0054607C"/>
    <w:rsid w:val="0054738D"/>
    <w:rsid w:val="005474E1"/>
    <w:rsid w:val="00547903"/>
    <w:rsid w:val="00547B0A"/>
    <w:rsid w:val="00547B0B"/>
    <w:rsid w:val="00547B57"/>
    <w:rsid w:val="0055072E"/>
    <w:rsid w:val="00550CA9"/>
    <w:rsid w:val="00551028"/>
    <w:rsid w:val="00551763"/>
    <w:rsid w:val="00551CC8"/>
    <w:rsid w:val="00551FCA"/>
    <w:rsid w:val="00551FDF"/>
    <w:rsid w:val="00552C10"/>
    <w:rsid w:val="00553913"/>
    <w:rsid w:val="0055477D"/>
    <w:rsid w:val="00554B68"/>
    <w:rsid w:val="00554F48"/>
    <w:rsid w:val="00554F7D"/>
    <w:rsid w:val="00555ADB"/>
    <w:rsid w:val="00555BBA"/>
    <w:rsid w:val="00555FB3"/>
    <w:rsid w:val="005567C9"/>
    <w:rsid w:val="005570BF"/>
    <w:rsid w:val="005576F7"/>
    <w:rsid w:val="00560074"/>
    <w:rsid w:val="00560716"/>
    <w:rsid w:val="005607A9"/>
    <w:rsid w:val="0056188B"/>
    <w:rsid w:val="00561E0B"/>
    <w:rsid w:val="00562C3D"/>
    <w:rsid w:val="005632E6"/>
    <w:rsid w:val="00563E46"/>
    <w:rsid w:val="00563ECF"/>
    <w:rsid w:val="00563F76"/>
    <w:rsid w:val="005648D7"/>
    <w:rsid w:val="00565824"/>
    <w:rsid w:val="00565866"/>
    <w:rsid w:val="005673B1"/>
    <w:rsid w:val="0056774B"/>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2A44"/>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2A5"/>
    <w:rsid w:val="006003CC"/>
    <w:rsid w:val="006005C0"/>
    <w:rsid w:val="0060064A"/>
    <w:rsid w:val="00600EAD"/>
    <w:rsid w:val="006013A0"/>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F7E"/>
    <w:rsid w:val="006843AF"/>
    <w:rsid w:val="006845CA"/>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2C1F"/>
    <w:rsid w:val="0076433C"/>
    <w:rsid w:val="007646C3"/>
    <w:rsid w:val="00764ABF"/>
    <w:rsid w:val="00764F6B"/>
    <w:rsid w:val="00765328"/>
    <w:rsid w:val="007663F2"/>
    <w:rsid w:val="007664C6"/>
    <w:rsid w:val="00766A38"/>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8E"/>
    <w:rsid w:val="007933AC"/>
    <w:rsid w:val="007933BE"/>
    <w:rsid w:val="007941DA"/>
    <w:rsid w:val="007942A6"/>
    <w:rsid w:val="007942B9"/>
    <w:rsid w:val="0079485D"/>
    <w:rsid w:val="00794E0C"/>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5CA"/>
    <w:rsid w:val="00847D73"/>
    <w:rsid w:val="008505D7"/>
    <w:rsid w:val="008509C9"/>
    <w:rsid w:val="008523CC"/>
    <w:rsid w:val="00852E67"/>
    <w:rsid w:val="00853B27"/>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964"/>
    <w:rsid w:val="00872994"/>
    <w:rsid w:val="00873523"/>
    <w:rsid w:val="00873803"/>
    <w:rsid w:val="00873D07"/>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6AD"/>
    <w:rsid w:val="009417D0"/>
    <w:rsid w:val="009428CB"/>
    <w:rsid w:val="00943794"/>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61EC"/>
    <w:rsid w:val="00A06648"/>
    <w:rsid w:val="00A0685D"/>
    <w:rsid w:val="00A06930"/>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3934"/>
    <w:rsid w:val="00B6436C"/>
    <w:rsid w:val="00B64F9D"/>
    <w:rsid w:val="00B65590"/>
    <w:rsid w:val="00B6564D"/>
    <w:rsid w:val="00B65AC5"/>
    <w:rsid w:val="00B65BD4"/>
    <w:rsid w:val="00B66188"/>
    <w:rsid w:val="00B66E6D"/>
    <w:rsid w:val="00B66EC0"/>
    <w:rsid w:val="00B6755D"/>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03DD"/>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AC9"/>
    <w:rsid w:val="00CA7DB9"/>
    <w:rsid w:val="00CB0F18"/>
    <w:rsid w:val="00CB1732"/>
    <w:rsid w:val="00CB1ABD"/>
    <w:rsid w:val="00CB1E40"/>
    <w:rsid w:val="00CB2910"/>
    <w:rsid w:val="00CB2AC8"/>
    <w:rsid w:val="00CB31FF"/>
    <w:rsid w:val="00CB32F7"/>
    <w:rsid w:val="00CB3579"/>
    <w:rsid w:val="00CB44D3"/>
    <w:rsid w:val="00CB4FEF"/>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D80"/>
    <w:rsid w:val="00CF16AB"/>
    <w:rsid w:val="00CF18B0"/>
    <w:rsid w:val="00CF1EA4"/>
    <w:rsid w:val="00CF1EBB"/>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86D"/>
    <w:rsid w:val="00D05E2F"/>
    <w:rsid w:val="00D05E72"/>
    <w:rsid w:val="00D05F7C"/>
    <w:rsid w:val="00D0655F"/>
    <w:rsid w:val="00D073B6"/>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400A9"/>
    <w:rsid w:val="00D4094B"/>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592"/>
    <w:rsid w:val="00D93A6E"/>
    <w:rsid w:val="00D9422C"/>
    <w:rsid w:val="00D9497B"/>
    <w:rsid w:val="00D94C42"/>
    <w:rsid w:val="00D95116"/>
    <w:rsid w:val="00D95406"/>
    <w:rsid w:val="00D95770"/>
    <w:rsid w:val="00D97318"/>
    <w:rsid w:val="00D97937"/>
    <w:rsid w:val="00DA0610"/>
    <w:rsid w:val="00DA06EA"/>
    <w:rsid w:val="00DA0EA4"/>
    <w:rsid w:val="00DA0EF4"/>
    <w:rsid w:val="00DA14F9"/>
    <w:rsid w:val="00DA193B"/>
    <w:rsid w:val="00DA1C8A"/>
    <w:rsid w:val="00DA1DEA"/>
    <w:rsid w:val="00DA2CEC"/>
    <w:rsid w:val="00DA3137"/>
    <w:rsid w:val="00DA3528"/>
    <w:rsid w:val="00DA3629"/>
    <w:rsid w:val="00DA3790"/>
    <w:rsid w:val="00DA37BB"/>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6EBD"/>
    <w:rsid w:val="00DD779D"/>
    <w:rsid w:val="00DD7F58"/>
    <w:rsid w:val="00DE064C"/>
    <w:rsid w:val="00DE06AD"/>
    <w:rsid w:val="00DE078C"/>
    <w:rsid w:val="00DE0857"/>
    <w:rsid w:val="00DE13D5"/>
    <w:rsid w:val="00DE1A44"/>
    <w:rsid w:val="00DE25C9"/>
    <w:rsid w:val="00DE2A5B"/>
    <w:rsid w:val="00DE2B97"/>
    <w:rsid w:val="00DE4CEC"/>
    <w:rsid w:val="00DE4D3A"/>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B30"/>
    <w:rsid w:val="00E651A1"/>
    <w:rsid w:val="00E6567F"/>
    <w:rsid w:val="00E66730"/>
    <w:rsid w:val="00E66892"/>
    <w:rsid w:val="00E66C26"/>
    <w:rsid w:val="00E66F5D"/>
    <w:rsid w:val="00E706BA"/>
    <w:rsid w:val="00E70B1B"/>
    <w:rsid w:val="00E70E9E"/>
    <w:rsid w:val="00E70EE9"/>
    <w:rsid w:val="00E71805"/>
    <w:rsid w:val="00E72461"/>
    <w:rsid w:val="00E72C3C"/>
    <w:rsid w:val="00E737E2"/>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730"/>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983"/>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2762"/>
    <w:rsid w:val="00FC31A5"/>
    <w:rsid w:val="00FC502D"/>
    <w:rsid w:val="00FC50C6"/>
    <w:rsid w:val="00FC5AA5"/>
    <w:rsid w:val="00FC6354"/>
    <w:rsid w:val="00FC6995"/>
    <w:rsid w:val="00FD09D0"/>
    <w:rsid w:val="00FD0AAD"/>
    <w:rsid w:val="00FD0D8C"/>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DB4CE-8234-4D62-B26B-D7A6FFDD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2550</Words>
  <Characters>14537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2019-10-04T21:22:00Z</dcterms:created>
  <dcterms:modified xsi:type="dcterms:W3CDTF">2019-10-04T21:22:00Z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