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E6A34" w:rsidRPr="002D2977" w:rsidRDefault="007E6A34" w:rsidP="007E6A34">
      <w:pPr>
        <w:pStyle w:val="a3"/>
        <w:tabs>
          <w:tab w:val="right" w:pos="9630"/>
          <w:tab w:val="right" w:pos="13323"/>
        </w:tabs>
        <w:rPr>
          <w:rFonts w:cs="Arial"/>
          <w:noProof w:val="0"/>
          <w:sz w:val="24"/>
          <w:szCs w:val="24"/>
          <w:lang w:eastAsia="ja-JP"/>
        </w:rPr>
      </w:pPr>
      <w:r w:rsidRPr="002D2977">
        <w:rPr>
          <w:rFonts w:cs="Arial"/>
          <w:noProof w:val="0"/>
          <w:sz w:val="24"/>
          <w:szCs w:val="24"/>
        </w:rPr>
        <w:t>3GPP TSG-RAN WG4 Meeting #92bis</w:t>
      </w:r>
      <w:r w:rsidRPr="002D2977">
        <w:rPr>
          <w:rFonts w:cs="Arial"/>
          <w:noProof w:val="0"/>
          <w:sz w:val="24"/>
          <w:szCs w:val="24"/>
        </w:rPr>
        <w:tab/>
      </w:r>
      <w:r w:rsidR="001C3E47" w:rsidRPr="001C3E47">
        <w:rPr>
          <w:rFonts w:cs="Arial"/>
          <w:noProof w:val="0"/>
          <w:sz w:val="24"/>
          <w:szCs w:val="24"/>
        </w:rPr>
        <w:t>R4-1911928</w:t>
      </w:r>
      <w:bookmarkStart w:id="0" w:name="_GoBack"/>
      <w:bookmarkEnd w:id="0"/>
    </w:p>
    <w:p w:rsidR="007E6A34" w:rsidRPr="00BD05EF" w:rsidRDefault="007E6A34" w:rsidP="007E6A34">
      <w:pPr>
        <w:pStyle w:val="3GPPHeader"/>
        <w:rPr>
          <w:lang w:val="en-US"/>
        </w:rPr>
      </w:pPr>
      <w:bookmarkStart w:id="1" w:name="OLE_LINK3"/>
      <w:bookmarkStart w:id="2" w:name="OLE_LINK4"/>
      <w:r>
        <w:rPr>
          <w:lang w:val="en-US"/>
        </w:rPr>
        <w:t>Chongqing</w:t>
      </w:r>
      <w:r w:rsidRPr="00BD05EF">
        <w:rPr>
          <w:lang w:val="en-US"/>
        </w:rPr>
        <w:t xml:space="preserve">, </w:t>
      </w:r>
      <w:r>
        <w:rPr>
          <w:lang w:val="en-US"/>
        </w:rPr>
        <w:t>China</w:t>
      </w:r>
      <w:r w:rsidRPr="00BD05EF">
        <w:rPr>
          <w:lang w:val="en-US"/>
        </w:rPr>
        <w:t xml:space="preserve">, </w:t>
      </w:r>
      <w:r>
        <w:rPr>
          <w:lang w:val="en-US"/>
        </w:rPr>
        <w:t>October</w:t>
      </w:r>
      <w:r w:rsidRPr="00BD05EF">
        <w:rPr>
          <w:lang w:val="en-US"/>
        </w:rPr>
        <w:t xml:space="preserve"> </w:t>
      </w:r>
      <w:r>
        <w:rPr>
          <w:lang w:val="en-US"/>
        </w:rPr>
        <w:t>14</w:t>
      </w:r>
      <w:r w:rsidRPr="00BD05EF">
        <w:rPr>
          <w:lang w:val="en-US"/>
        </w:rPr>
        <w:t xml:space="preserve"> – </w:t>
      </w:r>
      <w:r>
        <w:rPr>
          <w:lang w:val="en-US"/>
        </w:rPr>
        <w:t>18</w:t>
      </w:r>
      <w:r w:rsidRPr="00BD05EF">
        <w:rPr>
          <w:lang w:val="en-US"/>
        </w:rPr>
        <w:t>, 2019</w:t>
      </w:r>
    </w:p>
    <w:bookmarkEnd w:id="1"/>
    <w:bookmarkEnd w:id="2"/>
    <w:p w:rsidR="007E6A34" w:rsidRPr="002D2977" w:rsidRDefault="007E6A34" w:rsidP="007E6A34">
      <w:pPr>
        <w:pStyle w:val="a3"/>
        <w:rPr>
          <w:rFonts w:eastAsia="宋体"/>
          <w:noProof w:val="0"/>
          <w:sz w:val="24"/>
          <w:szCs w:val="24"/>
          <w:lang w:eastAsia="zh-CN"/>
        </w:rPr>
      </w:pPr>
    </w:p>
    <w:p w:rsidR="007E6A34" w:rsidRPr="002D2977" w:rsidRDefault="007E6A34" w:rsidP="007E6A34">
      <w:pPr>
        <w:pStyle w:val="a3"/>
        <w:rPr>
          <w:noProof w:val="0"/>
        </w:rPr>
      </w:pPr>
    </w:p>
    <w:p w:rsidR="007E6A34" w:rsidRPr="002D2977" w:rsidRDefault="007E6A34" w:rsidP="007E6A34">
      <w:pPr>
        <w:pStyle w:val="a4"/>
        <w:rPr>
          <w:noProof w:val="0"/>
        </w:rPr>
      </w:pPr>
    </w:p>
    <w:p w:rsidR="007E6A34" w:rsidRPr="002D2977" w:rsidRDefault="007E6A34" w:rsidP="007E6A34">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C30157">
        <w:rPr>
          <w:rFonts w:ascii="Arial" w:hAnsi="Arial"/>
          <w:sz w:val="24"/>
          <w:lang w:val="en-US"/>
        </w:rPr>
        <w:t>8.1.4.9</w:t>
      </w:r>
    </w:p>
    <w:p w:rsidR="007E6A34" w:rsidRPr="002D2977" w:rsidRDefault="007E6A34" w:rsidP="007E6A34">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Huawei, HiSilicon</w:t>
      </w:r>
    </w:p>
    <w:p w:rsidR="007E6A34" w:rsidRPr="002D2977" w:rsidRDefault="007E6A34" w:rsidP="007E6A34">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Pr="007E6A34">
        <w:rPr>
          <w:rFonts w:ascii="Arial" w:hAnsi="Arial"/>
          <w:sz w:val="24"/>
          <w:lang w:val="en-US"/>
        </w:rPr>
        <w:t>Discussion on measurement requirements in NR-U</w:t>
      </w:r>
    </w:p>
    <w:p w:rsidR="007E6A34" w:rsidRPr="002D2977" w:rsidRDefault="007E6A34" w:rsidP="007E6A34">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rsidR="007E6A34" w:rsidRPr="002D2977" w:rsidRDefault="007E6A34" w:rsidP="007E6A34">
      <w:pPr>
        <w:pStyle w:val="1"/>
        <w:numPr>
          <w:ilvl w:val="0"/>
          <w:numId w:val="1"/>
        </w:numPr>
        <w:rPr>
          <w:lang w:val="en-US"/>
        </w:rPr>
      </w:pPr>
      <w:r w:rsidRPr="002D2977">
        <w:rPr>
          <w:lang w:val="en-US"/>
        </w:rPr>
        <w:t>Introduction</w:t>
      </w:r>
    </w:p>
    <w:p w:rsidR="007E6A34" w:rsidRDefault="007E6A34" w:rsidP="007E6A34">
      <w:pPr>
        <w:rPr>
          <w:rFonts w:eastAsiaTheme="minorEastAsia"/>
          <w:lang w:val="en-US" w:eastAsia="zh-CN"/>
        </w:rPr>
      </w:pPr>
      <w:r w:rsidRPr="002D2977">
        <w:rPr>
          <w:rFonts w:eastAsiaTheme="minorEastAsia"/>
          <w:lang w:val="en-US" w:eastAsia="zh-CN"/>
        </w:rPr>
        <w:t>In last meeting RAN4 92, the RRM requirements and impact of NR-U are discussed, and the potential agreements and the remaining open issues</w:t>
      </w:r>
      <w:r w:rsidR="003F6D09">
        <w:rPr>
          <w:rFonts w:eastAsiaTheme="minorEastAsia"/>
          <w:lang w:val="en-US" w:eastAsia="zh-CN"/>
        </w:rPr>
        <w:t xml:space="preserve"> </w:t>
      </w:r>
      <w:r w:rsidRPr="002D2977">
        <w:rPr>
          <w:rFonts w:eastAsiaTheme="minorEastAsia"/>
          <w:lang w:val="en-US" w:eastAsia="zh-CN"/>
        </w:rPr>
        <w:t>are summarized in the WF [1]</w:t>
      </w:r>
      <w:r>
        <w:rPr>
          <w:rFonts w:eastAsiaTheme="minorEastAsia" w:hint="eastAsia"/>
          <w:lang w:val="en-US" w:eastAsia="zh-CN"/>
        </w:rPr>
        <w:t>.</w:t>
      </w:r>
    </w:p>
    <w:p w:rsidR="007E6A34" w:rsidRPr="002D2977" w:rsidRDefault="007E6A34" w:rsidP="007E6A34">
      <w:pPr>
        <w:rPr>
          <w:rFonts w:eastAsiaTheme="minorEastAsia"/>
          <w:lang w:val="en-US" w:eastAsia="zh-CN"/>
        </w:rPr>
      </w:pPr>
      <w:r w:rsidRPr="002D2977">
        <w:rPr>
          <w:rFonts w:eastAsiaTheme="minorEastAsia"/>
          <w:lang w:val="en-US" w:eastAsia="zh-CN"/>
        </w:rPr>
        <w:t xml:space="preserve">In this paper, we discuss the </w:t>
      </w:r>
      <w:r>
        <w:rPr>
          <w:rFonts w:eastAsiaTheme="minorEastAsia"/>
          <w:lang w:val="en-US" w:eastAsia="zh-CN"/>
        </w:rPr>
        <w:t xml:space="preserve">measurement requirements </w:t>
      </w:r>
      <w:r w:rsidRPr="002D2977">
        <w:rPr>
          <w:rFonts w:eastAsiaTheme="minorEastAsia"/>
          <w:lang w:val="en-US" w:eastAsia="zh-CN"/>
        </w:rPr>
        <w:t>in NR-U based on the discussion in th</w:t>
      </w:r>
      <w:r w:rsidR="0083355C">
        <w:rPr>
          <w:rFonts w:eastAsiaTheme="minorEastAsia"/>
          <w:lang w:val="en-US" w:eastAsia="zh-CN"/>
        </w:rPr>
        <w:t>e last meeting and the progress from other working groups.</w:t>
      </w:r>
    </w:p>
    <w:p w:rsidR="007E6A34" w:rsidRDefault="007E6A34" w:rsidP="007E6A34">
      <w:pPr>
        <w:pStyle w:val="1"/>
        <w:numPr>
          <w:ilvl w:val="0"/>
          <w:numId w:val="1"/>
        </w:numPr>
        <w:rPr>
          <w:lang w:val="en-US"/>
        </w:rPr>
      </w:pPr>
      <w:r w:rsidRPr="002D2977">
        <w:rPr>
          <w:lang w:val="en-US"/>
        </w:rPr>
        <w:t>Discussion</w:t>
      </w:r>
    </w:p>
    <w:p w:rsidR="008F24CF" w:rsidRPr="0056032E" w:rsidRDefault="008F24CF" w:rsidP="008F24CF">
      <w:pPr>
        <w:pStyle w:val="2"/>
        <w:rPr>
          <w:rFonts w:ascii="Times New Roman" w:hAnsi="Times New Roman" w:cs="Times New Roman"/>
          <w:lang w:val="en-US" w:eastAsia="zh-CN"/>
        </w:rPr>
      </w:pPr>
      <w:r w:rsidRPr="0056032E">
        <w:rPr>
          <w:rFonts w:ascii="Times New Roman" w:hAnsi="Times New Roman" w:cs="Times New Roman"/>
          <w:lang w:val="en-US" w:eastAsia="zh-CN"/>
        </w:rPr>
        <w:t>Intra/inter-frequency measurement</w:t>
      </w:r>
    </w:p>
    <w:p w:rsidR="007E6A34" w:rsidRDefault="008F24CF" w:rsidP="007E6A34">
      <w:pPr>
        <w:jc w:val="both"/>
      </w:pPr>
      <w:r>
        <w:rPr>
          <w:rFonts w:eastAsiaTheme="minorEastAsia" w:hint="eastAsia"/>
          <w:lang w:val="en-US" w:eastAsia="zh-CN"/>
        </w:rPr>
        <w:t>I</w:t>
      </w:r>
      <w:r>
        <w:rPr>
          <w:rFonts w:eastAsiaTheme="minorEastAsia"/>
          <w:lang w:val="en-US" w:eastAsia="zh-CN"/>
        </w:rPr>
        <w:t>n the existing requirements</w:t>
      </w:r>
      <w:r w:rsidR="0056032E">
        <w:rPr>
          <w:rFonts w:eastAsiaTheme="minorEastAsia"/>
          <w:lang w:val="en-US" w:eastAsia="zh-CN"/>
        </w:rPr>
        <w:t xml:space="preserve"> [2]</w:t>
      </w:r>
      <w:r>
        <w:rPr>
          <w:rFonts w:eastAsiaTheme="minorEastAsia"/>
          <w:lang w:val="en-US" w:eastAsia="zh-CN"/>
        </w:rPr>
        <w:t xml:space="preserve">, the UE shall conduct intra-frequency and inter-frequency measurements as required in terms of </w:t>
      </w:r>
      <w:r w:rsidRPr="005153C2">
        <w:t>T</w:t>
      </w:r>
      <w:r w:rsidRPr="005153C2">
        <w:rPr>
          <w:vertAlign w:val="subscript"/>
        </w:rPr>
        <w:t>PSS/SSS_sync_</w:t>
      </w:r>
      <w:r>
        <w:rPr>
          <w:vertAlign w:val="subscript"/>
        </w:rPr>
        <w:t>intra/</w:t>
      </w:r>
      <w:r w:rsidRPr="005153C2">
        <w:rPr>
          <w:vertAlign w:val="subscript"/>
        </w:rPr>
        <w:t>inter</w:t>
      </w:r>
      <w:r>
        <w:rPr>
          <w:vertAlign w:val="subscript"/>
        </w:rPr>
        <w:t xml:space="preserve">, </w:t>
      </w:r>
      <w:r w:rsidRPr="005153C2">
        <w:t>T</w:t>
      </w:r>
      <w:r w:rsidRPr="005153C2">
        <w:rPr>
          <w:vertAlign w:val="subscript"/>
        </w:rPr>
        <w:t xml:space="preserve"> SSB_measurement_period_</w:t>
      </w:r>
      <w:r>
        <w:rPr>
          <w:vertAlign w:val="subscript"/>
        </w:rPr>
        <w:t>intra/</w:t>
      </w:r>
      <w:r w:rsidRPr="005153C2">
        <w:rPr>
          <w:vertAlign w:val="subscript"/>
        </w:rPr>
        <w:t>inter</w:t>
      </w:r>
      <w:r>
        <w:rPr>
          <w:vertAlign w:val="subscript"/>
        </w:rPr>
        <w:t xml:space="preserve"> </w:t>
      </w:r>
      <w:r w:rsidRPr="008F24CF">
        <w:t xml:space="preserve">and </w:t>
      </w:r>
      <w:r w:rsidRPr="005153C2">
        <w:t>T</w:t>
      </w:r>
      <w:r w:rsidRPr="005153C2">
        <w:rPr>
          <w:vertAlign w:val="subscript"/>
        </w:rPr>
        <w:t>SSB_time_index_</w:t>
      </w:r>
      <w:r>
        <w:rPr>
          <w:vertAlign w:val="subscript"/>
        </w:rPr>
        <w:t>intra/</w:t>
      </w:r>
      <w:r w:rsidRPr="005153C2">
        <w:rPr>
          <w:vertAlign w:val="subscript"/>
        </w:rPr>
        <w:t>inter</w:t>
      </w:r>
      <w:r>
        <w:rPr>
          <w:vertAlign w:val="subscript"/>
        </w:rPr>
        <w:t xml:space="preserve"> </w:t>
      </w:r>
      <w:r w:rsidR="0056032E">
        <w:t xml:space="preserve">. </w:t>
      </w:r>
      <w:r w:rsidR="0056032E" w:rsidRPr="005153C2">
        <w:t>T</w:t>
      </w:r>
      <w:r w:rsidR="0056032E" w:rsidRPr="005153C2">
        <w:rPr>
          <w:vertAlign w:val="subscript"/>
        </w:rPr>
        <w:t>SSB_time_index_</w:t>
      </w:r>
      <w:r w:rsidR="0056032E">
        <w:rPr>
          <w:vertAlign w:val="subscript"/>
        </w:rPr>
        <w:t>intra/</w:t>
      </w:r>
      <w:r w:rsidR="0056032E" w:rsidRPr="005153C2">
        <w:rPr>
          <w:vertAlign w:val="subscript"/>
        </w:rPr>
        <w:t>inter</w:t>
      </w:r>
      <w:r w:rsidR="0056032E">
        <w:rPr>
          <w:vertAlign w:val="subscript"/>
        </w:rPr>
        <w:t xml:space="preserve"> </w:t>
      </w:r>
      <w:r w:rsidR="0056032E">
        <w:t>is included when the UE is indicated to report SSB based RRM measurement result with the associated SSB index.</w:t>
      </w:r>
      <w:r w:rsidR="0056032E">
        <w:rPr>
          <w:rFonts w:eastAsiaTheme="minorEastAsia" w:hint="eastAsia"/>
          <w:lang w:eastAsia="zh-CN"/>
        </w:rPr>
        <w:t xml:space="preserve"> </w:t>
      </w:r>
      <w:r w:rsidR="0056032E">
        <w:t xml:space="preserve">As discussed in the last RAN4 meeting, the corresponding requirements shall be extended to capture the unavailable DRS occasions due to LBT in NR-U scenarios. </w:t>
      </w:r>
    </w:p>
    <w:p w:rsidR="0056032E" w:rsidRDefault="0056032E" w:rsidP="007E6A34">
      <w:pPr>
        <w:jc w:val="both"/>
      </w:pPr>
      <w:r>
        <w:t>The existing SSB index identification procedure is described in TS 38.213 [3] as follows:</w:t>
      </w:r>
    </w:p>
    <w:p w:rsidR="0056032E" w:rsidRDefault="0056032E" w:rsidP="0056032E">
      <w:pPr>
        <w:jc w:val="both"/>
      </w:pPr>
      <w:r>
        <w:t>“</w:t>
      </w:r>
    </w:p>
    <w:p w:rsidR="0056032E" w:rsidRPr="0056032E" w:rsidRDefault="0056032E" w:rsidP="0056032E">
      <w:pPr>
        <w:jc w:val="both"/>
      </w:pPr>
      <w:r w:rsidRPr="00B916EC">
        <w:t xml:space="preserve">The candidate SS/PBCH blocks in a half frame are indexed in an ascending order in time from 0 to </w:t>
      </w:r>
      <w:r w:rsidRPr="00865C2E">
        <w:rPr>
          <w:iCs/>
          <w:position w:val="-10"/>
        </w:rPr>
        <w:object w:dxaOrig="68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pt;height:16.3pt" o:ole="">
            <v:imagedata r:id="rId7" o:title=""/>
          </v:shape>
          <o:OLEObject Type="Embed" ProgID="Equation.3" ShapeID="_x0000_i1025" DrawAspect="Content" ObjectID="_1631731434" r:id="rId8"/>
        </w:object>
      </w:r>
      <w:r w:rsidRPr="00B916EC">
        <w:t>. A UE determine</w:t>
      </w:r>
      <w:r>
        <w:t>s</w:t>
      </w:r>
      <w:r w:rsidRPr="00B916EC">
        <w:t xml:space="preserve"> the 2 LSB bits, for </w:t>
      </w:r>
      <w:r w:rsidRPr="00865C2E">
        <w:rPr>
          <w:iCs/>
          <w:position w:val="-10"/>
        </w:rPr>
        <w:object w:dxaOrig="720" w:dyaOrig="300">
          <v:shape id="_x0000_i1026" type="#_x0000_t75" style="width:36.3pt;height:15.05pt" o:ole="">
            <v:imagedata r:id="rId9" o:title=""/>
          </v:shape>
          <o:OLEObject Type="Embed" ProgID="Equation.3" ShapeID="_x0000_i1026" DrawAspect="Content" ObjectID="_1631731435" r:id="rId10"/>
        </w:object>
      </w:r>
      <w:r w:rsidRPr="00B916EC">
        <w:rPr>
          <w:iCs/>
        </w:rPr>
        <w:t xml:space="preserve">, </w:t>
      </w:r>
      <w:r w:rsidRPr="00B916EC">
        <w:t xml:space="preserve">or the 3 LSB bits, for </w:t>
      </w:r>
      <w:r w:rsidRPr="00865C2E">
        <w:rPr>
          <w:iCs/>
          <w:position w:val="-10"/>
        </w:rPr>
        <w:object w:dxaOrig="720" w:dyaOrig="300">
          <v:shape id="_x0000_i1027" type="#_x0000_t75" style="width:36.3pt;height:14.4pt" o:ole="">
            <v:imagedata r:id="rId11" o:title=""/>
          </v:shape>
          <o:OLEObject Type="Embed" ProgID="Equation.3" ShapeID="_x0000_i1027" DrawAspect="Content" ObjectID="_1631731436" r:id="rId12"/>
        </w:object>
      </w:r>
      <w:r w:rsidRPr="00B916EC">
        <w:rPr>
          <w:iCs/>
        </w:rPr>
        <w:t xml:space="preserve">, </w:t>
      </w:r>
      <w:r w:rsidRPr="00B916EC">
        <w:t xml:space="preserve">of a </w:t>
      </w:r>
      <w:r w:rsidRPr="00B916EC">
        <w:rPr>
          <w:lang w:eastAsia="ja-JP"/>
        </w:rPr>
        <w:t>SS/PBCH block index per half frame from a one-to-one mapping with an index of the DM</w:t>
      </w:r>
      <w:r>
        <w:rPr>
          <w:lang w:eastAsia="ja-JP"/>
        </w:rPr>
        <w:t>-</w:t>
      </w:r>
      <w:r w:rsidRPr="00B916EC">
        <w:rPr>
          <w:lang w:eastAsia="ja-JP"/>
        </w:rPr>
        <w:t xml:space="preserve">RS sequence transmitted in the PBCH. </w:t>
      </w:r>
      <w:r w:rsidRPr="00B916EC">
        <w:t xml:space="preserve">For </w:t>
      </w:r>
      <w:r w:rsidRPr="00865C2E">
        <w:rPr>
          <w:iCs/>
          <w:position w:val="-10"/>
        </w:rPr>
        <w:object w:dxaOrig="820" w:dyaOrig="300">
          <v:shape id="_x0000_i1028" type="#_x0000_t75" style="width:43.85pt;height:15.05pt" o:ole="">
            <v:imagedata r:id="rId13" o:title=""/>
          </v:shape>
          <o:OLEObject Type="Embed" ProgID="Equation.3" ShapeID="_x0000_i1028" DrawAspect="Content" ObjectID="_1631731437" r:id="rId14"/>
        </w:object>
      </w:r>
      <w:r w:rsidRPr="00B916EC">
        <w:t>, the UE determine</w:t>
      </w:r>
      <w:r>
        <w:t>s</w:t>
      </w:r>
      <w:r w:rsidRPr="00B916EC">
        <w:t xml:space="preserve"> the 3 MSB bits of the </w:t>
      </w:r>
      <w:r w:rsidRPr="00B916EC">
        <w:rPr>
          <w:lang w:eastAsia="ja-JP"/>
        </w:rPr>
        <w:t xml:space="preserve">SS/PBCH block index per half frame </w:t>
      </w:r>
      <w:r>
        <w:t>from</w:t>
      </w:r>
      <w:r w:rsidRPr="00AF1A70">
        <w:t xml:space="preserve"> </w:t>
      </w:r>
      <w:r>
        <w:t xml:space="preserve">PBCH payload bits </w:t>
      </w:r>
      <w:r w:rsidRPr="00276674">
        <w:rPr>
          <w:position w:val="-12"/>
        </w:rPr>
        <w:object w:dxaOrig="1260" w:dyaOrig="320">
          <v:shape id="_x0000_i1029" type="#_x0000_t75" style="width:64.5pt;height:18.15pt" o:ole="">
            <v:imagedata r:id="rId15" o:title=""/>
          </v:shape>
          <o:OLEObject Type="Embed" ProgID="Equation.3" ShapeID="_x0000_i1029" DrawAspect="Content" ObjectID="_1631731438" r:id="rId16"/>
        </w:object>
      </w:r>
      <w:r>
        <w:t xml:space="preserve"> as describ</w:t>
      </w:r>
      <w:r w:rsidRPr="00AF1A70">
        <w:t xml:space="preserve">ed in </w:t>
      </w:r>
      <w:r>
        <w:t>TS 38.212 [4]</w:t>
      </w:r>
      <w:r w:rsidRPr="00B916EC">
        <w:rPr>
          <w:lang w:eastAsia="ja-JP"/>
        </w:rPr>
        <w:t>.</w:t>
      </w:r>
    </w:p>
    <w:p w:rsidR="0056032E" w:rsidRDefault="0056032E" w:rsidP="007E6A34">
      <w:pPr>
        <w:jc w:val="both"/>
      </w:pPr>
      <w:r>
        <w:t>”</w:t>
      </w:r>
    </w:p>
    <w:p w:rsidR="004351AA" w:rsidRDefault="004351AA" w:rsidP="007E6A34">
      <w:pPr>
        <w:jc w:val="both"/>
        <w:rPr>
          <w:rFonts w:eastAsiaTheme="minorEastAsia"/>
          <w:lang w:eastAsia="zh-CN"/>
        </w:rPr>
      </w:pPr>
      <w:r>
        <w:rPr>
          <w:rFonts w:eastAsiaTheme="minorEastAsia" w:hint="eastAsia"/>
          <w:lang w:eastAsia="zh-CN"/>
        </w:rPr>
        <w:t>A</w:t>
      </w:r>
      <w:r>
        <w:rPr>
          <w:rFonts w:eastAsiaTheme="minorEastAsia"/>
          <w:lang w:eastAsia="zh-CN"/>
        </w:rPr>
        <w:t>s defined in TS 38.133 [2], the time requirements for SSB index identification for FR2 is extended considering the delay of PBCH payload acquiring. When it comes to NR-U scenarios, the SSB index identification procedure is defined as follows from RAN 1 agreements:</w:t>
      </w:r>
    </w:p>
    <w:tbl>
      <w:tblPr>
        <w:tblStyle w:val="a6"/>
        <w:tblW w:w="0" w:type="auto"/>
        <w:tblLook w:val="04A0" w:firstRow="1" w:lastRow="0" w:firstColumn="1" w:lastColumn="0" w:noHBand="0" w:noVBand="1"/>
      </w:tblPr>
      <w:tblGrid>
        <w:gridCol w:w="9562"/>
      </w:tblGrid>
      <w:tr w:rsidR="004351AA" w:rsidTr="004351AA">
        <w:tc>
          <w:tcPr>
            <w:tcW w:w="9562" w:type="dxa"/>
          </w:tcPr>
          <w:p w:rsidR="004351AA" w:rsidRPr="004351AA" w:rsidRDefault="004351AA" w:rsidP="004351AA">
            <w:pPr>
              <w:rPr>
                <w:rFonts w:eastAsiaTheme="minorEastAsia"/>
                <w:b/>
                <w:lang w:eastAsia="zh-CN"/>
              </w:rPr>
            </w:pPr>
            <w:r w:rsidRPr="004351AA">
              <w:rPr>
                <w:rFonts w:eastAsiaTheme="minorEastAsia" w:hint="eastAsia"/>
                <w:b/>
                <w:lang w:eastAsia="zh-CN"/>
              </w:rPr>
              <w:t>R</w:t>
            </w:r>
            <w:r w:rsidRPr="004351AA">
              <w:rPr>
                <w:rFonts w:eastAsiaTheme="minorEastAsia"/>
                <w:b/>
                <w:lang w:eastAsia="zh-CN"/>
              </w:rPr>
              <w:t>AN1 #97</w:t>
            </w:r>
          </w:p>
          <w:p w:rsidR="004351AA" w:rsidRDefault="004351AA" w:rsidP="004351AA">
            <w:r w:rsidRPr="00E758C5">
              <w:rPr>
                <w:highlight w:val="green"/>
              </w:rPr>
              <w:t>Agreement:</w:t>
            </w:r>
          </w:p>
          <w:p w:rsidR="004351AA" w:rsidRPr="002E53BC" w:rsidRDefault="004351AA" w:rsidP="004351AA">
            <w:pPr>
              <w:rPr>
                <w:b/>
                <w:u w:val="single"/>
                <w:lang w:val="en-US"/>
              </w:rPr>
            </w:pPr>
            <w:r w:rsidRPr="002E53BC">
              <w:rPr>
                <w:lang w:val="en-US"/>
              </w:rPr>
              <w:t xml:space="preserve">The mechanism to determine serving cell timing is </w:t>
            </w:r>
            <w:r>
              <w:rPr>
                <w:lang w:val="en-US"/>
              </w:rPr>
              <w:t>as follows</w:t>
            </w:r>
            <w:r w:rsidRPr="002E53BC">
              <w:rPr>
                <w:lang w:val="en-US"/>
              </w:rPr>
              <w:t xml:space="preserve">: </w:t>
            </w:r>
          </w:p>
          <w:p w:rsidR="004351AA" w:rsidRPr="002E53BC" w:rsidRDefault="004351AA" w:rsidP="004351AA">
            <w:pPr>
              <w:numPr>
                <w:ilvl w:val="0"/>
                <w:numId w:val="2"/>
              </w:numPr>
              <w:spacing w:after="0"/>
              <w:rPr>
                <w:b/>
                <w:u w:val="single"/>
                <w:lang w:val="en-US"/>
              </w:rPr>
            </w:pPr>
            <w:r w:rsidRPr="002E53BC">
              <w:rPr>
                <w:lang w:val="en-US"/>
              </w:rPr>
              <w:t xml:space="preserve">The SS/PBCH block position index within a DRS transmission window is detected using a combination of PBCH DMRS sequence index and 1 bit/2 bits for 15 kHz SCS/30 kHz SCS of the 3 available bits in the PBCH payload (not in MIB) originally used in Rel-15 FR2 for MSB SSB index </w:t>
            </w:r>
          </w:p>
          <w:p w:rsidR="004351AA" w:rsidRPr="002E53BC" w:rsidRDefault="004351AA" w:rsidP="004351AA">
            <w:pPr>
              <w:numPr>
                <w:ilvl w:val="0"/>
                <w:numId w:val="2"/>
              </w:numPr>
              <w:spacing w:after="0"/>
              <w:rPr>
                <w:b/>
                <w:u w:val="single"/>
                <w:lang w:val="en-US"/>
              </w:rPr>
            </w:pPr>
            <w:r w:rsidRPr="002E53BC">
              <w:rPr>
                <w:lang w:val="en-US"/>
              </w:rPr>
              <w:lastRenderedPageBreak/>
              <w:t xml:space="preserve">10-bits SFN and half-frame indicator are indicated as in Rel-15 </w:t>
            </w:r>
          </w:p>
          <w:p w:rsidR="004351AA" w:rsidRPr="002E53BC" w:rsidRDefault="004351AA" w:rsidP="004351AA">
            <w:pPr>
              <w:numPr>
                <w:ilvl w:val="0"/>
                <w:numId w:val="2"/>
              </w:numPr>
              <w:spacing w:after="0"/>
              <w:rPr>
                <w:lang w:val="en-US"/>
              </w:rPr>
            </w:pPr>
            <w:r w:rsidRPr="002E53BC">
              <w:rPr>
                <w:lang w:val="en-US"/>
              </w:rPr>
              <w:t>PBCH payload size is not increased compared to Rel-15</w:t>
            </w:r>
          </w:p>
          <w:p w:rsidR="004351AA" w:rsidRPr="002E53BC" w:rsidRDefault="004351AA" w:rsidP="004351AA">
            <w:pPr>
              <w:numPr>
                <w:ilvl w:val="1"/>
                <w:numId w:val="2"/>
              </w:numPr>
              <w:spacing w:after="0"/>
              <w:rPr>
                <w:b/>
                <w:u w:val="single"/>
                <w:lang w:val="en-US"/>
              </w:rPr>
            </w:pPr>
            <w:r w:rsidRPr="002E53BC">
              <w:rPr>
                <w:lang w:val="en-US"/>
              </w:rPr>
              <w:t>FFS: Whether reuse of other available bits in PBCH payload is also required for timing determination</w:t>
            </w:r>
          </w:p>
          <w:p w:rsidR="004351AA" w:rsidRPr="00FE78D0" w:rsidRDefault="004351AA" w:rsidP="004351AA">
            <w:pPr>
              <w:numPr>
                <w:ilvl w:val="0"/>
                <w:numId w:val="2"/>
              </w:numPr>
              <w:spacing w:after="0"/>
              <w:rPr>
                <w:b/>
                <w:u w:val="single"/>
                <w:lang w:val="en-US"/>
              </w:rPr>
            </w:pPr>
            <w:r>
              <w:rPr>
                <w:lang w:val="en-US"/>
              </w:rPr>
              <w:t xml:space="preserve">If the UE is required to perform PBCH decoding of neighbor cell(s) (e.g., in asynchronous deployments), an explicit time allowance for </w:t>
            </w:r>
            <w:r w:rsidRPr="002E53BC">
              <w:rPr>
                <w:lang w:val="en-US"/>
              </w:rPr>
              <w:t>acquisition of SSB index</w:t>
            </w:r>
            <w:r>
              <w:rPr>
                <w:lang w:val="en-US"/>
              </w:rPr>
              <w:t xml:space="preserve"> is provided to the UE</w:t>
            </w:r>
          </w:p>
          <w:p w:rsidR="004351AA" w:rsidRDefault="004351AA" w:rsidP="004351AA">
            <w:pPr>
              <w:rPr>
                <w:highlight w:val="green"/>
              </w:rPr>
            </w:pPr>
          </w:p>
        </w:tc>
      </w:tr>
    </w:tbl>
    <w:p w:rsidR="004351AA" w:rsidRDefault="004351AA" w:rsidP="004351AA">
      <w:pPr>
        <w:rPr>
          <w:highlight w:val="green"/>
        </w:rPr>
      </w:pPr>
    </w:p>
    <w:p w:rsidR="004351AA" w:rsidRDefault="004351AA" w:rsidP="004351AA">
      <w:pPr>
        <w:rPr>
          <w:rFonts w:eastAsiaTheme="minorEastAsia"/>
          <w:lang w:eastAsia="zh-CN"/>
        </w:rPr>
      </w:pPr>
      <w:r w:rsidRPr="004351AA">
        <w:rPr>
          <w:rFonts w:eastAsiaTheme="minorEastAsia" w:hint="eastAsia"/>
          <w:lang w:eastAsia="zh-CN"/>
        </w:rPr>
        <w:t>B</w:t>
      </w:r>
      <w:r w:rsidRPr="004351AA">
        <w:rPr>
          <w:rFonts w:eastAsiaTheme="minorEastAsia"/>
          <w:lang w:eastAsia="zh-CN"/>
        </w:rPr>
        <w:t>as</w:t>
      </w:r>
      <w:r>
        <w:rPr>
          <w:rFonts w:eastAsiaTheme="minorEastAsia"/>
          <w:lang w:eastAsia="zh-CN"/>
        </w:rPr>
        <w:t xml:space="preserve">ed on the discussions and the agreements from other work groups, it can be observed that the PBCH payload shall always be acquired </w:t>
      </w:r>
      <w:r w:rsidR="008228E3">
        <w:rPr>
          <w:rFonts w:eastAsiaTheme="minorEastAsia"/>
          <w:lang w:eastAsia="zh-CN"/>
        </w:rPr>
        <w:t>when identifying the SSB index in NR-U scenarios.</w:t>
      </w:r>
    </w:p>
    <w:p w:rsidR="00667EF6" w:rsidRPr="00C9124F" w:rsidRDefault="008228E3" w:rsidP="00667EF6">
      <w:pPr>
        <w:rPr>
          <w:rFonts w:eastAsiaTheme="minorEastAsia"/>
          <w:b/>
          <w:lang w:eastAsia="zh-CN"/>
        </w:rPr>
      </w:pPr>
      <w:r w:rsidRPr="00C9124F">
        <w:rPr>
          <w:rFonts w:eastAsiaTheme="minorEastAsia"/>
          <w:b/>
          <w:lang w:eastAsia="zh-CN"/>
        </w:rPr>
        <w:t xml:space="preserve">Observation 1: </w:t>
      </w:r>
      <w:r w:rsidR="00667EF6" w:rsidRPr="00C9124F">
        <w:rPr>
          <w:rFonts w:eastAsiaTheme="minorEastAsia"/>
          <w:b/>
          <w:lang w:eastAsia="zh-CN"/>
        </w:rPr>
        <w:t>In NR-U scenarios, the PBCH payload shall always be acquired when identifying the SSB index.</w:t>
      </w:r>
    </w:p>
    <w:p w:rsidR="00667EF6" w:rsidRDefault="00667EF6" w:rsidP="00667EF6">
      <w:pPr>
        <w:rPr>
          <w:rFonts w:eastAsiaTheme="minorEastAsia"/>
          <w:lang w:eastAsia="zh-CN"/>
        </w:rPr>
      </w:pPr>
      <w:r>
        <w:rPr>
          <w:rFonts w:eastAsiaTheme="minorEastAsia"/>
          <w:lang w:eastAsia="zh-CN"/>
        </w:rPr>
        <w:t>The requirements for SSB index acquisition in FR1 in TS 38.133 [2] only considered the time for PBCH DMRS sequence reading. Therefore, in NR-U scenarios, the time requirements for SSB index identification</w:t>
      </w:r>
      <w:r w:rsidR="000F58DA">
        <w:rPr>
          <w:rFonts w:eastAsiaTheme="minorEastAsia"/>
          <w:lang w:eastAsia="zh-CN"/>
        </w:rPr>
        <w:t xml:space="preserve"> in FR1</w:t>
      </w:r>
      <w:r>
        <w:rPr>
          <w:rFonts w:eastAsiaTheme="minorEastAsia"/>
          <w:lang w:eastAsia="zh-CN"/>
        </w:rPr>
        <w:t xml:space="preserve"> should be extended to capture the </w:t>
      </w:r>
      <w:r w:rsidR="000F58DA">
        <w:rPr>
          <w:rFonts w:eastAsiaTheme="minorEastAsia"/>
          <w:lang w:eastAsia="zh-CN"/>
        </w:rPr>
        <w:t>change of SSB index identification procedure.</w:t>
      </w:r>
    </w:p>
    <w:p w:rsidR="000F58DA" w:rsidRPr="000C3791" w:rsidRDefault="000F58DA" w:rsidP="00667EF6">
      <w:pPr>
        <w:rPr>
          <w:rFonts w:eastAsiaTheme="minorEastAsia"/>
          <w:b/>
          <w:lang w:eastAsia="zh-CN"/>
        </w:rPr>
      </w:pPr>
      <w:r w:rsidRPr="000C3791">
        <w:rPr>
          <w:rFonts w:eastAsiaTheme="minorEastAsia"/>
          <w:b/>
          <w:lang w:eastAsia="zh-CN"/>
        </w:rPr>
        <w:t>Proposal 1: In NR-U scenarios, the time requirements for SSB index identification in FR1 should be extended to capture the change of SSB index identification procedure.</w:t>
      </w:r>
    </w:p>
    <w:p w:rsidR="000C3791" w:rsidRDefault="00BB5A88" w:rsidP="00667EF6">
      <w:pPr>
        <w:rPr>
          <w:rFonts w:eastAsiaTheme="minorEastAsia"/>
          <w:lang w:eastAsia="zh-CN"/>
        </w:rPr>
      </w:pPr>
      <w:r>
        <w:rPr>
          <w:rFonts w:eastAsiaTheme="minorEastAsia" w:hint="eastAsia"/>
          <w:lang w:eastAsia="zh-CN"/>
        </w:rPr>
        <w:t>D</w:t>
      </w:r>
      <w:r>
        <w:rPr>
          <w:rFonts w:eastAsiaTheme="minorEastAsia"/>
          <w:lang w:eastAsia="zh-CN"/>
        </w:rPr>
        <w:t xml:space="preserve">ue to the LBT mechanism, SSB samples within the measurement windows may be dropped due to LBT failure. As agreed in the last RAN4 meeting, the measurement period need to be extended to capture the impact of LBT mechanism. From our views, there are some remaining issues should be furthered discussed. </w:t>
      </w:r>
      <w:r w:rsidR="000C3791">
        <w:rPr>
          <w:rFonts w:eastAsiaTheme="minorEastAsia" w:hint="eastAsia"/>
          <w:lang w:eastAsia="zh-CN"/>
        </w:rPr>
        <w:t>T</w:t>
      </w:r>
      <w:r w:rsidR="000C3791">
        <w:rPr>
          <w:rFonts w:eastAsiaTheme="minorEastAsia"/>
          <w:lang w:eastAsia="zh-CN"/>
        </w:rPr>
        <w:t>he measurement time should be extended to capture more valid SSB samples to provide accurate measurement results. Within the extended measurement time, the invalid SSB samples shall not be taken in to account; otherwise, the measurement results will be greatly distorted.</w:t>
      </w:r>
      <w:r w:rsidR="00E53021">
        <w:rPr>
          <w:rFonts w:eastAsiaTheme="minorEastAsia"/>
          <w:lang w:eastAsia="zh-CN"/>
        </w:rPr>
        <w:t xml:space="preserve"> Therefore, the SSB sample existence identification shall be conducted based on certain criteria, and the identified invalid sample should not be used in measurement results filtering.</w:t>
      </w:r>
    </w:p>
    <w:p w:rsidR="00E53021" w:rsidRPr="001C73B7" w:rsidRDefault="00E53021" w:rsidP="00667EF6">
      <w:pPr>
        <w:rPr>
          <w:rFonts w:eastAsiaTheme="minorEastAsia"/>
          <w:b/>
          <w:lang w:eastAsia="zh-CN"/>
        </w:rPr>
      </w:pPr>
      <w:r w:rsidRPr="001C73B7">
        <w:rPr>
          <w:rFonts w:eastAsiaTheme="minorEastAsia"/>
          <w:b/>
          <w:lang w:eastAsia="zh-CN"/>
        </w:rPr>
        <w:t>Observation 2: Within the extended measurement time, the SSB sample existence identification shall be conducted based on certain criteria, and the identified invalid sample should not be used in measurement results filtering.</w:t>
      </w:r>
    </w:p>
    <w:p w:rsidR="00E53021" w:rsidRDefault="00E53021" w:rsidP="00667EF6">
      <w:pPr>
        <w:rPr>
          <w:rFonts w:eastAsiaTheme="minorEastAsia"/>
          <w:lang w:eastAsia="zh-CN"/>
        </w:rPr>
      </w:pPr>
      <w:r>
        <w:rPr>
          <w:rFonts w:eastAsiaTheme="minorEastAsia" w:hint="eastAsia"/>
          <w:lang w:eastAsia="zh-CN"/>
        </w:rPr>
        <w:t>A</w:t>
      </w:r>
      <w:r>
        <w:rPr>
          <w:rFonts w:eastAsiaTheme="minorEastAsia"/>
          <w:lang w:eastAsia="zh-CN"/>
        </w:rPr>
        <w:t xml:space="preserve">s </w:t>
      </w:r>
      <w:r w:rsidR="00F80790">
        <w:rPr>
          <w:rFonts w:eastAsiaTheme="minorEastAsia"/>
          <w:lang w:eastAsia="zh-CN"/>
        </w:rPr>
        <w:t>mentioned in the WF [1], the US behaviour when the maximum value (</w:t>
      </w:r>
      <w:r w:rsidR="00F80790" w:rsidRPr="00F80790">
        <w:rPr>
          <w:rFonts w:eastAsiaTheme="minorEastAsia"/>
          <w:lang w:eastAsia="zh-CN"/>
        </w:rPr>
        <w:t>e.g., for L</w:t>
      </w:r>
      <w:r w:rsidR="00F80790" w:rsidRPr="00F80790">
        <w:rPr>
          <w:rFonts w:eastAsiaTheme="minorEastAsia"/>
          <w:vertAlign w:val="subscript"/>
          <w:lang w:eastAsia="zh-CN"/>
        </w:rPr>
        <w:t>PSS/SSS</w:t>
      </w:r>
      <w:r w:rsidR="00F80790" w:rsidRPr="00F80790">
        <w:rPr>
          <w:rFonts w:eastAsiaTheme="minorEastAsia"/>
          <w:lang w:eastAsia="zh-CN"/>
        </w:rPr>
        <w:t xml:space="preserve"> or L</w:t>
      </w:r>
      <w:r w:rsidR="00F80790" w:rsidRPr="00F80790">
        <w:rPr>
          <w:rFonts w:eastAsiaTheme="minorEastAsia"/>
          <w:vertAlign w:val="subscript"/>
          <w:lang w:eastAsia="zh-CN"/>
        </w:rPr>
        <w:t>meas</w:t>
      </w:r>
      <w:r w:rsidR="00F80790">
        <w:rPr>
          <w:rFonts w:eastAsiaTheme="minorEastAsia"/>
          <w:lang w:eastAsia="zh-CN"/>
        </w:rPr>
        <w:t>) should be further clarified. In our views, based on observation 2, when the number of the identified invalid samples exceed the maximum value, the potential options of UE behaviour are as follows:</w:t>
      </w:r>
    </w:p>
    <w:p w:rsidR="00F80790" w:rsidRDefault="00F80790" w:rsidP="00667EF6">
      <w:pPr>
        <w:rPr>
          <w:rFonts w:eastAsiaTheme="minorEastAsia"/>
          <w:lang w:eastAsia="zh-CN"/>
        </w:rPr>
      </w:pPr>
      <w:r>
        <w:rPr>
          <w:rFonts w:eastAsiaTheme="minorEastAsia"/>
          <w:lang w:eastAsia="zh-CN"/>
        </w:rPr>
        <w:t xml:space="preserve">Option 1: When the invalid SSB samples exceed the maximum value, there is no requirements for the UE under the </w:t>
      </w:r>
      <w:r w:rsidRPr="00F80790">
        <w:rPr>
          <w:rFonts w:eastAsiaTheme="minorEastAsia"/>
          <w:lang w:eastAsia="zh-CN"/>
        </w:rPr>
        <w:t>circumstance</w:t>
      </w:r>
      <w:r>
        <w:rPr>
          <w:rFonts w:eastAsiaTheme="minorEastAsia"/>
          <w:lang w:eastAsia="zh-CN"/>
        </w:rPr>
        <w:t>.</w:t>
      </w:r>
    </w:p>
    <w:p w:rsidR="00611791" w:rsidRDefault="00611791" w:rsidP="00667EF6">
      <w:pPr>
        <w:rPr>
          <w:rFonts w:eastAsiaTheme="minorEastAsia"/>
          <w:lang w:eastAsia="zh-CN"/>
        </w:rPr>
      </w:pPr>
      <w:r>
        <w:rPr>
          <w:rFonts w:eastAsiaTheme="minorEastAsia"/>
          <w:lang w:eastAsia="zh-CN"/>
        </w:rPr>
        <w:t>Option 2: When the invalid SSB samples exceed the maximum value, and “invalid” indicator is reported.</w:t>
      </w:r>
    </w:p>
    <w:p w:rsidR="00611791" w:rsidRPr="00611791" w:rsidRDefault="00611791" w:rsidP="00611791">
      <w:pPr>
        <w:pStyle w:val="a7"/>
        <w:numPr>
          <w:ilvl w:val="0"/>
          <w:numId w:val="4"/>
        </w:numPr>
        <w:ind w:firstLineChars="0"/>
        <w:rPr>
          <w:rFonts w:eastAsiaTheme="minorEastAsia"/>
          <w:lang w:eastAsia="zh-CN"/>
        </w:rPr>
      </w:pPr>
      <w:r w:rsidRPr="00611791">
        <w:rPr>
          <w:rFonts w:eastAsiaTheme="minorEastAsia"/>
          <w:lang w:eastAsia="zh-CN"/>
        </w:rPr>
        <w:t>The mechanism to report the “invalid ” indicator is FFS</w:t>
      </w:r>
    </w:p>
    <w:p w:rsidR="00611791" w:rsidRPr="00611791" w:rsidRDefault="00611791" w:rsidP="00611791">
      <w:pPr>
        <w:rPr>
          <w:rFonts w:eastAsiaTheme="minorEastAsia"/>
          <w:b/>
          <w:lang w:eastAsia="zh-CN"/>
        </w:rPr>
      </w:pPr>
      <w:r w:rsidRPr="00611791">
        <w:rPr>
          <w:rFonts w:eastAsiaTheme="minorEastAsia" w:hint="eastAsia"/>
          <w:b/>
          <w:lang w:eastAsia="zh-CN"/>
        </w:rPr>
        <w:t>P</w:t>
      </w:r>
      <w:r w:rsidRPr="00611791">
        <w:rPr>
          <w:rFonts w:eastAsiaTheme="minorEastAsia"/>
          <w:b/>
          <w:lang w:eastAsia="zh-CN"/>
        </w:rPr>
        <w:t>roposal 2: When the number of the identified invalid samples exceed the maximum value, the potential options of UE behaviour are as follows:</w:t>
      </w:r>
    </w:p>
    <w:p w:rsidR="00611791" w:rsidRPr="00611791" w:rsidRDefault="00611791" w:rsidP="00611791">
      <w:pPr>
        <w:rPr>
          <w:rFonts w:eastAsiaTheme="minorEastAsia"/>
          <w:b/>
          <w:lang w:eastAsia="zh-CN"/>
        </w:rPr>
      </w:pPr>
      <w:r w:rsidRPr="00611791">
        <w:rPr>
          <w:rFonts w:eastAsiaTheme="minorEastAsia"/>
          <w:b/>
          <w:lang w:eastAsia="zh-CN"/>
        </w:rPr>
        <w:t>Option 1: When the invalid SSB samples exceed the maximum value, there is no requirements for the UE under the circumstance.</w:t>
      </w:r>
    </w:p>
    <w:p w:rsidR="00611791" w:rsidRPr="00611791" w:rsidRDefault="00611791" w:rsidP="00611791">
      <w:pPr>
        <w:rPr>
          <w:rFonts w:eastAsiaTheme="minorEastAsia"/>
          <w:b/>
          <w:lang w:eastAsia="zh-CN"/>
        </w:rPr>
      </w:pPr>
      <w:r w:rsidRPr="00611791">
        <w:rPr>
          <w:rFonts w:eastAsiaTheme="minorEastAsia"/>
          <w:b/>
          <w:lang w:eastAsia="zh-CN"/>
        </w:rPr>
        <w:t>Option 2: When the invalid SSB samples exceed the maximum value, and “invalid” indicator is reported.</w:t>
      </w:r>
    </w:p>
    <w:p w:rsidR="00611791" w:rsidRPr="00611791" w:rsidRDefault="00611791" w:rsidP="00611791">
      <w:pPr>
        <w:pStyle w:val="a7"/>
        <w:numPr>
          <w:ilvl w:val="0"/>
          <w:numId w:val="4"/>
        </w:numPr>
        <w:ind w:firstLineChars="0"/>
        <w:rPr>
          <w:rFonts w:eastAsiaTheme="minorEastAsia"/>
          <w:b/>
          <w:lang w:eastAsia="zh-CN"/>
        </w:rPr>
      </w:pPr>
      <w:r w:rsidRPr="00611791">
        <w:rPr>
          <w:rFonts w:eastAsiaTheme="minorEastAsia"/>
          <w:b/>
          <w:lang w:eastAsia="zh-CN"/>
        </w:rPr>
        <w:t>The mechanism to report the “invalid ” indicator is FFS</w:t>
      </w:r>
    </w:p>
    <w:p w:rsidR="008228E3" w:rsidRPr="00611791" w:rsidRDefault="008228E3" w:rsidP="004351AA">
      <w:pPr>
        <w:rPr>
          <w:rFonts w:eastAsiaTheme="minorEastAsia"/>
          <w:lang w:eastAsia="zh-CN"/>
        </w:rPr>
      </w:pPr>
    </w:p>
    <w:p w:rsidR="007E6A34" w:rsidRDefault="008F24CF" w:rsidP="008F24CF">
      <w:pPr>
        <w:pStyle w:val="2"/>
        <w:rPr>
          <w:rFonts w:ascii="Times New Roman" w:hAnsi="Times New Roman" w:cs="Times New Roman"/>
          <w:lang w:val="en-US" w:eastAsia="zh-CN"/>
        </w:rPr>
      </w:pPr>
      <w:r w:rsidRPr="0056032E">
        <w:rPr>
          <w:rFonts w:ascii="Times New Roman" w:hAnsi="Times New Roman" w:cs="Times New Roman"/>
          <w:lang w:val="en-US" w:eastAsia="zh-CN"/>
        </w:rPr>
        <w:t xml:space="preserve">Inter-RAT measurement </w:t>
      </w:r>
    </w:p>
    <w:p w:rsidR="00753E35" w:rsidRDefault="00753E35" w:rsidP="00611791">
      <w:pPr>
        <w:rPr>
          <w:rFonts w:eastAsiaTheme="minorEastAsia"/>
          <w:lang w:val="en-US" w:eastAsia="zh-CN"/>
        </w:rPr>
      </w:pPr>
      <w:r>
        <w:rPr>
          <w:rFonts w:eastAsiaTheme="minorEastAsia"/>
          <w:lang w:val="en-US" w:eastAsia="zh-CN"/>
        </w:rPr>
        <w:t xml:space="preserve">As mentioned in the WF in the last meeting, </w:t>
      </w:r>
      <w:r w:rsidRPr="00753E35">
        <w:rPr>
          <w:rFonts w:eastAsiaTheme="minorEastAsia"/>
          <w:lang w:val="en-US" w:eastAsia="zh-CN"/>
        </w:rPr>
        <w:t>inter-RAT measurement requirements can be based on inter-frequency NR-U measurement requirements</w:t>
      </w:r>
      <w:r>
        <w:rPr>
          <w:rFonts w:eastAsiaTheme="minorEastAsia"/>
          <w:lang w:val="en-US" w:eastAsia="zh-CN"/>
        </w:rPr>
        <w:t>, and if the RAT being measured is in licensed band, the existing requirement shall apply. The potential scenarios for inter-RAT measurements include not only scenario B before PSCell addition but also measurements before inter-RAT handover to NR-U and other inter-RAT measurement configured by NW.</w:t>
      </w:r>
    </w:p>
    <w:p w:rsidR="00753E35" w:rsidRPr="00753E35" w:rsidRDefault="00753E35" w:rsidP="00753E35">
      <w:pPr>
        <w:rPr>
          <w:rFonts w:eastAsiaTheme="minorEastAsia"/>
          <w:b/>
          <w:lang w:val="en-US" w:eastAsia="zh-CN"/>
        </w:rPr>
      </w:pPr>
      <w:r w:rsidRPr="00753E35">
        <w:rPr>
          <w:rFonts w:eastAsiaTheme="minorEastAsia"/>
          <w:b/>
          <w:lang w:val="en-US" w:eastAsia="zh-CN"/>
        </w:rPr>
        <w:lastRenderedPageBreak/>
        <w:t>Observation 3: The potential scenarios for inter-RAT measurements include not only scenario B before PSCell addition but also measurements before inter-RAT handover to NR-U and other inter-RAT measurement configured by NW.</w:t>
      </w:r>
    </w:p>
    <w:p w:rsidR="00611791" w:rsidRPr="00753E35" w:rsidRDefault="00611791" w:rsidP="00611791">
      <w:pPr>
        <w:rPr>
          <w:rFonts w:eastAsiaTheme="minorEastAsia"/>
          <w:lang w:val="en-US" w:eastAsia="zh-CN"/>
        </w:rPr>
      </w:pPr>
    </w:p>
    <w:p w:rsidR="007E6A34" w:rsidRDefault="007E6A34" w:rsidP="007E6A34">
      <w:pPr>
        <w:pStyle w:val="1"/>
        <w:numPr>
          <w:ilvl w:val="0"/>
          <w:numId w:val="1"/>
        </w:numPr>
        <w:rPr>
          <w:lang w:val="en-US"/>
        </w:rPr>
      </w:pPr>
      <w:r w:rsidRPr="002D2977">
        <w:rPr>
          <w:lang w:val="en-US"/>
        </w:rPr>
        <w:t>Conclusions</w:t>
      </w:r>
    </w:p>
    <w:p w:rsidR="00753E35" w:rsidRPr="00753E35" w:rsidRDefault="00753E35" w:rsidP="00753E35">
      <w:pPr>
        <w:rPr>
          <w:rFonts w:eastAsiaTheme="minorEastAsia"/>
          <w:b/>
          <w:lang w:eastAsia="zh-CN"/>
        </w:rPr>
      </w:pPr>
      <w:r w:rsidRPr="00753E35">
        <w:rPr>
          <w:rFonts w:eastAsiaTheme="minorEastAsia"/>
          <w:b/>
          <w:lang w:eastAsia="zh-CN"/>
        </w:rPr>
        <w:t>Observation 1: In NR-U scenarios, the PBCH payload shall always be acquired when identifying the SSB index.</w:t>
      </w:r>
    </w:p>
    <w:p w:rsidR="00753E35" w:rsidRPr="000C3791" w:rsidRDefault="00753E35" w:rsidP="00753E35">
      <w:pPr>
        <w:rPr>
          <w:rFonts w:eastAsiaTheme="minorEastAsia"/>
          <w:b/>
          <w:lang w:eastAsia="zh-CN"/>
        </w:rPr>
      </w:pPr>
      <w:r w:rsidRPr="000C3791">
        <w:rPr>
          <w:rFonts w:eastAsiaTheme="minorEastAsia"/>
          <w:b/>
          <w:lang w:eastAsia="zh-CN"/>
        </w:rPr>
        <w:t>Proposal 1: In NR-U scenarios, the time requirements for SSB index identification in FR1 should be extended to capture the change of SSB index identification procedure.</w:t>
      </w:r>
    </w:p>
    <w:p w:rsidR="00753E35" w:rsidRPr="00611791" w:rsidRDefault="00753E35" w:rsidP="00753E35">
      <w:pPr>
        <w:rPr>
          <w:rFonts w:eastAsiaTheme="minorEastAsia"/>
          <w:b/>
          <w:lang w:eastAsia="zh-CN"/>
        </w:rPr>
      </w:pPr>
      <w:r w:rsidRPr="00611791">
        <w:rPr>
          <w:rFonts w:eastAsiaTheme="minorEastAsia" w:hint="eastAsia"/>
          <w:b/>
          <w:lang w:eastAsia="zh-CN"/>
        </w:rPr>
        <w:t>P</w:t>
      </w:r>
      <w:r w:rsidRPr="00611791">
        <w:rPr>
          <w:rFonts w:eastAsiaTheme="minorEastAsia"/>
          <w:b/>
          <w:lang w:eastAsia="zh-CN"/>
        </w:rPr>
        <w:t>roposal 2: When the number of the identified invalid samples exceed the maximum value, the potential options of UE behaviour are as follows:</w:t>
      </w:r>
    </w:p>
    <w:p w:rsidR="00753E35" w:rsidRPr="00611791" w:rsidRDefault="00753E35" w:rsidP="00753E35">
      <w:pPr>
        <w:rPr>
          <w:rFonts w:eastAsiaTheme="minorEastAsia"/>
          <w:b/>
          <w:lang w:eastAsia="zh-CN"/>
        </w:rPr>
      </w:pPr>
      <w:r w:rsidRPr="00611791">
        <w:rPr>
          <w:rFonts w:eastAsiaTheme="minorEastAsia"/>
          <w:b/>
          <w:lang w:eastAsia="zh-CN"/>
        </w:rPr>
        <w:t>Option 1: When the invalid SSB samples exceed the maximum value, there is no requirements for the UE under the circumstance.</w:t>
      </w:r>
    </w:p>
    <w:p w:rsidR="00753E35" w:rsidRPr="00611791" w:rsidRDefault="00753E35" w:rsidP="00753E35">
      <w:pPr>
        <w:rPr>
          <w:rFonts w:eastAsiaTheme="minorEastAsia"/>
          <w:b/>
          <w:lang w:eastAsia="zh-CN"/>
        </w:rPr>
      </w:pPr>
      <w:r w:rsidRPr="00611791">
        <w:rPr>
          <w:rFonts w:eastAsiaTheme="minorEastAsia"/>
          <w:b/>
          <w:lang w:eastAsia="zh-CN"/>
        </w:rPr>
        <w:t>Option 2: When the invalid SSB samples exceed the maximum value, and “invalid” indicator is reported.</w:t>
      </w:r>
    </w:p>
    <w:p w:rsidR="00753E35" w:rsidRPr="00611791" w:rsidRDefault="00753E35" w:rsidP="00753E35">
      <w:pPr>
        <w:pStyle w:val="a7"/>
        <w:numPr>
          <w:ilvl w:val="0"/>
          <w:numId w:val="4"/>
        </w:numPr>
        <w:ind w:firstLineChars="0"/>
        <w:rPr>
          <w:rFonts w:eastAsiaTheme="minorEastAsia"/>
          <w:b/>
          <w:lang w:eastAsia="zh-CN"/>
        </w:rPr>
      </w:pPr>
      <w:r w:rsidRPr="00611791">
        <w:rPr>
          <w:rFonts w:eastAsiaTheme="minorEastAsia"/>
          <w:b/>
          <w:lang w:eastAsia="zh-CN"/>
        </w:rPr>
        <w:t>The mechanism to report the “invalid ” indicator is FFS</w:t>
      </w:r>
    </w:p>
    <w:p w:rsidR="00753E35" w:rsidRPr="00753E35" w:rsidRDefault="00753E35" w:rsidP="00753E35">
      <w:pPr>
        <w:rPr>
          <w:rFonts w:eastAsiaTheme="minorEastAsia"/>
          <w:b/>
          <w:lang w:val="en-US" w:eastAsia="zh-CN"/>
        </w:rPr>
      </w:pPr>
      <w:r w:rsidRPr="00753E35">
        <w:rPr>
          <w:rFonts w:eastAsiaTheme="minorEastAsia"/>
          <w:b/>
          <w:lang w:val="en-US" w:eastAsia="zh-CN"/>
        </w:rPr>
        <w:t>Observation 3: The potential scenarios for inter-RAT measurements include not only scenario B before PSCell addition but also measurements before inter-RAT handover to NR-U and other inter-RAT measurement configured by NW.</w:t>
      </w:r>
    </w:p>
    <w:p w:rsidR="007E6A34" w:rsidRPr="00753E35" w:rsidRDefault="007E6A34" w:rsidP="007E6A34">
      <w:pPr>
        <w:rPr>
          <w:b/>
          <w:bCs/>
        </w:rPr>
      </w:pPr>
    </w:p>
    <w:p w:rsidR="007E6A34" w:rsidRPr="002D2977" w:rsidRDefault="007E6A34" w:rsidP="007E6A34">
      <w:pPr>
        <w:pStyle w:val="1"/>
        <w:tabs>
          <w:tab w:val="clear" w:pos="432"/>
        </w:tabs>
        <w:ind w:left="0" w:firstLine="0"/>
        <w:rPr>
          <w:lang w:val="en-US"/>
        </w:rPr>
      </w:pPr>
      <w:r w:rsidRPr="002D2977">
        <w:rPr>
          <w:lang w:val="en-US"/>
        </w:rPr>
        <w:t>References</w:t>
      </w:r>
    </w:p>
    <w:p w:rsidR="007E6A34" w:rsidRPr="002D2977" w:rsidRDefault="007E6A34" w:rsidP="007E6A34">
      <w:pPr>
        <w:rPr>
          <w:lang w:val="en-US"/>
        </w:rPr>
      </w:pPr>
      <w:r w:rsidRPr="002D2977">
        <w:rPr>
          <w:lang w:val="en-US"/>
        </w:rPr>
        <w:t>[1] R4-1910551 “WF on RRM Requirements for NR-U”</w:t>
      </w:r>
    </w:p>
    <w:p w:rsidR="007E6A34" w:rsidRDefault="007E6A34" w:rsidP="007E6A34">
      <w:pPr>
        <w:rPr>
          <w:lang w:val="en-US"/>
        </w:rPr>
      </w:pPr>
      <w:r>
        <w:rPr>
          <w:lang w:val="en-US"/>
        </w:rPr>
        <w:t>[2] TS 38.133</w:t>
      </w:r>
    </w:p>
    <w:p w:rsidR="0056032E" w:rsidRDefault="0056032E" w:rsidP="007E6A34">
      <w:pPr>
        <w:rPr>
          <w:lang w:val="en-US"/>
        </w:rPr>
      </w:pPr>
      <w:r>
        <w:rPr>
          <w:lang w:val="en-US"/>
        </w:rPr>
        <w:t>[3] TS 38.213</w:t>
      </w:r>
    </w:p>
    <w:p w:rsidR="0056032E" w:rsidRPr="002D2977" w:rsidRDefault="0056032E" w:rsidP="007E6A34">
      <w:pPr>
        <w:rPr>
          <w:lang w:val="en-US"/>
        </w:rPr>
      </w:pPr>
      <w:r>
        <w:rPr>
          <w:lang w:val="en-US"/>
        </w:rPr>
        <w:t>[4] TS 38.212</w:t>
      </w:r>
    </w:p>
    <w:p w:rsidR="007E6A34" w:rsidRDefault="007E6A34" w:rsidP="007E6A34"/>
    <w:p w:rsidR="007D0DF7" w:rsidRDefault="007D0DF7"/>
    <w:sectPr w:rsidR="007D0DF7" w:rsidSect="00667EF6">
      <w:footerReference w:type="even" r:id="rId17"/>
      <w:footerReference w:type="default" r:id="rId18"/>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51A53" w:rsidRDefault="00A51A53">
      <w:pPr>
        <w:spacing w:after="0"/>
      </w:pPr>
      <w:r>
        <w:separator/>
      </w:r>
    </w:p>
  </w:endnote>
  <w:endnote w:type="continuationSeparator" w:id="0">
    <w:p w:rsidR="00A51A53" w:rsidRDefault="00A51A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3021" w:rsidRDefault="00E53021">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8</w:t>
    </w:r>
    <w:r>
      <w:rPr>
        <w:rStyle w:val="a5"/>
      </w:rPr>
      <w:fldChar w:fldCharType="end"/>
    </w:r>
  </w:p>
  <w:p w:rsidR="00E53021" w:rsidRDefault="00E53021">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3021" w:rsidRDefault="00E53021">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1C3E47">
      <w:rPr>
        <w:rStyle w:val="a5"/>
      </w:rPr>
      <w:t>1</w:t>
    </w:r>
    <w:r>
      <w:rPr>
        <w:rStyle w:val="a5"/>
      </w:rPr>
      <w:fldChar w:fldCharType="end"/>
    </w:r>
  </w:p>
  <w:p w:rsidR="00E53021" w:rsidRDefault="00E53021">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51A53" w:rsidRDefault="00A51A53">
      <w:pPr>
        <w:spacing w:after="0"/>
      </w:pPr>
      <w:r>
        <w:separator/>
      </w:r>
    </w:p>
  </w:footnote>
  <w:footnote w:type="continuationSeparator" w:id="0">
    <w:p w:rsidR="00A51A53" w:rsidRDefault="00A51A53">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BDA080B"/>
    <w:multiLevelType w:val="multilevel"/>
    <w:tmpl w:val="2BDA0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5BDD003F"/>
    <w:multiLevelType w:val="hybridMultilevel"/>
    <w:tmpl w:val="F08840D2"/>
    <w:lvl w:ilvl="0" w:tplc="48007BE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6B2120E0"/>
    <w:multiLevelType w:val="hybridMultilevel"/>
    <w:tmpl w:val="F02415DC"/>
    <w:lvl w:ilvl="0" w:tplc="D6BEF8F8">
      <w:numFmt w:val="bullet"/>
      <w:lvlText w:val="-"/>
      <w:lvlJc w:val="left"/>
      <w:pPr>
        <w:ind w:left="1160" w:hanging="360"/>
      </w:pPr>
      <w:rPr>
        <w:rFonts w:ascii="Times New Roman" w:eastAsiaTheme="minorEastAsia" w:hAnsi="Times New Roman" w:cs="Times New Roman"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420"/>
  <w:drawingGridVerticalSpacing w:val="156"/>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4299"/>
    <w:rsid w:val="000C3791"/>
    <w:rsid w:val="000F58DA"/>
    <w:rsid w:val="00113F44"/>
    <w:rsid w:val="001C3E47"/>
    <w:rsid w:val="001C73B7"/>
    <w:rsid w:val="002E668C"/>
    <w:rsid w:val="003F6D09"/>
    <w:rsid w:val="004351AA"/>
    <w:rsid w:val="00514C90"/>
    <w:rsid w:val="00554D3F"/>
    <w:rsid w:val="0056032E"/>
    <w:rsid w:val="00611791"/>
    <w:rsid w:val="00667EF6"/>
    <w:rsid w:val="00753E35"/>
    <w:rsid w:val="007D0DF7"/>
    <w:rsid w:val="007E6A34"/>
    <w:rsid w:val="008228E3"/>
    <w:rsid w:val="0083355C"/>
    <w:rsid w:val="00882B14"/>
    <w:rsid w:val="008F24CF"/>
    <w:rsid w:val="009A7714"/>
    <w:rsid w:val="00A51A53"/>
    <w:rsid w:val="00BB5A88"/>
    <w:rsid w:val="00C30157"/>
    <w:rsid w:val="00C9124F"/>
    <w:rsid w:val="00CC3BFC"/>
    <w:rsid w:val="00E53021"/>
    <w:rsid w:val="00EB606E"/>
    <w:rsid w:val="00F44299"/>
    <w:rsid w:val="00F64C1A"/>
    <w:rsid w:val="00F66FF2"/>
    <w:rsid w:val="00F807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ACF4C8B-93BC-4C02-B04A-01C8EF7C4E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E6A34"/>
    <w:pPr>
      <w:spacing w:after="180"/>
    </w:pPr>
    <w:rPr>
      <w:rFonts w:ascii="Times New Roman" w:eastAsia="MS Mincho" w:hAnsi="Times New Roman" w:cs="Times New Roman"/>
      <w:kern w:val="0"/>
      <w:sz w:val="20"/>
      <w:szCs w:val="20"/>
      <w:lang w:val="en-GB" w:eastAsia="en-US"/>
    </w:rPr>
  </w:style>
  <w:style w:type="paragraph" w:styleId="1">
    <w:name w:val="heading 1"/>
    <w:aliases w:val="H1"/>
    <w:next w:val="a"/>
    <w:link w:val="1Char"/>
    <w:qFormat/>
    <w:rsid w:val="007E6A34"/>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2">
    <w:name w:val="heading 2"/>
    <w:basedOn w:val="a"/>
    <w:next w:val="a"/>
    <w:link w:val="2Char"/>
    <w:uiPriority w:val="9"/>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
    <w:link w:val="3Char"/>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Underrubrik2 Char,H3 Char,no break Char,h3 Char,Memo Heading 3 Char,Heading 3 3GPP Char,Heading 3 Char1 Char Char,Heading 3 Char Char Char Char,Heading 3 Char1 Char Char Char Char,Heading 3 Char Char Char Char Char Char,0H Char,l3 Char"/>
    <w:basedOn w:val="a0"/>
    <w:link w:val="3"/>
    <w:rsid w:val="002E668C"/>
    <w:rPr>
      <w:rFonts w:ascii="Arial" w:eastAsia="宋体" w:hAnsi="Arial" w:cs="Arial"/>
      <w:kern w:val="0"/>
      <w:sz w:val="28"/>
      <w:szCs w:val="28"/>
      <w:lang w:val="en-GB" w:eastAsia="en-US"/>
    </w:rPr>
  </w:style>
  <w:style w:type="character" w:customStyle="1" w:styleId="2Char">
    <w:name w:val="标题 2 Char"/>
    <w:basedOn w:val="a0"/>
    <w:link w:val="2"/>
    <w:uiPriority w:val="9"/>
    <w:rsid w:val="002E668C"/>
    <w:rPr>
      <w:rFonts w:asciiTheme="majorHAnsi" w:eastAsiaTheme="majorEastAsia" w:hAnsiTheme="majorHAnsi" w:cstheme="majorBidi"/>
      <w:b/>
      <w:bCs/>
      <w:sz w:val="32"/>
      <w:szCs w:val="32"/>
    </w:rPr>
  </w:style>
  <w:style w:type="paragraph" w:customStyle="1" w:styleId="Topic">
    <w:name w:val="Topic"/>
    <w:basedOn w:val="a"/>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a0"/>
    <w:link w:val="Topic"/>
    <w:rsid w:val="002E668C"/>
    <w:rPr>
      <w:rFonts w:ascii="Arial" w:eastAsia="宋体" w:hAnsi="Arial" w:cs="Arial"/>
      <w:b/>
      <w:i/>
      <w:color w:val="C00000"/>
      <w:kern w:val="0"/>
      <w:sz w:val="22"/>
      <w:lang w:val="en-GB"/>
    </w:rPr>
  </w:style>
  <w:style w:type="character" w:customStyle="1" w:styleId="1Char">
    <w:name w:val="标题 1 Char"/>
    <w:aliases w:val="H1 Char"/>
    <w:basedOn w:val="a0"/>
    <w:link w:val="1"/>
    <w:rsid w:val="007E6A34"/>
    <w:rPr>
      <w:rFonts w:ascii="Arial" w:eastAsia="MS Mincho" w:hAnsi="Arial" w:cs="Times New Roman"/>
      <w:kern w:val="0"/>
      <w:sz w:val="36"/>
      <w:szCs w:val="20"/>
      <w:lang w:val="en-GB" w:eastAsia="en-US"/>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7E6A34"/>
    <w:pPr>
      <w:widowControl w:val="0"/>
    </w:pPr>
    <w:rPr>
      <w:rFonts w:ascii="Arial" w:eastAsia="MS Mincho" w:hAnsi="Arial" w:cs="Times New Roman"/>
      <w:b/>
      <w:noProof/>
      <w:kern w:val="0"/>
      <w:sz w:val="18"/>
      <w:szCs w:val="20"/>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7E6A34"/>
    <w:rPr>
      <w:rFonts w:ascii="Arial" w:eastAsia="MS Mincho" w:hAnsi="Arial" w:cs="Times New Roman"/>
      <w:b/>
      <w:noProof/>
      <w:kern w:val="0"/>
      <w:sz w:val="18"/>
      <w:szCs w:val="20"/>
      <w:lang w:eastAsia="en-US"/>
    </w:rPr>
  </w:style>
  <w:style w:type="paragraph" w:styleId="a4">
    <w:name w:val="footer"/>
    <w:basedOn w:val="a3"/>
    <w:link w:val="Char0"/>
    <w:rsid w:val="007E6A34"/>
    <w:pPr>
      <w:jc w:val="center"/>
    </w:pPr>
    <w:rPr>
      <w:i/>
    </w:rPr>
  </w:style>
  <w:style w:type="character" w:customStyle="1" w:styleId="Char0">
    <w:name w:val="页脚 Char"/>
    <w:basedOn w:val="a0"/>
    <w:link w:val="a4"/>
    <w:rsid w:val="007E6A34"/>
    <w:rPr>
      <w:rFonts w:ascii="Arial" w:eastAsia="MS Mincho" w:hAnsi="Arial" w:cs="Times New Roman"/>
      <w:b/>
      <w:i/>
      <w:noProof/>
      <w:kern w:val="0"/>
      <w:sz w:val="18"/>
      <w:szCs w:val="20"/>
      <w:lang w:eastAsia="en-US"/>
    </w:rPr>
  </w:style>
  <w:style w:type="character" w:styleId="a5">
    <w:name w:val="page number"/>
    <w:basedOn w:val="a0"/>
    <w:rsid w:val="007E6A34"/>
  </w:style>
  <w:style w:type="paragraph" w:customStyle="1" w:styleId="3GPPHeader">
    <w:name w:val="3GPP_Header"/>
    <w:basedOn w:val="a"/>
    <w:rsid w:val="007E6A34"/>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a"/>
    <w:link w:val="THChar"/>
    <w:qFormat/>
    <w:rsid w:val="007E6A34"/>
    <w:pPr>
      <w:keepNext/>
      <w:keepLines/>
      <w:spacing w:before="60"/>
      <w:jc w:val="center"/>
    </w:pPr>
    <w:rPr>
      <w:rFonts w:ascii="Arial" w:hAnsi="Arial"/>
      <w:b/>
    </w:rPr>
  </w:style>
  <w:style w:type="character" w:customStyle="1" w:styleId="THChar">
    <w:name w:val="TH Char"/>
    <w:link w:val="TH"/>
    <w:qFormat/>
    <w:rsid w:val="007E6A34"/>
    <w:rPr>
      <w:rFonts w:ascii="Arial" w:eastAsia="MS Mincho" w:hAnsi="Arial" w:cs="Times New Roman"/>
      <w:b/>
      <w:kern w:val="0"/>
      <w:sz w:val="20"/>
      <w:szCs w:val="20"/>
      <w:lang w:val="en-GB" w:eastAsia="en-US"/>
    </w:rPr>
  </w:style>
  <w:style w:type="table" w:styleId="a6">
    <w:name w:val="Table Grid"/>
    <w:basedOn w:val="a1"/>
    <w:uiPriority w:val="39"/>
    <w:rsid w:val="004351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basedOn w:val="a"/>
    <w:uiPriority w:val="34"/>
    <w:qFormat/>
    <w:rsid w:val="00611791"/>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9299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image" Target="media/image5.wmf"/><Relationship Id="rId10" Type="http://schemas.openxmlformats.org/officeDocument/2006/relationships/oleObject" Target="embeddings/oleObject2.bin"/><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s>
</file>

<file path=word/theme/theme1.xml><?xml version="1.0" encoding="utf-8"?>
<a:theme xmlns:a="http://schemas.openxmlformats.org/drawingml/2006/main" name="Office 主题">
  <a:themeElements>
    <a:clrScheme name="Office">
      <a:dk1>
        <a:sysClr val="windowText" lastClr="000000"/>
      </a:dk1>
      <a:lt1>
        <a:sysClr val="window" lastClr="CFE8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1081</Words>
  <Characters>6164</Characters>
  <Application>Microsoft Office Word</Application>
  <DocSecurity>0</DocSecurity>
  <Lines>51</Lines>
  <Paragraphs>14</Paragraphs>
  <ScaleCrop>false</ScaleCrop>
  <Company>Huawei Technologies Co.,Ltd.</Company>
  <LinksUpToDate>false</LinksUpToDate>
  <CharactersWithSpaces>7231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2</cp:revision>
  <dcterms:created xsi:type="dcterms:W3CDTF">2019-10-04T13:57:00Z</dcterms:created>
  <dcterms:modified xsi:type="dcterms:W3CDTF">2019-10-04T13:57:00Z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(3)0dVfafN1DJwCfuI6T98B9sLbzohTeaXZLnHwRDP1VohvoGQl49VHQopJZatptdjkYo8DTj85
fXM1Tx5e4rfgHinCckA3cGJtDy2IBwHCQOo85A6hArxXmNSQ0Rm2ie4tXRyLqIeQxc+3qpNn
LH7pYcUZP9gJQ1Z5u1ME/xQY5N2sltKXHtbaPv0IJUE5WYzP1CA8Gwn+T5Dty15XvYS6b2Yx
mEO8hTqNRF5v2lwOBa</vt:lpwstr>
  </property>
  <property fmtid="{D5CDD505-2E9C-101B-9397-08002B2CF9AE}" pid="3" name="_2015_ms_pID_7253431">
    <vt:lpwstr>tG56eUguoqA8dmkTsfkM/HtQEYL1Yhf6Qr2zWqepjX8pMgRv91VhX8
Xbp4bYGSrG70NNRyuczCvBEr8o5L68wuDn2WaL+V2InJJR8LJmzqADWj31lromJq7UaM5S7J
7Q41M0W4AYvdNGaBepGk6OcwCwJ2do3we0DOKVh3QQvQ/11pXI9Hzx+EShgBMYdKD9/3r+3x
/bXMCNLJNQ4Gm+j1ghPYy16rxIJoJr+AcY9F</vt:lpwstr>
  </property>
  <property fmtid="{D5CDD505-2E9C-101B-9397-08002B2CF9AE}" pid="4" name="_2015_ms_pID_7253432">
    <vt:lpwstr>3A==</vt:lpwstr>
  </property>
</Properties>
</file>