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467" w:rsidRPr="002D2977" w:rsidRDefault="00382467" w:rsidP="00382467">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#92bis</w:t>
      </w:r>
      <w:r w:rsidRPr="002D2977">
        <w:rPr>
          <w:rFonts w:cs="Arial"/>
          <w:noProof w:val="0"/>
          <w:sz w:val="24"/>
          <w:szCs w:val="24"/>
        </w:rPr>
        <w:tab/>
      </w:r>
      <w:r w:rsidR="00A2559B" w:rsidRPr="00A2559B">
        <w:rPr>
          <w:rFonts w:cs="Arial"/>
          <w:noProof w:val="0"/>
          <w:sz w:val="24"/>
          <w:szCs w:val="24"/>
        </w:rPr>
        <w:t>R4-1911927</w:t>
      </w:r>
      <w:bookmarkStart w:id="0" w:name="_GoBack"/>
      <w:bookmarkEnd w:id="0"/>
    </w:p>
    <w:p w:rsidR="00382467" w:rsidRPr="00BD05EF" w:rsidRDefault="00382467" w:rsidP="00382467">
      <w:pPr>
        <w:pStyle w:val="3GPPHeader"/>
        <w:rPr>
          <w:lang w:val="en-US"/>
        </w:rPr>
      </w:pPr>
      <w:bookmarkStart w:id="1" w:name="OLE_LINK3"/>
      <w:bookmarkStart w:id="2" w:name="OLE_LINK4"/>
      <w:r>
        <w:rPr>
          <w:lang w:val="en-US"/>
        </w:rPr>
        <w:t>Chongqing</w:t>
      </w:r>
      <w:r w:rsidRPr="00BD05EF">
        <w:rPr>
          <w:lang w:val="en-US"/>
        </w:rPr>
        <w:t xml:space="preserve">, </w:t>
      </w:r>
      <w:r>
        <w:rPr>
          <w:lang w:val="en-US"/>
        </w:rPr>
        <w:t>China</w:t>
      </w:r>
      <w:r w:rsidRPr="00BD05EF">
        <w:rPr>
          <w:lang w:val="en-US"/>
        </w:rPr>
        <w:t xml:space="preserve">, </w:t>
      </w:r>
      <w:r>
        <w:rPr>
          <w:lang w:val="en-US"/>
        </w:rPr>
        <w:t>October</w:t>
      </w:r>
      <w:r w:rsidRPr="00BD05EF">
        <w:rPr>
          <w:lang w:val="en-US"/>
        </w:rPr>
        <w:t xml:space="preserve"> </w:t>
      </w:r>
      <w:r>
        <w:rPr>
          <w:lang w:val="en-US"/>
        </w:rPr>
        <w:t>14</w:t>
      </w:r>
      <w:r w:rsidRPr="00BD05EF">
        <w:rPr>
          <w:lang w:val="en-US"/>
        </w:rPr>
        <w:t xml:space="preserve"> – </w:t>
      </w:r>
      <w:r>
        <w:rPr>
          <w:lang w:val="en-US"/>
        </w:rPr>
        <w:t>18</w:t>
      </w:r>
      <w:r w:rsidRPr="00BD05EF">
        <w:rPr>
          <w:lang w:val="en-US"/>
        </w:rPr>
        <w:t>, 2019</w:t>
      </w:r>
    </w:p>
    <w:bookmarkEnd w:id="1"/>
    <w:bookmarkEnd w:id="2"/>
    <w:p w:rsidR="00382467" w:rsidRPr="00740EC3" w:rsidRDefault="00382467" w:rsidP="00382467">
      <w:pPr>
        <w:pStyle w:val="a3"/>
        <w:rPr>
          <w:rFonts w:eastAsia="宋体"/>
          <w:noProof w:val="0"/>
          <w:sz w:val="24"/>
          <w:szCs w:val="24"/>
          <w:lang w:eastAsia="zh-CN"/>
        </w:rPr>
      </w:pPr>
    </w:p>
    <w:p w:rsidR="00382467" w:rsidRPr="002D2977" w:rsidRDefault="00382467" w:rsidP="00382467">
      <w:pPr>
        <w:pStyle w:val="a3"/>
        <w:rPr>
          <w:noProof w:val="0"/>
        </w:rPr>
      </w:pPr>
    </w:p>
    <w:p w:rsidR="00382467" w:rsidRPr="002D2977" w:rsidRDefault="00382467" w:rsidP="00382467">
      <w:pPr>
        <w:pStyle w:val="a4"/>
        <w:rPr>
          <w:noProof w:val="0"/>
        </w:rPr>
      </w:pPr>
    </w:p>
    <w:p w:rsidR="00382467" w:rsidRPr="002D2977" w:rsidRDefault="00382467" w:rsidP="00382467">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692A8F">
        <w:rPr>
          <w:rFonts w:ascii="Arial" w:hAnsi="Arial"/>
          <w:sz w:val="24"/>
          <w:lang w:val="en-US"/>
        </w:rPr>
        <w:t>8.1.4.2</w:t>
      </w:r>
    </w:p>
    <w:p w:rsidR="00382467" w:rsidRPr="002D2977" w:rsidRDefault="00382467" w:rsidP="00382467">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382467" w:rsidRPr="002D2977" w:rsidRDefault="00382467" w:rsidP="00382467">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Pr>
          <w:rFonts w:ascii="Arial" w:hAnsi="Arial"/>
          <w:sz w:val="24"/>
          <w:lang w:val="en-US"/>
        </w:rPr>
        <w:t xml:space="preserve">Discussion </w:t>
      </w:r>
      <w:r w:rsidR="00304A2F">
        <w:rPr>
          <w:rFonts w:ascii="Arial" w:hAnsi="Arial"/>
          <w:sz w:val="24"/>
          <w:lang w:val="en-US"/>
        </w:rPr>
        <w:t>HO requirements</w:t>
      </w:r>
      <w:r>
        <w:rPr>
          <w:rFonts w:ascii="Arial" w:hAnsi="Arial"/>
          <w:sz w:val="24"/>
          <w:lang w:val="en-US"/>
        </w:rPr>
        <w:t xml:space="preserve"> in NR-U</w:t>
      </w:r>
    </w:p>
    <w:p w:rsidR="00382467" w:rsidRPr="002D2977" w:rsidRDefault="00382467" w:rsidP="00382467">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382467" w:rsidRPr="002D2977" w:rsidRDefault="00382467" w:rsidP="00382467">
      <w:pPr>
        <w:pStyle w:val="1"/>
        <w:numPr>
          <w:ilvl w:val="0"/>
          <w:numId w:val="1"/>
        </w:numPr>
        <w:rPr>
          <w:lang w:val="en-US"/>
        </w:rPr>
      </w:pPr>
      <w:r w:rsidRPr="002D2977">
        <w:rPr>
          <w:lang w:val="en-US"/>
        </w:rPr>
        <w:t>Introduction</w:t>
      </w:r>
    </w:p>
    <w:p w:rsidR="00382467" w:rsidRPr="006100BC" w:rsidRDefault="00382467" w:rsidP="006100BC">
      <w:pPr>
        <w:rPr>
          <w:rFonts w:eastAsiaTheme="minorEastAsia"/>
          <w:lang w:val="en-US" w:eastAsia="zh-CN"/>
        </w:rPr>
      </w:pPr>
      <w:r w:rsidRPr="002D2977">
        <w:rPr>
          <w:rFonts w:eastAsiaTheme="minorEastAsia"/>
          <w:lang w:val="en-US" w:eastAsia="zh-CN"/>
        </w:rPr>
        <w:t>In last meeting RAN4 92, the RRM requirements and impact of NR-U are discussed, and the potential agreements and the remaining open issues</w:t>
      </w:r>
      <w:r>
        <w:rPr>
          <w:rFonts w:eastAsiaTheme="minorEastAsia"/>
          <w:lang w:val="en-US" w:eastAsia="zh-CN"/>
        </w:rPr>
        <w:t xml:space="preserve"> about </w:t>
      </w:r>
      <w:r w:rsidR="00E73F9D">
        <w:rPr>
          <w:rFonts w:eastAsiaTheme="minorEastAsia"/>
          <w:lang w:val="en-US" w:eastAsia="zh-CN"/>
        </w:rPr>
        <w:t>handover</w:t>
      </w:r>
      <w:r>
        <w:rPr>
          <w:rFonts w:eastAsiaTheme="minorEastAsia"/>
          <w:lang w:val="en-US" w:eastAsia="zh-CN"/>
        </w:rPr>
        <w:t xml:space="preserve"> requirements</w:t>
      </w:r>
      <w:r w:rsidRPr="002D2977">
        <w:rPr>
          <w:rFonts w:eastAsiaTheme="minorEastAsia"/>
          <w:lang w:val="en-US" w:eastAsia="zh-CN"/>
        </w:rPr>
        <w:t xml:space="preserve"> are summarized in the WF [1]</w:t>
      </w:r>
      <w:r w:rsidR="00CD78AA">
        <w:rPr>
          <w:rFonts w:eastAsiaTheme="minorEastAsia"/>
          <w:lang w:val="en-US" w:eastAsia="zh-CN"/>
        </w:rPr>
        <w:t>.</w:t>
      </w:r>
      <w:r w:rsidR="003D5DE6" w:rsidRPr="003D5DE6">
        <w:rPr>
          <w:rFonts w:eastAsiaTheme="minorEastAsia"/>
          <w:lang w:val="en-US" w:eastAsia="zh-CN"/>
        </w:rPr>
        <w:t xml:space="preserve"> </w:t>
      </w:r>
    </w:p>
    <w:p w:rsidR="00382467" w:rsidRPr="002D2977" w:rsidRDefault="00CD78AA" w:rsidP="00F07E08">
      <w:pPr>
        <w:jc w:val="both"/>
        <w:rPr>
          <w:rFonts w:eastAsiaTheme="minorEastAsia"/>
          <w:lang w:val="en-US" w:eastAsia="zh-CN"/>
        </w:rPr>
      </w:pPr>
      <w:r>
        <w:rPr>
          <w:rFonts w:eastAsiaTheme="minorEastAsia"/>
          <w:lang w:val="en-US" w:eastAsia="zh-CN"/>
        </w:rPr>
        <w:t>In this paper, we discuss the</w:t>
      </w:r>
      <w:r w:rsidR="00382467" w:rsidRPr="002D2977">
        <w:rPr>
          <w:rFonts w:eastAsiaTheme="minorEastAsia"/>
          <w:lang w:val="en-US" w:eastAsia="zh-CN"/>
        </w:rPr>
        <w:t xml:space="preserve"> requirements</w:t>
      </w:r>
      <w:r>
        <w:rPr>
          <w:rFonts w:eastAsiaTheme="minorEastAsia"/>
          <w:lang w:val="en-US" w:eastAsia="zh-CN"/>
        </w:rPr>
        <w:t xml:space="preserve"> of handover</w:t>
      </w:r>
      <w:r w:rsidR="00382467" w:rsidRPr="002D2977">
        <w:rPr>
          <w:rFonts w:eastAsiaTheme="minorEastAsia"/>
          <w:lang w:val="en-US" w:eastAsia="zh-CN"/>
        </w:rPr>
        <w:t xml:space="preserve"> in NR-U based on the discussion in the last meeting</w:t>
      </w:r>
      <w:r w:rsidR="00382467">
        <w:rPr>
          <w:rFonts w:eastAsiaTheme="minorEastAsia"/>
          <w:lang w:val="en-US" w:eastAsia="zh-CN"/>
        </w:rPr>
        <w:t xml:space="preserve"> and the progress from other groups</w:t>
      </w:r>
      <w:r w:rsidR="00382467" w:rsidRPr="002D2977">
        <w:rPr>
          <w:rFonts w:eastAsiaTheme="minorEastAsia"/>
          <w:lang w:val="en-US" w:eastAsia="zh-CN"/>
        </w:rPr>
        <w:t>.</w:t>
      </w:r>
    </w:p>
    <w:p w:rsidR="003D5DE6" w:rsidRDefault="00382467" w:rsidP="003D5DE6">
      <w:pPr>
        <w:pStyle w:val="1"/>
        <w:numPr>
          <w:ilvl w:val="0"/>
          <w:numId w:val="1"/>
        </w:numPr>
        <w:rPr>
          <w:lang w:val="en-US"/>
        </w:rPr>
      </w:pPr>
      <w:r w:rsidRPr="002D2977">
        <w:rPr>
          <w:lang w:val="en-US"/>
        </w:rPr>
        <w:t>Discussion</w:t>
      </w:r>
    </w:p>
    <w:p w:rsidR="003D5DE6" w:rsidRDefault="00D86490" w:rsidP="003D5DE6">
      <w:pPr>
        <w:rPr>
          <w:rFonts w:cs="v4.2.0"/>
        </w:rPr>
      </w:pPr>
      <w:r>
        <w:rPr>
          <w:rFonts w:eastAsiaTheme="minorEastAsia" w:hint="eastAsia"/>
          <w:lang w:val="en-US" w:eastAsia="zh-CN"/>
        </w:rPr>
        <w:t>T</w:t>
      </w:r>
      <w:r>
        <w:rPr>
          <w:rFonts w:eastAsiaTheme="minorEastAsia"/>
          <w:lang w:val="en-US" w:eastAsia="zh-CN"/>
        </w:rPr>
        <w:t>he existing requirements of NR handover procedure are defined in 6.1 TS</w:t>
      </w:r>
      <w:r w:rsidR="00B657C2">
        <w:rPr>
          <w:rFonts w:eastAsiaTheme="minorEastAsia"/>
          <w:lang w:val="en-US" w:eastAsia="zh-CN"/>
        </w:rPr>
        <w:t xml:space="preserve"> </w:t>
      </w:r>
      <w:r>
        <w:rPr>
          <w:rFonts w:eastAsiaTheme="minorEastAsia"/>
          <w:lang w:val="en-US" w:eastAsia="zh-CN"/>
        </w:rPr>
        <w:t xml:space="preserve">38.133 [2]. For handovers form NR FR1 cell to NR FR1 cell. The procedure delays </w:t>
      </w:r>
      <w:r w:rsidRPr="00BE78B0">
        <w:rPr>
          <w:rFonts w:cs="v4.2.0"/>
        </w:rPr>
        <w:t>D</w:t>
      </w:r>
      <w:r w:rsidRPr="00BE78B0">
        <w:rPr>
          <w:rFonts w:cs="v4.2.0"/>
          <w:vertAlign w:val="subscript"/>
        </w:rPr>
        <w:t>handover</w:t>
      </w:r>
      <w:r w:rsidRPr="00BE78B0">
        <w:rPr>
          <w:rFonts w:cs="v4.2.0"/>
        </w:rPr>
        <w:t xml:space="preserve"> equals the maximum RRC procedure delay to be defined in clause</w:t>
      </w:r>
      <w:r w:rsidRPr="00BE78B0">
        <w:rPr>
          <w:rFonts w:cs="v4.2.0"/>
          <w:lang w:eastAsia="zh-CN"/>
        </w:rPr>
        <w:t>12</w:t>
      </w:r>
      <w:r w:rsidRPr="00BE78B0">
        <w:rPr>
          <w:rFonts w:cs="v4.2.0"/>
        </w:rPr>
        <w:t xml:space="preserve"> in </w:t>
      </w:r>
      <w:r w:rsidRPr="00BE78B0">
        <w:t>TS 38.331 [</w:t>
      </w:r>
      <w:r>
        <w:t>3</w:t>
      </w:r>
      <w:r w:rsidRPr="00BE78B0">
        <w:t>]</w:t>
      </w:r>
      <w:r w:rsidRPr="00BE78B0">
        <w:rPr>
          <w:rFonts w:cs="v4.2.0"/>
        </w:rPr>
        <w:t xml:space="preserve"> plus the interruption time</w:t>
      </w:r>
      <w:r>
        <w:rPr>
          <w:rFonts w:cs="v4.2.0"/>
        </w:rPr>
        <w:t>. The interruption time is defined as follows:</w:t>
      </w:r>
    </w:p>
    <w:p w:rsidR="00D86490" w:rsidRDefault="00D86490" w:rsidP="00D86490">
      <w:pPr>
        <w:rPr>
          <w:rFonts w:cs="v4.2.0"/>
        </w:rPr>
      </w:pPr>
      <w:r>
        <w:rPr>
          <w:rFonts w:cs="v4.2.0"/>
        </w:rPr>
        <w:t>“</w:t>
      </w:r>
    </w:p>
    <w:p w:rsidR="00D86490" w:rsidRDefault="00D86490" w:rsidP="00D86490">
      <w:pPr>
        <w:jc w:val="center"/>
      </w:pP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20+ T</w:t>
      </w:r>
      <w:r w:rsidRPr="00BE78B0">
        <w:rPr>
          <w:vertAlign w:val="subscript"/>
          <w:lang w:eastAsia="zh-CN"/>
        </w:rPr>
        <w:t>∆</w:t>
      </w:r>
      <w:r w:rsidRPr="00BE78B0">
        <w:rPr>
          <w:lang w:eastAsia="zh-CN"/>
        </w:rPr>
        <w:t xml:space="preserve"> </w:t>
      </w:r>
      <w:r w:rsidRPr="00BE78B0">
        <w:t>ms</w:t>
      </w:r>
    </w:p>
    <w:p w:rsidR="00D86490" w:rsidRDefault="00D86490" w:rsidP="00D86490">
      <w:r>
        <w:t>Where:</w:t>
      </w:r>
    </w:p>
    <w:p w:rsidR="00D86490" w:rsidRDefault="00D86490" w:rsidP="00D86490">
      <w:pPr>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w:t>
      </w:r>
      <w:r>
        <w:rPr>
          <w:rFonts w:cs="v4.2.0"/>
        </w:rPr>
        <w:t>.</w:t>
      </w:r>
    </w:p>
    <w:p w:rsidR="00D86490" w:rsidRDefault="00D86490" w:rsidP="00D86490">
      <w:r w:rsidRPr="00BE78B0">
        <w:t>T</w:t>
      </w:r>
      <w:r w:rsidRPr="00BE78B0">
        <w:rPr>
          <w:vertAlign w:val="subscript"/>
        </w:rPr>
        <w:t>∆</w:t>
      </w:r>
      <w:r w:rsidRPr="00BE78B0">
        <w:t xml:space="preserve"> is time for fine time tracking and acquiring full timing information of the target cell</w:t>
      </w:r>
      <w:r>
        <w:t>.</w:t>
      </w:r>
    </w:p>
    <w:p w:rsidR="00D86490" w:rsidRDefault="00D86490" w:rsidP="00D86490">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w:t>
      </w:r>
    </w:p>
    <w:p w:rsidR="00D86490" w:rsidRDefault="00D86490" w:rsidP="003D5DE6">
      <w:pPr>
        <w:rPr>
          <w:rFonts w:cs="v4.2.0"/>
        </w:rPr>
      </w:pPr>
      <w:r>
        <w:rPr>
          <w:rFonts w:cs="v4.2.0"/>
        </w:rPr>
        <w:t>”</w:t>
      </w:r>
    </w:p>
    <w:p w:rsidR="00D86490" w:rsidRDefault="00B657C2" w:rsidP="003D5DE6">
      <w:r>
        <w:rPr>
          <w:rFonts w:eastAsiaTheme="minorEastAsia" w:cs="v4.2.0"/>
          <w:lang w:eastAsia="zh-CN"/>
        </w:rPr>
        <w:t xml:space="preserve">As described in </w:t>
      </w:r>
      <w:r>
        <w:rPr>
          <w:rFonts w:eastAsiaTheme="minorEastAsia"/>
          <w:lang w:val="en-US" w:eastAsia="zh-CN"/>
        </w:rPr>
        <w:t>TS 38.133 [2]</w:t>
      </w:r>
      <w:r>
        <w:rPr>
          <w:rFonts w:eastAsiaTheme="minorEastAsia" w:hint="eastAsia"/>
          <w:lang w:val="en-US" w:eastAsia="zh-CN"/>
        </w:rPr>
        <w:t>,</w:t>
      </w:r>
      <w:r>
        <w:rPr>
          <w:rFonts w:eastAsiaTheme="minorEastAsia"/>
          <w:lang w:val="en-US" w:eastAsia="zh-CN"/>
        </w:rPr>
        <w:t xml:space="preserve"> during the handover procedure, </w:t>
      </w: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Pr>
          <w:lang w:eastAsia="zh-CN"/>
        </w:rPr>
        <w:t xml:space="preserve">. However, in NR-U scenarios, the transmission of PRACH may be dropped due to UL LBT failure. Therefore, </w:t>
      </w:r>
      <w:r w:rsidRPr="00BE78B0">
        <w:t>T</w:t>
      </w:r>
      <w:r w:rsidRPr="00BE78B0">
        <w:rPr>
          <w:vertAlign w:val="subscript"/>
        </w:rPr>
        <w:t>IU</w:t>
      </w:r>
      <w:r>
        <w:rPr>
          <w:vertAlign w:val="subscript"/>
        </w:rPr>
        <w:t xml:space="preserve"> </w:t>
      </w:r>
      <w:r>
        <w:t xml:space="preserve">is relate to not only the time for </w:t>
      </w:r>
      <w:r w:rsidRPr="00BE78B0">
        <w:rPr>
          <w:lang w:eastAsia="zh-CN"/>
        </w:rPr>
        <w:t>acquiring the first available PRACH occasion</w:t>
      </w:r>
      <w:r>
        <w:rPr>
          <w:lang w:eastAsia="zh-CN"/>
        </w:rPr>
        <w:t xml:space="preserve"> but also transmissions dropping due to LBT. In this way, the description of </w:t>
      </w:r>
      <w:r w:rsidRPr="00BE78B0">
        <w:t>T</w:t>
      </w:r>
      <w:r w:rsidRPr="00BE78B0">
        <w:rPr>
          <w:vertAlign w:val="subscript"/>
        </w:rPr>
        <w:t>IU</w:t>
      </w:r>
      <w:r>
        <w:rPr>
          <w:vertAlign w:val="subscript"/>
        </w:rPr>
        <w:t xml:space="preserve"> </w:t>
      </w:r>
      <w:r>
        <w:t>for handover in NR-U scenarios should be clarified</w:t>
      </w:r>
      <w:r w:rsidR="001D408A">
        <w:t>.</w:t>
      </w:r>
    </w:p>
    <w:p w:rsidR="001D408A" w:rsidRPr="006100BC" w:rsidRDefault="001D408A" w:rsidP="00B657C2">
      <w:pPr>
        <w:rPr>
          <w:b/>
        </w:rPr>
      </w:pPr>
      <w:r w:rsidRPr="006100BC">
        <w:rPr>
          <w:b/>
        </w:rPr>
        <w:t>Observation 1: The description of interruption uncertainty of the handover process in NR-U need to be clarified to capture the impact of acquiring the available PRACH and occasion the UL transmission dropping due to LBT failure.</w:t>
      </w:r>
    </w:p>
    <w:p w:rsidR="006100BC" w:rsidRPr="006100BC" w:rsidRDefault="006100BC" w:rsidP="006100BC">
      <w:pPr>
        <w:rPr>
          <w:rFonts w:eastAsiaTheme="minorEastAsia"/>
          <w:b/>
          <w:lang w:eastAsia="zh-CN"/>
        </w:rPr>
      </w:pPr>
      <w:r w:rsidRPr="006100BC">
        <w:rPr>
          <w:rFonts w:eastAsiaTheme="minorEastAsia" w:hint="eastAsia"/>
          <w:b/>
          <w:lang w:eastAsia="zh-CN"/>
        </w:rPr>
        <w:t>P</w:t>
      </w:r>
      <w:r w:rsidRPr="006100BC">
        <w:rPr>
          <w:rFonts w:eastAsiaTheme="minorEastAsia"/>
          <w:b/>
          <w:lang w:eastAsia="zh-CN"/>
        </w:rPr>
        <w:t>roposal 1: The description of interruption uncertainty of the handover procedure in NR-U should be clarified as:</w:t>
      </w:r>
    </w:p>
    <w:p w:rsidR="006100BC" w:rsidRPr="006100BC" w:rsidRDefault="006100BC" w:rsidP="006100BC">
      <w:pPr>
        <w:rPr>
          <w:rFonts w:eastAsiaTheme="minorEastAsia"/>
          <w:b/>
          <w:lang w:eastAsia="zh-CN"/>
        </w:rPr>
      </w:pPr>
      <w:r w:rsidRPr="006100BC">
        <w:rPr>
          <w:rFonts w:eastAsiaTheme="minorEastAsia"/>
          <w:b/>
          <w:lang w:eastAsia="zh-CN"/>
        </w:rPr>
        <w:t>“</w:t>
      </w:r>
      <w:r w:rsidRPr="006100BC">
        <w:rPr>
          <w:b/>
        </w:rPr>
        <w:t>T</w:t>
      </w:r>
      <w:r w:rsidRPr="006100BC">
        <w:rPr>
          <w:b/>
          <w:vertAlign w:val="subscript"/>
        </w:rPr>
        <w:t>IU</w:t>
      </w:r>
      <w:r w:rsidRPr="006100BC">
        <w:rPr>
          <w:b/>
        </w:rPr>
        <w:t xml:space="preserve"> is the interruption uncertainty due to the random access procedure when sending PRACH to the</w:t>
      </w:r>
      <w:r w:rsidRPr="006100BC">
        <w:rPr>
          <w:b/>
          <w:lang w:eastAsia="zh-CN"/>
        </w:rPr>
        <w:t xml:space="preserve"> new cell</w:t>
      </w:r>
      <w:r w:rsidRPr="006100BC">
        <w:rPr>
          <w:b/>
        </w:rPr>
        <w:t>.</w:t>
      </w:r>
      <w:r w:rsidRPr="006100BC">
        <w:rPr>
          <w:rFonts w:eastAsiaTheme="minorEastAsia"/>
          <w:b/>
          <w:lang w:eastAsia="zh-CN"/>
        </w:rPr>
        <w:t>”</w:t>
      </w:r>
    </w:p>
    <w:p w:rsidR="006100BC" w:rsidRDefault="006100BC" w:rsidP="006100BC">
      <w:pPr>
        <w:rPr>
          <w:rFonts w:eastAsiaTheme="minorEastAsia"/>
          <w:lang w:eastAsia="zh-CN"/>
        </w:rPr>
      </w:pPr>
      <w:r>
        <w:rPr>
          <w:rFonts w:eastAsiaTheme="minorEastAsia" w:hint="eastAsia"/>
          <w:lang w:eastAsia="zh-CN"/>
        </w:rPr>
        <w:t>B</w:t>
      </w:r>
      <w:r>
        <w:rPr>
          <w:rFonts w:eastAsiaTheme="minorEastAsia"/>
          <w:lang w:eastAsia="zh-CN"/>
        </w:rPr>
        <w:t>ased on the agreements from RAN2 #107, a UL LBT failure is under discussion to handle the dropping of UL transmission of LBT failure, which is shown as follows: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562"/>
      </w:tblGrid>
      <w:tr w:rsidR="006100BC" w:rsidRPr="000A30F5" w:rsidTr="006100BC">
        <w:trPr>
          <w:trHeight w:val="3142"/>
        </w:trPr>
        <w:tc>
          <w:tcPr>
            <w:tcW w:w="9855" w:type="dxa"/>
            <w:shd w:val="clear" w:color="auto" w:fill="auto"/>
          </w:tcPr>
          <w:p w:rsidR="006100BC" w:rsidRPr="000A30F5" w:rsidRDefault="006100BC" w:rsidP="006100BC">
            <w:pPr>
              <w:rPr>
                <w:u w:val="single"/>
                <w:lang w:eastAsia="ja-JP"/>
              </w:rPr>
            </w:pPr>
            <w:r w:rsidRPr="000A30F5">
              <w:rPr>
                <w:highlight w:val="green"/>
                <w:u w:val="single"/>
                <w:lang w:eastAsia="ja-JP"/>
              </w:rPr>
              <w:lastRenderedPageBreak/>
              <w:t>Agreements in RAN2 #107</w:t>
            </w:r>
          </w:p>
          <w:p w:rsidR="006100BC" w:rsidRPr="000A30F5" w:rsidRDefault="006100BC" w:rsidP="006100BC">
            <w:pPr>
              <w:pStyle w:val="Agreement"/>
              <w:tabs>
                <w:tab w:val="clear" w:pos="927"/>
              </w:tabs>
              <w:ind w:left="810" w:firstLine="400"/>
              <w:rPr>
                <w:b w:val="0"/>
              </w:rPr>
            </w:pPr>
            <w:r w:rsidRPr="000A30F5">
              <w:rPr>
                <w:b w:val="0"/>
              </w:rPr>
              <w:t xml:space="preserve">L2 LBT failure mechanism take into account any LBT failure regardless UL transmission type. </w:t>
            </w:r>
          </w:p>
          <w:p w:rsidR="006100BC" w:rsidRPr="000A30F5" w:rsidRDefault="006100BC" w:rsidP="006100BC">
            <w:pPr>
              <w:pStyle w:val="Agreement"/>
              <w:tabs>
                <w:tab w:val="clear" w:pos="927"/>
              </w:tabs>
              <w:ind w:left="810" w:firstLine="400"/>
              <w:rPr>
                <w:b w:val="0"/>
              </w:rPr>
            </w:pPr>
            <w:r w:rsidRPr="000A30F5">
              <w:rPr>
                <w:b w:val="0"/>
              </w:rPr>
              <w:t>The UL LBT failure mechanism will have the same recovery mechanism for all failures regardless UL transmission type</w:t>
            </w:r>
          </w:p>
          <w:p w:rsidR="006100BC" w:rsidRPr="000A30F5" w:rsidRDefault="006100BC" w:rsidP="006100BC">
            <w:pPr>
              <w:pStyle w:val="Agreement"/>
              <w:tabs>
                <w:tab w:val="clear" w:pos="927"/>
              </w:tabs>
              <w:ind w:left="810" w:firstLine="400"/>
              <w:rPr>
                <w:b w:val="0"/>
              </w:rPr>
            </w:pPr>
            <w:r w:rsidRPr="000A30F5">
              <w:rPr>
                <w:b w:val="0"/>
              </w:rPr>
              <w:t>UL LBT failures are detected per BWP</w:t>
            </w:r>
          </w:p>
          <w:p w:rsidR="006100BC" w:rsidRPr="000A30F5" w:rsidRDefault="006100BC" w:rsidP="006100BC">
            <w:pPr>
              <w:pStyle w:val="Agreement"/>
              <w:tabs>
                <w:tab w:val="clear" w:pos="927"/>
              </w:tabs>
              <w:ind w:left="810" w:firstLine="400"/>
              <w:rPr>
                <w:b w:val="0"/>
              </w:rPr>
            </w:pPr>
            <w:r w:rsidRPr="000A30F5">
              <w:rPr>
                <w:b w:val="0"/>
              </w:rPr>
              <w:t>The UE will report the occurrence of consistent UL LBT failures on PSCell and SCells. The assumption is to reuse SCell failure reporting for BF</w:t>
            </w:r>
          </w:p>
          <w:p w:rsidR="006100BC" w:rsidRPr="000A30F5" w:rsidRDefault="006100BC" w:rsidP="006100BC">
            <w:pPr>
              <w:pStyle w:val="Doc-text2"/>
              <w:tabs>
                <w:tab w:val="clear" w:pos="1622"/>
              </w:tabs>
              <w:ind w:left="810" w:hanging="450"/>
            </w:pPr>
          </w:p>
          <w:p w:rsidR="006100BC" w:rsidRPr="000A30F5" w:rsidRDefault="006100BC" w:rsidP="006100BC">
            <w:pPr>
              <w:pStyle w:val="Doc-text2"/>
              <w:tabs>
                <w:tab w:val="clear" w:pos="1622"/>
              </w:tabs>
              <w:ind w:left="810" w:hanging="450"/>
            </w:pPr>
            <w:r w:rsidRPr="000A30F5">
              <w:t xml:space="preserve">Baseline Mechanism, further enhancements not precluded: </w:t>
            </w:r>
          </w:p>
          <w:p w:rsidR="006100BC" w:rsidRPr="000A30F5" w:rsidRDefault="006100BC" w:rsidP="006100BC">
            <w:pPr>
              <w:pStyle w:val="Agreement"/>
              <w:tabs>
                <w:tab w:val="clear" w:pos="927"/>
              </w:tabs>
              <w:ind w:left="810" w:firstLine="400"/>
              <w:rPr>
                <w:b w:val="0"/>
              </w:rPr>
            </w:pPr>
            <w:r w:rsidRPr="000A30F5">
              <w:rPr>
                <w:b w:val="0"/>
              </w:rPr>
              <w:t xml:space="preserve">A “threshold” for the maximum number of LBT failures which triggers the “consistent” LBT failure event will be used. </w:t>
            </w:r>
          </w:p>
          <w:p w:rsidR="006100BC" w:rsidRPr="000A30F5" w:rsidRDefault="006100BC" w:rsidP="006100BC">
            <w:pPr>
              <w:pStyle w:val="Agreement"/>
              <w:tabs>
                <w:tab w:val="clear" w:pos="927"/>
              </w:tabs>
              <w:ind w:left="810" w:firstLine="400"/>
              <w:rPr>
                <w:b w:val="0"/>
              </w:rPr>
            </w:pPr>
            <w:r w:rsidRPr="000A30F5">
              <w:rPr>
                <w:b w:val="0"/>
              </w:rPr>
              <w:t>Both a timer and a counter are introduced, the counter is reset when timer expires and incremented when UL LBT failure happens</w:t>
            </w:r>
          </w:p>
          <w:p w:rsidR="006100BC" w:rsidRPr="000A30F5" w:rsidRDefault="006100BC" w:rsidP="006100BC">
            <w:pPr>
              <w:pStyle w:val="Agreement"/>
              <w:tabs>
                <w:tab w:val="clear" w:pos="927"/>
              </w:tabs>
              <w:ind w:left="810" w:firstLine="400"/>
              <w:rPr>
                <w:b w:val="0"/>
              </w:rPr>
            </w:pPr>
            <w:r w:rsidRPr="000A30F5">
              <w:rPr>
                <w:b w:val="0"/>
              </w:rPr>
              <w:t xml:space="preserve">The timer is started/restarted when UL LBT failure occur. </w:t>
            </w:r>
          </w:p>
        </w:tc>
      </w:tr>
    </w:tbl>
    <w:p w:rsidR="006100BC" w:rsidRPr="006100BC" w:rsidRDefault="006100BC" w:rsidP="006100BC">
      <w:r>
        <w:t xml:space="preserve"> </w:t>
      </w:r>
    </w:p>
    <w:p w:rsidR="001D408A" w:rsidRDefault="006100BC" w:rsidP="00B657C2">
      <w:pPr>
        <w:rPr>
          <w:rFonts w:eastAsiaTheme="minorEastAsia"/>
          <w:lang w:eastAsia="zh-CN"/>
        </w:rPr>
      </w:pPr>
      <w:r>
        <w:rPr>
          <w:rFonts w:eastAsiaTheme="minorEastAsia"/>
          <w:lang w:eastAsia="zh-CN"/>
        </w:rPr>
        <w:t>Therefore, the UE behaviour of PRACH transmission to the target cell will be restricted by the UL LBT mechanism. In this way, the interruption uncertainty related to PRACH transmission to the target cell depends on the maximum number of LBT failures defined in the UL LBT failure mechanism.</w:t>
      </w:r>
    </w:p>
    <w:p w:rsidR="006100BC" w:rsidRPr="006100BC" w:rsidRDefault="006100BC" w:rsidP="006100BC">
      <w:pPr>
        <w:rPr>
          <w:rFonts w:eastAsiaTheme="minorEastAsia"/>
          <w:b/>
          <w:lang w:eastAsia="zh-CN"/>
        </w:rPr>
      </w:pPr>
      <w:r w:rsidRPr="006100BC">
        <w:rPr>
          <w:rFonts w:eastAsiaTheme="minorEastAsia"/>
          <w:b/>
          <w:lang w:eastAsia="zh-CN"/>
        </w:rPr>
        <w:t>Observation 2:</w:t>
      </w:r>
      <w:r w:rsidRPr="006100BC">
        <w:rPr>
          <w:rFonts w:eastAsiaTheme="minorEastAsia" w:hint="eastAsia"/>
          <w:b/>
          <w:lang w:eastAsia="zh-CN"/>
        </w:rPr>
        <w:t xml:space="preserve"> </w:t>
      </w:r>
      <w:r w:rsidRPr="006100BC">
        <w:rPr>
          <w:rFonts w:eastAsiaTheme="minorEastAsia"/>
          <w:b/>
          <w:lang w:eastAsia="zh-CN"/>
        </w:rPr>
        <w:t>The interruption uncertainty related to PRACH transmission to the target cell depends on the maximum number of LBT failures defined in the UL LBT failure mechanism.</w:t>
      </w:r>
    </w:p>
    <w:p w:rsidR="006100BC" w:rsidRDefault="006100BC" w:rsidP="006100BC">
      <w:pPr>
        <w:rPr>
          <w:rFonts w:eastAsiaTheme="minorEastAsia"/>
          <w:lang w:eastAsia="zh-CN"/>
        </w:rPr>
      </w:pPr>
      <w:r>
        <w:rPr>
          <w:rFonts w:eastAsiaTheme="minorEastAsia"/>
          <w:lang w:eastAsia="zh-CN"/>
        </w:rPr>
        <w:t>Thus, from RAN4 perspective, we should wait for RAN2 decision on the UL LBT failure mechanism before making the requirements for T</w:t>
      </w:r>
      <w:r>
        <w:rPr>
          <w:rFonts w:eastAsiaTheme="minorEastAsia"/>
          <w:vertAlign w:val="subscript"/>
          <w:lang w:eastAsia="zh-CN"/>
        </w:rPr>
        <w:t xml:space="preserve">IU </w:t>
      </w:r>
      <w:r>
        <w:rPr>
          <w:rFonts w:eastAsiaTheme="minorEastAsia"/>
          <w:lang w:eastAsia="zh-CN"/>
        </w:rPr>
        <w:t>of the handover procedures in NR-U.</w:t>
      </w:r>
    </w:p>
    <w:p w:rsidR="006100BC" w:rsidRPr="006100BC" w:rsidRDefault="006100BC" w:rsidP="006100BC">
      <w:pPr>
        <w:rPr>
          <w:rFonts w:eastAsiaTheme="minorEastAsia"/>
          <w:b/>
          <w:lang w:eastAsia="zh-CN"/>
        </w:rPr>
      </w:pPr>
      <w:r w:rsidRPr="006100BC">
        <w:rPr>
          <w:rFonts w:eastAsiaTheme="minorEastAsia"/>
          <w:b/>
          <w:lang w:eastAsia="zh-CN"/>
        </w:rPr>
        <w:t>Proposal 2: From RAN4 perspective, we should wait for RAN2 decision on the UL LBT failure mechanism before making the requirements for T</w:t>
      </w:r>
      <w:r w:rsidRPr="006100BC">
        <w:rPr>
          <w:rFonts w:eastAsiaTheme="minorEastAsia"/>
          <w:b/>
          <w:vertAlign w:val="subscript"/>
          <w:lang w:eastAsia="zh-CN"/>
        </w:rPr>
        <w:t xml:space="preserve">IU </w:t>
      </w:r>
      <w:r w:rsidRPr="006100BC">
        <w:rPr>
          <w:rFonts w:eastAsiaTheme="minorEastAsia"/>
          <w:b/>
          <w:lang w:eastAsia="zh-CN"/>
        </w:rPr>
        <w:t>of the handover procedures in NR-U.</w:t>
      </w:r>
    </w:p>
    <w:p w:rsidR="003D5DE6" w:rsidRPr="00A27140" w:rsidRDefault="003D5DE6" w:rsidP="00F07E08">
      <w:pPr>
        <w:jc w:val="both"/>
        <w:rPr>
          <w:rFonts w:eastAsiaTheme="minorEastAsia"/>
          <w:b/>
          <w:lang w:eastAsia="zh-CN"/>
        </w:rPr>
      </w:pPr>
    </w:p>
    <w:p w:rsidR="00382467" w:rsidRPr="002D2977" w:rsidRDefault="00382467" w:rsidP="00F07E08">
      <w:pPr>
        <w:pStyle w:val="1"/>
        <w:numPr>
          <w:ilvl w:val="0"/>
          <w:numId w:val="1"/>
        </w:numPr>
        <w:jc w:val="both"/>
        <w:rPr>
          <w:lang w:val="en-US"/>
        </w:rPr>
      </w:pPr>
      <w:r w:rsidRPr="002D2977">
        <w:rPr>
          <w:lang w:val="en-US"/>
        </w:rPr>
        <w:t>Conclusions</w:t>
      </w:r>
    </w:p>
    <w:p w:rsidR="006100BC" w:rsidRPr="006100BC" w:rsidRDefault="006100BC" w:rsidP="006100BC">
      <w:pPr>
        <w:rPr>
          <w:b/>
        </w:rPr>
      </w:pPr>
      <w:r w:rsidRPr="006100BC">
        <w:rPr>
          <w:b/>
        </w:rPr>
        <w:t>Observation 1: The description of interruption uncertainty of the handover process in NR-U need to be clarified to capture the impact of acquiring the available PRACH and occasion the UL transmission dropping due to LBT failure.</w:t>
      </w:r>
    </w:p>
    <w:p w:rsidR="006100BC" w:rsidRPr="006100BC" w:rsidRDefault="006100BC" w:rsidP="006100BC">
      <w:pPr>
        <w:rPr>
          <w:b/>
        </w:rPr>
      </w:pPr>
      <w:r w:rsidRPr="006100BC">
        <w:rPr>
          <w:b/>
        </w:rPr>
        <w:t>Proposal 1: The description of interruption uncertainty of the handover procedure in NR-U should be clarified as:</w:t>
      </w:r>
    </w:p>
    <w:p w:rsidR="00A27140" w:rsidRPr="006100BC" w:rsidRDefault="006100BC" w:rsidP="006100BC">
      <w:pPr>
        <w:rPr>
          <w:b/>
        </w:rPr>
      </w:pPr>
      <w:r w:rsidRPr="006100BC">
        <w:rPr>
          <w:rFonts w:hint="eastAsia"/>
          <w:b/>
        </w:rPr>
        <w:t>“</w:t>
      </w:r>
      <w:r w:rsidRPr="006100BC">
        <w:rPr>
          <w:b/>
        </w:rPr>
        <w:t>T</w:t>
      </w:r>
      <w:r w:rsidRPr="006100BC">
        <w:rPr>
          <w:b/>
          <w:vertAlign w:val="subscript"/>
        </w:rPr>
        <w:t>IU</w:t>
      </w:r>
      <w:r w:rsidRPr="006100BC">
        <w:rPr>
          <w:b/>
        </w:rPr>
        <w:t xml:space="preserve"> is the interruption uncertainty due to the random access procedure when sending PRACH to the new cell.”</w:t>
      </w:r>
    </w:p>
    <w:p w:rsidR="006100BC" w:rsidRPr="006100BC" w:rsidRDefault="006100BC" w:rsidP="006100BC">
      <w:pPr>
        <w:rPr>
          <w:rFonts w:eastAsiaTheme="minorEastAsia"/>
          <w:b/>
          <w:lang w:eastAsia="zh-CN"/>
        </w:rPr>
      </w:pPr>
      <w:r w:rsidRPr="006100BC">
        <w:rPr>
          <w:rFonts w:eastAsiaTheme="minorEastAsia"/>
          <w:b/>
          <w:lang w:eastAsia="zh-CN"/>
        </w:rPr>
        <w:t>Observation 2:</w:t>
      </w:r>
      <w:r w:rsidRPr="006100BC">
        <w:rPr>
          <w:rFonts w:eastAsiaTheme="minorEastAsia" w:hint="eastAsia"/>
          <w:b/>
          <w:lang w:eastAsia="zh-CN"/>
        </w:rPr>
        <w:t xml:space="preserve"> </w:t>
      </w:r>
      <w:r w:rsidRPr="006100BC">
        <w:rPr>
          <w:rFonts w:eastAsiaTheme="minorEastAsia"/>
          <w:b/>
          <w:lang w:eastAsia="zh-CN"/>
        </w:rPr>
        <w:t>The interruption uncertainty related to PRACH transmission to the target cell depends on the maximum number of LBT failures defined in the UL LBT failure mechanism.</w:t>
      </w:r>
    </w:p>
    <w:p w:rsidR="006100BC" w:rsidRPr="006100BC" w:rsidRDefault="006100BC" w:rsidP="006100BC">
      <w:pPr>
        <w:rPr>
          <w:rFonts w:eastAsiaTheme="minorEastAsia"/>
          <w:b/>
          <w:lang w:eastAsia="zh-CN"/>
        </w:rPr>
      </w:pPr>
      <w:r w:rsidRPr="006100BC">
        <w:rPr>
          <w:rFonts w:eastAsiaTheme="minorEastAsia"/>
          <w:b/>
          <w:lang w:eastAsia="zh-CN"/>
        </w:rPr>
        <w:t>Proposal 2: From RAN4 perspective, we should wait for RAN2 decision on the UL LBT failure mechanism before making the requirements for T</w:t>
      </w:r>
      <w:r w:rsidRPr="006100BC">
        <w:rPr>
          <w:rFonts w:eastAsiaTheme="minorEastAsia"/>
          <w:b/>
          <w:vertAlign w:val="subscript"/>
          <w:lang w:eastAsia="zh-CN"/>
        </w:rPr>
        <w:t xml:space="preserve">IU </w:t>
      </w:r>
      <w:r w:rsidRPr="006100BC">
        <w:rPr>
          <w:rFonts w:eastAsiaTheme="minorEastAsia"/>
          <w:b/>
          <w:lang w:eastAsia="zh-CN"/>
        </w:rPr>
        <w:t>of the handover procedures in NR-U.</w:t>
      </w:r>
    </w:p>
    <w:p w:rsidR="00020698" w:rsidRPr="006100BC" w:rsidRDefault="00020698" w:rsidP="00382467">
      <w:pPr>
        <w:rPr>
          <w:b/>
          <w:bCs/>
        </w:rPr>
      </w:pPr>
    </w:p>
    <w:p w:rsidR="00382467" w:rsidRPr="002D2977" w:rsidRDefault="00382467" w:rsidP="00382467">
      <w:pPr>
        <w:pStyle w:val="1"/>
        <w:tabs>
          <w:tab w:val="clear" w:pos="432"/>
        </w:tabs>
        <w:ind w:left="0" w:firstLine="0"/>
        <w:rPr>
          <w:lang w:val="en-US"/>
        </w:rPr>
      </w:pPr>
      <w:r w:rsidRPr="002D2977">
        <w:rPr>
          <w:lang w:val="en-US"/>
        </w:rPr>
        <w:t>References</w:t>
      </w:r>
    </w:p>
    <w:p w:rsidR="00382467" w:rsidRPr="002D2977" w:rsidRDefault="00382467" w:rsidP="00382467">
      <w:pPr>
        <w:rPr>
          <w:lang w:val="en-US"/>
        </w:rPr>
      </w:pPr>
      <w:r w:rsidRPr="002D2977">
        <w:rPr>
          <w:lang w:val="en-US"/>
        </w:rPr>
        <w:t>[1] R4-1910551 “WF on RRM Requirements for NR-U”</w:t>
      </w:r>
    </w:p>
    <w:p w:rsidR="00382467" w:rsidRDefault="004468FE" w:rsidP="00382467">
      <w:pPr>
        <w:rPr>
          <w:rFonts w:eastAsiaTheme="minorEastAsia"/>
          <w:lang w:val="en-US" w:eastAsia="zh-CN"/>
        </w:rPr>
      </w:pP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w:t>
      </w:r>
      <w:r w:rsidR="00DD5110">
        <w:rPr>
          <w:rFonts w:eastAsiaTheme="minorEastAsia"/>
          <w:lang w:val="en-US" w:eastAsia="zh-CN"/>
        </w:rPr>
        <w:t>TS 38.133</w:t>
      </w:r>
    </w:p>
    <w:p w:rsidR="00DA14A7" w:rsidRPr="0084672D" w:rsidRDefault="00DD5110">
      <w:pPr>
        <w:rPr>
          <w:rFonts w:eastAsiaTheme="minorEastAsia"/>
          <w:lang w:val="en-US" w:eastAsia="zh-CN"/>
        </w:rPr>
      </w:pPr>
      <w:r>
        <w:rPr>
          <w:rFonts w:eastAsiaTheme="minorEastAsia"/>
          <w:lang w:val="en-US" w:eastAsia="zh-CN"/>
        </w:rPr>
        <w:t>[3] TS 38.331</w:t>
      </w:r>
    </w:p>
    <w:sectPr w:rsidR="00DA14A7" w:rsidRPr="0084672D" w:rsidSect="009F448B">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2B9" w:rsidRDefault="00C222B9">
      <w:pPr>
        <w:spacing w:after="0"/>
      </w:pPr>
      <w:r>
        <w:separator/>
      </w:r>
    </w:p>
  </w:endnote>
  <w:endnote w:type="continuationSeparator" w:id="0">
    <w:p w:rsidR="00C222B9" w:rsidRDefault="00C222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0BC" w:rsidRDefault="006100B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6100BC" w:rsidRDefault="006100B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0BC" w:rsidRDefault="006100B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2559B">
      <w:rPr>
        <w:rStyle w:val="a5"/>
      </w:rPr>
      <w:t>1</w:t>
    </w:r>
    <w:r>
      <w:rPr>
        <w:rStyle w:val="a5"/>
      </w:rPr>
      <w:fldChar w:fldCharType="end"/>
    </w:r>
  </w:p>
  <w:p w:rsidR="006100BC" w:rsidRDefault="006100B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2B9" w:rsidRDefault="00C222B9">
      <w:pPr>
        <w:spacing w:after="0"/>
      </w:pPr>
      <w:r>
        <w:separator/>
      </w:r>
    </w:p>
  </w:footnote>
  <w:footnote w:type="continuationSeparator" w:id="0">
    <w:p w:rsidR="00C222B9" w:rsidRDefault="00C222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064E7"/>
    <w:multiLevelType w:val="hybridMultilevel"/>
    <w:tmpl w:val="8690AAF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651"/>
    <w:rsid w:val="00020698"/>
    <w:rsid w:val="00033169"/>
    <w:rsid w:val="00035899"/>
    <w:rsid w:val="00111C21"/>
    <w:rsid w:val="00125951"/>
    <w:rsid w:val="001373A5"/>
    <w:rsid w:val="001D408A"/>
    <w:rsid w:val="001E7836"/>
    <w:rsid w:val="00261FA0"/>
    <w:rsid w:val="002878E2"/>
    <w:rsid w:val="002B7EA1"/>
    <w:rsid w:val="002C242F"/>
    <w:rsid w:val="002E668C"/>
    <w:rsid w:val="00304A2F"/>
    <w:rsid w:val="00326C78"/>
    <w:rsid w:val="00382467"/>
    <w:rsid w:val="003D5DE6"/>
    <w:rsid w:val="003F2F01"/>
    <w:rsid w:val="00433636"/>
    <w:rsid w:val="004468FE"/>
    <w:rsid w:val="004F3237"/>
    <w:rsid w:val="00505F60"/>
    <w:rsid w:val="006100BC"/>
    <w:rsid w:val="00691CBC"/>
    <w:rsid w:val="00692A8F"/>
    <w:rsid w:val="007C4F41"/>
    <w:rsid w:val="007D0DF7"/>
    <w:rsid w:val="0080370B"/>
    <w:rsid w:val="0084672D"/>
    <w:rsid w:val="008B0290"/>
    <w:rsid w:val="009370EC"/>
    <w:rsid w:val="00986469"/>
    <w:rsid w:val="009F448B"/>
    <w:rsid w:val="00A2559B"/>
    <w:rsid w:val="00A27140"/>
    <w:rsid w:val="00A43B39"/>
    <w:rsid w:val="00AC643D"/>
    <w:rsid w:val="00B35651"/>
    <w:rsid w:val="00B657C2"/>
    <w:rsid w:val="00C222B9"/>
    <w:rsid w:val="00C44732"/>
    <w:rsid w:val="00C517B1"/>
    <w:rsid w:val="00C564D7"/>
    <w:rsid w:val="00CD78AA"/>
    <w:rsid w:val="00CF3EDB"/>
    <w:rsid w:val="00D732D1"/>
    <w:rsid w:val="00D86490"/>
    <w:rsid w:val="00DA14A7"/>
    <w:rsid w:val="00DD5110"/>
    <w:rsid w:val="00E637F1"/>
    <w:rsid w:val="00E73F9D"/>
    <w:rsid w:val="00EF26B1"/>
    <w:rsid w:val="00F07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EA0AEF-7531-4044-8EBD-4709811C7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2467"/>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382467"/>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382467"/>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82467"/>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382467"/>
    <w:rPr>
      <w:rFonts w:ascii="Arial" w:eastAsia="MS Mincho" w:hAnsi="Arial" w:cs="Times New Roman"/>
      <w:b/>
      <w:noProof/>
      <w:kern w:val="0"/>
      <w:sz w:val="18"/>
      <w:szCs w:val="20"/>
      <w:lang w:eastAsia="en-US"/>
    </w:rPr>
  </w:style>
  <w:style w:type="paragraph" w:styleId="a4">
    <w:name w:val="footer"/>
    <w:basedOn w:val="a3"/>
    <w:link w:val="Char0"/>
    <w:rsid w:val="00382467"/>
    <w:pPr>
      <w:jc w:val="center"/>
    </w:pPr>
    <w:rPr>
      <w:i/>
    </w:rPr>
  </w:style>
  <w:style w:type="character" w:customStyle="1" w:styleId="Char0">
    <w:name w:val="页脚 Char"/>
    <w:basedOn w:val="a0"/>
    <w:link w:val="a4"/>
    <w:rsid w:val="00382467"/>
    <w:rPr>
      <w:rFonts w:ascii="Arial" w:eastAsia="MS Mincho" w:hAnsi="Arial" w:cs="Times New Roman"/>
      <w:b/>
      <w:i/>
      <w:noProof/>
      <w:kern w:val="0"/>
      <w:sz w:val="18"/>
      <w:szCs w:val="20"/>
      <w:lang w:eastAsia="en-US"/>
    </w:rPr>
  </w:style>
  <w:style w:type="character" w:styleId="a5">
    <w:name w:val="page number"/>
    <w:basedOn w:val="a0"/>
    <w:rsid w:val="00382467"/>
  </w:style>
  <w:style w:type="paragraph" w:customStyle="1" w:styleId="3GPPHeader">
    <w:name w:val="3GPP_Header"/>
    <w:basedOn w:val="a"/>
    <w:rsid w:val="00382467"/>
    <w:pPr>
      <w:tabs>
        <w:tab w:val="left" w:pos="1701"/>
        <w:tab w:val="right" w:pos="9639"/>
      </w:tabs>
      <w:spacing w:after="240" w:line="259" w:lineRule="auto"/>
    </w:pPr>
    <w:rPr>
      <w:rFonts w:ascii="Arial" w:eastAsia="Calibri" w:hAnsi="Arial"/>
      <w:b/>
      <w:sz w:val="24"/>
      <w:szCs w:val="22"/>
      <w:lang w:val="sv-SE" w:eastAsia="zh-CN"/>
    </w:rPr>
  </w:style>
  <w:style w:type="paragraph" w:styleId="a6">
    <w:name w:val="List Paragraph"/>
    <w:basedOn w:val="a"/>
    <w:uiPriority w:val="34"/>
    <w:qFormat/>
    <w:rsid w:val="00033169"/>
    <w:pPr>
      <w:ind w:firstLineChars="200" w:firstLine="420"/>
    </w:pPr>
  </w:style>
  <w:style w:type="paragraph" w:customStyle="1" w:styleId="Doc-text2">
    <w:name w:val="Doc-text2"/>
    <w:basedOn w:val="a"/>
    <w:link w:val="Doc-text2Char"/>
    <w:qFormat/>
    <w:rsid w:val="003D5DE6"/>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3D5DE6"/>
    <w:rPr>
      <w:rFonts w:ascii="Arial" w:eastAsia="MS Mincho" w:hAnsi="Arial" w:cs="Times New Roman"/>
      <w:kern w:val="0"/>
      <w:sz w:val="20"/>
      <w:szCs w:val="24"/>
      <w:lang w:val="en-GB" w:eastAsia="en-GB"/>
    </w:rPr>
  </w:style>
  <w:style w:type="paragraph" w:customStyle="1" w:styleId="Agreement">
    <w:name w:val="Agreement"/>
    <w:basedOn w:val="a"/>
    <w:next w:val="Doc-text2"/>
    <w:rsid w:val="003D5DE6"/>
    <w:pPr>
      <w:numPr>
        <w:numId w:val="3"/>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041654">
      <w:bodyDiv w:val="1"/>
      <w:marLeft w:val="0"/>
      <w:marRight w:val="0"/>
      <w:marTop w:val="0"/>
      <w:marBottom w:val="0"/>
      <w:divBdr>
        <w:top w:val="none" w:sz="0" w:space="0" w:color="auto"/>
        <w:left w:val="none" w:sz="0" w:space="0" w:color="auto"/>
        <w:bottom w:val="none" w:sz="0" w:space="0" w:color="auto"/>
        <w:right w:val="none" w:sz="0" w:space="0" w:color="auto"/>
      </w:divBdr>
    </w:div>
    <w:div w:id="6978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BC22B-20D6-485D-BD15-2ABE89211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713</Words>
  <Characters>4070</Characters>
  <Application>Microsoft Office Word</Application>
  <DocSecurity>0</DocSecurity>
  <Lines>33</Lines>
  <Paragraphs>9</Paragraphs>
  <ScaleCrop>false</ScaleCrop>
  <Company>Huawei Technologies Co.,Ltd.</Company>
  <LinksUpToDate>false</LinksUpToDate>
  <CharactersWithSpaces>4774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2019-10-04T13:57:00Z</dcterms:created>
  <dcterms:modified xsi:type="dcterms:W3CDTF">2019-10-04T13:57:00Z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(3)MbjxY14sjaE5czTY9Owbr6CmmPgK0VC8FZwN/5RJL+0VU3C1YvDZ0c6QYIb+z1vNHq8/EpyJ
rPUqY1zGeik2t2Dis+ik6U53NxG8bAPh7qOXSFCFLBmcU71GMVGRNgp253xgb55qOu9nl0mF
fS3uL9y4Mv9a4Gs/8/dtm8mWCLE/wtU4Ecwvefwtekut+HUrrrH7KTUEsR1EnQPVtdkeBnzT
c/hGvfTED5AMeiVirE</vt:lpwstr>
  </property>
  <property fmtid="{D5CDD505-2E9C-101B-9397-08002B2CF9AE}" pid="3" name="_2015_ms_pID_7253431">
    <vt:lpwstr>3XnaKNd1lt3vxrOjxiACkYLj4Elys9nU0Hbd1QtdoZ9fYaULHfFhBv
80sAtcKEcCvhWMPe0UZ97X0o3/fWuhRZmaVoo8OKnVcXZHnEK9xekFJHcA+LnqJRWlkS8gkf
CYJjktlvzH3sZJuiZtMY37R2jPrNvr8MUQuKEMbQ/mc82pj4nBrzSUyK2Frbz7ZCmUH1tK9D
GG8XxkucLV60lAcSOxOGa0p5sAGWk3vkU0O+</vt:lpwstr>
  </property>
  <property fmtid="{D5CDD505-2E9C-101B-9397-08002B2CF9AE}" pid="4" name="_2015_ms_pID_7253432">
    <vt:lpwstr>kg==</vt:lpwstr>
  </property>
</Properties>
</file>