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CB714" w14:textId="2435CEAD" w:rsidR="00AC3C7A" w:rsidRPr="00067A98" w:rsidRDefault="00AC3C7A" w:rsidP="00AC3C7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>
        <w:rPr>
          <w:rFonts w:ascii="Arial" w:hAnsi="Arial"/>
          <w:b/>
          <w:noProof/>
          <w:sz w:val="24"/>
        </w:rPr>
        <w:t>-Bis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Pr="00CA77D2">
        <w:rPr>
          <w:rFonts w:ascii="Arial" w:hAnsi="Arial"/>
          <w:b/>
          <w:i/>
          <w:noProof/>
          <w:sz w:val="28"/>
        </w:rPr>
        <w:t>R4-</w:t>
      </w:r>
      <w:r w:rsidR="008D36CF" w:rsidRPr="00CA77D2">
        <w:rPr>
          <w:rFonts w:ascii="Arial" w:hAnsi="Arial"/>
          <w:b/>
          <w:i/>
          <w:noProof/>
          <w:sz w:val="28"/>
        </w:rPr>
        <w:t>19</w:t>
      </w:r>
      <w:r w:rsidR="008D36CF">
        <w:rPr>
          <w:rFonts w:ascii="Arial" w:hAnsi="Arial"/>
          <w:b/>
          <w:i/>
          <w:noProof/>
          <w:sz w:val="28"/>
        </w:rPr>
        <w:t>11845</w:t>
      </w:r>
    </w:p>
    <w:p w14:paraId="5C2B74C7" w14:textId="7548EFCA" w:rsidR="00B70FF7" w:rsidRDefault="00AC3C7A" w:rsidP="00AC3C7A">
      <w:pPr>
        <w:pStyle w:val="BodyText"/>
        <w:rPr>
          <w:rFonts w:ascii="Arial" w:hAnsi="Arial"/>
          <w:b/>
          <w:lang w:eastAsia="zh-CN"/>
        </w:rPr>
      </w:pPr>
      <w:r w:rsidRPr="00FD4989">
        <w:rPr>
          <w:rFonts w:ascii="Arial" w:hAnsi="Arial"/>
          <w:b/>
          <w:lang w:eastAsia="zh-CN"/>
        </w:rPr>
        <w:t>Chongqing, CN</w:t>
      </w:r>
      <w:r w:rsidRPr="00F644CF">
        <w:rPr>
          <w:rFonts w:ascii="Arial" w:hAnsi="Arial"/>
          <w:b/>
          <w:lang w:eastAsia="zh-CN"/>
        </w:rPr>
        <w:t xml:space="preserve">, </w:t>
      </w:r>
      <w:r>
        <w:rPr>
          <w:rFonts w:ascii="Arial" w:hAnsi="Arial"/>
          <w:b/>
          <w:lang w:eastAsia="zh-CN"/>
        </w:rPr>
        <w:t>14</w:t>
      </w:r>
      <w:r w:rsidRPr="0022145D">
        <w:rPr>
          <w:rFonts w:ascii="Arial" w:hAnsi="Arial"/>
          <w:b/>
          <w:vertAlign w:val="superscript"/>
          <w:lang w:eastAsia="zh-CN"/>
        </w:rPr>
        <w:t>h</w:t>
      </w:r>
      <w:r>
        <w:rPr>
          <w:rFonts w:ascii="Arial" w:hAnsi="Arial"/>
          <w:b/>
          <w:lang w:eastAsia="zh-CN"/>
        </w:rPr>
        <w:t>–</w:t>
      </w:r>
      <w:r w:rsidRPr="00F644CF">
        <w:rPr>
          <w:rFonts w:ascii="Arial" w:hAnsi="Arial" w:hint="eastAsia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18</w:t>
      </w:r>
      <w:r>
        <w:rPr>
          <w:rFonts w:ascii="Arial" w:hAnsi="Arial"/>
          <w:b/>
          <w:vertAlign w:val="superscript"/>
          <w:lang w:eastAsia="zh-CN"/>
        </w:rPr>
        <w:t>th</w:t>
      </w:r>
      <w:r>
        <w:rPr>
          <w:rFonts w:ascii="Arial" w:hAnsi="Arial"/>
          <w:b/>
          <w:lang w:eastAsia="zh-CN"/>
        </w:rPr>
        <w:t xml:space="preserve"> </w:t>
      </w:r>
      <w:proofErr w:type="gramStart"/>
      <w:r>
        <w:rPr>
          <w:rFonts w:ascii="Arial" w:hAnsi="Arial"/>
          <w:b/>
          <w:lang w:eastAsia="zh-CN"/>
        </w:rPr>
        <w:t>October</w:t>
      </w:r>
      <w:r w:rsidRPr="00F644CF">
        <w:rPr>
          <w:rFonts w:ascii="Arial" w:hAnsi="Arial"/>
          <w:b/>
          <w:lang w:eastAsia="zh-CN"/>
        </w:rPr>
        <w:t>,</w:t>
      </w:r>
      <w:proofErr w:type="gramEnd"/>
      <w:r w:rsidRPr="00F644CF">
        <w:rPr>
          <w:rFonts w:ascii="Arial" w:hAnsi="Arial"/>
          <w:b/>
          <w:lang w:eastAsia="zh-CN"/>
        </w:rPr>
        <w:t xml:space="preserve"> 201</w:t>
      </w:r>
      <w:r>
        <w:rPr>
          <w:rFonts w:ascii="Arial" w:hAnsi="Arial"/>
          <w:b/>
          <w:lang w:eastAsia="zh-CN"/>
        </w:rPr>
        <w:t>9</w:t>
      </w:r>
    </w:p>
    <w:p w14:paraId="0A240555" w14:textId="77777777" w:rsidR="00664DA8" w:rsidRPr="00871FA6" w:rsidRDefault="00664DA8" w:rsidP="00AC3C7A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E19C60" w14:textId="3C28AF9F" w:rsidR="00AE68D1" w:rsidRPr="0048212B" w:rsidRDefault="00664D98" w:rsidP="00AE68D1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7336E9">
        <w:t xml:space="preserve">Discussion on </w:t>
      </w:r>
      <w:r w:rsidR="007336E9" w:rsidRPr="007336E9">
        <w:t>extending the scope of current NR EMC specification</w:t>
      </w:r>
      <w:r w:rsidR="004113A9" w:rsidRPr="004113A9">
        <w:t xml:space="preserve"> for IAB</w:t>
      </w:r>
    </w:p>
    <w:p w14:paraId="7E9B3BA8" w14:textId="4074182B" w:rsidR="00664D98" w:rsidRPr="00EA35DE" w:rsidRDefault="00664D98" w:rsidP="00664D98">
      <w:pPr>
        <w:pStyle w:val="BodyText"/>
        <w:spacing w:after="120"/>
      </w:pPr>
      <w:r w:rsidRPr="00EA35DE">
        <w:rPr>
          <w:b/>
        </w:rPr>
        <w:t>Agenda item:</w:t>
      </w:r>
      <w:r w:rsidRPr="00EA35DE">
        <w:rPr>
          <w:b/>
        </w:rPr>
        <w:tab/>
      </w:r>
      <w:r w:rsidRPr="00EA35DE">
        <w:rPr>
          <w:b/>
        </w:rPr>
        <w:tab/>
      </w:r>
      <w:r w:rsidR="00C46C96" w:rsidRPr="00EA35DE">
        <w:t xml:space="preserve"> </w:t>
      </w:r>
      <w:r w:rsidR="00EA08AD">
        <w:t>8.5.5</w:t>
      </w:r>
    </w:p>
    <w:p w14:paraId="244C963E" w14:textId="3D525991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2A4AF0">
        <w:t>Approval</w:t>
      </w:r>
    </w:p>
    <w:p w14:paraId="292C85E4" w14:textId="77777777" w:rsidR="00664D98" w:rsidRPr="00E43493" w:rsidRDefault="00664D98" w:rsidP="00664D98">
      <w:pPr>
        <w:pStyle w:val="Heading1"/>
        <w:rPr>
          <w:b/>
          <w:lang w:val="en-US"/>
        </w:rPr>
      </w:pPr>
      <w:r w:rsidRPr="00E43493">
        <w:rPr>
          <w:b/>
          <w:lang w:val="en-US"/>
        </w:rPr>
        <w:t>Introduction</w:t>
      </w:r>
    </w:p>
    <w:p w14:paraId="6A736EF5" w14:textId="1BCC3090" w:rsidR="00F573F5" w:rsidRPr="00715255" w:rsidRDefault="00F573F5" w:rsidP="00F573F5">
      <w:pPr>
        <w:spacing w:line="276" w:lineRule="auto"/>
        <w:rPr>
          <w:color w:val="000000" w:themeColor="text1"/>
          <w:sz w:val="22"/>
          <w:szCs w:val="22"/>
        </w:rPr>
      </w:pPr>
      <w:r w:rsidRPr="00492BD1">
        <w:rPr>
          <w:color w:val="000000" w:themeColor="text1"/>
          <w:sz w:val="22"/>
          <w:szCs w:val="22"/>
        </w:rPr>
        <w:t xml:space="preserve">This contribution aims at providing </w:t>
      </w:r>
      <w:r w:rsidR="00E767B7">
        <w:rPr>
          <w:color w:val="000000" w:themeColor="text1"/>
          <w:sz w:val="22"/>
          <w:szCs w:val="22"/>
        </w:rPr>
        <w:t xml:space="preserve">arguments in the favour of extending the scope of current NR EMC specification </w:t>
      </w:r>
      <w:r w:rsidR="00EB53C9">
        <w:rPr>
          <w:color w:val="000000" w:themeColor="text1"/>
          <w:sz w:val="22"/>
          <w:szCs w:val="22"/>
        </w:rPr>
        <w:t>for IAB</w:t>
      </w:r>
      <w:r w:rsidR="007F6BAB">
        <w:rPr>
          <w:color w:val="000000" w:themeColor="text1"/>
          <w:sz w:val="22"/>
          <w:szCs w:val="22"/>
        </w:rPr>
        <w:t xml:space="preserve"> nodes, instead of creating a new EMC specification for IAB nodes</w:t>
      </w:r>
      <w:r w:rsidR="009A3670">
        <w:rPr>
          <w:color w:val="000000" w:themeColor="text1"/>
          <w:sz w:val="22"/>
          <w:szCs w:val="22"/>
        </w:rPr>
        <w:t xml:space="preserve">. </w:t>
      </w:r>
    </w:p>
    <w:p w14:paraId="47A8774F" w14:textId="4284365B" w:rsidR="002E57B8" w:rsidRPr="00E43493" w:rsidRDefault="002E57B8" w:rsidP="002E57B8">
      <w:pPr>
        <w:pStyle w:val="Heading1"/>
        <w:rPr>
          <w:b/>
        </w:rPr>
      </w:pPr>
      <w:r w:rsidRPr="00E43493">
        <w:rPr>
          <w:b/>
        </w:rPr>
        <w:t>Discussion</w:t>
      </w:r>
    </w:p>
    <w:p w14:paraId="3FE6846F" w14:textId="6BB8CB14" w:rsidR="00095558" w:rsidRPr="00CE61F2" w:rsidRDefault="00095558" w:rsidP="00095558">
      <w:pPr>
        <w:pStyle w:val="Heading2"/>
        <w:jc w:val="both"/>
        <w:rPr>
          <w:b/>
        </w:rPr>
      </w:pPr>
      <w:r>
        <w:rPr>
          <w:b/>
        </w:rPr>
        <w:t>Integrated Access and Backhaul</w:t>
      </w:r>
    </w:p>
    <w:p w14:paraId="5835B7EA" w14:textId="3C1FCAB3" w:rsidR="005F3F36" w:rsidRDefault="00821F4A" w:rsidP="005F3F36">
      <w:pPr>
        <w:spacing w:line="276" w:lineRule="auto"/>
        <w:jc w:val="both"/>
        <w:rPr>
          <w:color w:val="000000" w:themeColor="text1"/>
          <w:sz w:val="22"/>
          <w:szCs w:val="22"/>
        </w:rPr>
      </w:pPr>
      <w:bookmarkStart w:id="0" w:name="_Hlk16584963"/>
      <w:r>
        <w:rPr>
          <w:color w:val="000000" w:themeColor="text1"/>
          <w:sz w:val="22"/>
          <w:szCs w:val="22"/>
        </w:rPr>
        <w:t>IAB (</w:t>
      </w:r>
      <w:r w:rsidR="00E92D69" w:rsidRPr="00E92D69">
        <w:rPr>
          <w:color w:val="000000" w:themeColor="text1"/>
          <w:sz w:val="22"/>
          <w:szCs w:val="22"/>
          <w:lang w:val="en-US"/>
        </w:rPr>
        <w:t>Integrated Access and Backhaul</w:t>
      </w:r>
      <w:r>
        <w:rPr>
          <w:color w:val="000000" w:themeColor="text1"/>
          <w:sz w:val="22"/>
          <w:szCs w:val="22"/>
        </w:rPr>
        <w:t>)</w:t>
      </w:r>
      <w:r w:rsidR="00156303">
        <w:rPr>
          <w:color w:val="000000" w:themeColor="text1"/>
          <w:sz w:val="22"/>
          <w:szCs w:val="22"/>
        </w:rPr>
        <w:t xml:space="preserve"> </w:t>
      </w:r>
      <w:r w:rsidR="00A65B03">
        <w:rPr>
          <w:color w:val="000000" w:themeColor="text1"/>
          <w:sz w:val="22"/>
          <w:szCs w:val="22"/>
        </w:rPr>
        <w:t>i</w:t>
      </w:r>
      <w:r w:rsidR="00DF0FC7" w:rsidRPr="00DF0FC7">
        <w:rPr>
          <w:color w:val="000000" w:themeColor="text1"/>
          <w:sz w:val="22"/>
          <w:szCs w:val="22"/>
          <w:lang w:val="en-US"/>
        </w:rPr>
        <w:t>s essentially about NR self-backhauling, i.e. using NR, the new 5G radio-access technology, not only for the access link, but also as a wireless backhaul technology</w:t>
      </w:r>
      <w:r w:rsidR="005F3F36">
        <w:rPr>
          <w:color w:val="000000" w:themeColor="text1"/>
          <w:sz w:val="22"/>
          <w:szCs w:val="22"/>
          <w:lang w:val="en-US"/>
        </w:rPr>
        <w:t xml:space="preserve"> </w:t>
      </w:r>
      <w:r w:rsidR="005F3F36" w:rsidRPr="00156303">
        <w:rPr>
          <w:color w:val="000000" w:themeColor="text1"/>
          <w:sz w:val="22"/>
          <w:szCs w:val="22"/>
        </w:rPr>
        <w:t xml:space="preserve">(instead of </w:t>
      </w:r>
      <w:proofErr w:type="spellStart"/>
      <w:r w:rsidR="005F3F36" w:rsidRPr="00156303">
        <w:rPr>
          <w:color w:val="000000" w:themeColor="text1"/>
          <w:sz w:val="22"/>
          <w:szCs w:val="22"/>
        </w:rPr>
        <w:t>fiber</w:t>
      </w:r>
      <w:proofErr w:type="spellEnd"/>
      <w:r w:rsidR="005F3F36" w:rsidRPr="00156303">
        <w:rPr>
          <w:color w:val="000000" w:themeColor="text1"/>
          <w:sz w:val="22"/>
          <w:szCs w:val="22"/>
        </w:rPr>
        <w:t xml:space="preserve">) to enable flexible and very dense deployment of cells without the need for pulling </w:t>
      </w:r>
      <w:proofErr w:type="spellStart"/>
      <w:r w:rsidR="005F3F36" w:rsidRPr="00156303">
        <w:rPr>
          <w:color w:val="000000" w:themeColor="text1"/>
          <w:sz w:val="22"/>
          <w:szCs w:val="22"/>
        </w:rPr>
        <w:t>fiber</w:t>
      </w:r>
      <w:proofErr w:type="spellEnd"/>
      <w:r w:rsidR="005F3F36" w:rsidRPr="00156303">
        <w:rPr>
          <w:color w:val="000000" w:themeColor="text1"/>
          <w:sz w:val="22"/>
          <w:szCs w:val="22"/>
        </w:rPr>
        <w:t xml:space="preserve"> to new sites</w:t>
      </w:r>
      <w:r w:rsidR="005F3F36">
        <w:rPr>
          <w:color w:val="000000" w:themeColor="text1"/>
          <w:sz w:val="22"/>
          <w:szCs w:val="22"/>
        </w:rPr>
        <w:t xml:space="preserve">. </w:t>
      </w:r>
      <w:r w:rsidR="00C529C0" w:rsidRPr="00C529C0">
        <w:rPr>
          <w:color w:val="000000" w:themeColor="text1"/>
          <w:sz w:val="22"/>
          <w:szCs w:val="22"/>
        </w:rPr>
        <w:t>A key benefit of IAB is enabling flexible and very dense deployment of NR cells without densifying the transport network proportionately. A diverse range of deployment scenarios can be envisioned including support for outdoor small cell deployments, indoors, or even mobile relays (e.g. on buses or trains).</w:t>
      </w:r>
      <w:bookmarkEnd w:id="0"/>
    </w:p>
    <w:p w14:paraId="2734013E" w14:textId="20C326CC" w:rsidR="000E3B91" w:rsidRDefault="000E3B91" w:rsidP="005F3F36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8F0CE1">
        <w:rPr>
          <w:color w:val="000000" w:themeColor="text1"/>
          <w:sz w:val="22"/>
          <w:szCs w:val="22"/>
        </w:rPr>
        <w:t>In-band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(i.e., the access and the backhaul traffic are multiplexed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over the same frequency band)</w:t>
      </w:r>
      <w:r w:rsidRPr="008F0CE1">
        <w:rPr>
          <w:color w:val="000000" w:themeColor="text1"/>
          <w:sz w:val="22"/>
          <w:szCs w:val="22"/>
        </w:rPr>
        <w:t xml:space="preserve"> and out-of-band </w:t>
      </w:r>
      <w:r w:rsidRPr="0057626E">
        <w:rPr>
          <w:color w:val="000000" w:themeColor="text1"/>
          <w:sz w:val="22"/>
          <w:szCs w:val="22"/>
        </w:rPr>
        <w:t>(i.e., the access and the backhaul traffic use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 xml:space="preserve">separate </w:t>
      </w:r>
      <w:r w:rsidR="00CC7772">
        <w:rPr>
          <w:color w:val="000000" w:themeColor="text1"/>
          <w:sz w:val="22"/>
          <w:szCs w:val="22"/>
        </w:rPr>
        <w:t xml:space="preserve">carrier or </w:t>
      </w:r>
      <w:r w:rsidRPr="0057626E">
        <w:rPr>
          <w:color w:val="000000" w:themeColor="text1"/>
          <w:sz w:val="22"/>
          <w:szCs w:val="22"/>
        </w:rPr>
        <w:t>frequency bands)</w:t>
      </w:r>
      <w:r>
        <w:rPr>
          <w:color w:val="000000" w:themeColor="text1"/>
          <w:sz w:val="22"/>
          <w:szCs w:val="22"/>
        </w:rPr>
        <w:t xml:space="preserve"> </w:t>
      </w:r>
      <w:r w:rsidRPr="008F0CE1">
        <w:rPr>
          <w:color w:val="000000" w:themeColor="text1"/>
          <w:sz w:val="22"/>
          <w:szCs w:val="22"/>
        </w:rPr>
        <w:t>backhauling with respect to the access link represent important use cases for IAB.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According to [</w:t>
      </w:r>
      <w:r>
        <w:rPr>
          <w:color w:val="000000" w:themeColor="text1"/>
          <w:sz w:val="22"/>
          <w:szCs w:val="22"/>
        </w:rPr>
        <w:t>1</w:t>
      </w:r>
      <w:r w:rsidRPr="0057626E">
        <w:rPr>
          <w:color w:val="000000" w:themeColor="text1"/>
          <w:sz w:val="22"/>
          <w:szCs w:val="22"/>
        </w:rPr>
        <w:t>],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IAB operations are spectrum agnostic, thus the relays can be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deployed either in the above-6 GHz or sub-6 GHz spectrum,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operat</w:t>
      </w:r>
      <w:r>
        <w:rPr>
          <w:color w:val="000000" w:themeColor="text1"/>
          <w:sz w:val="22"/>
          <w:szCs w:val="22"/>
        </w:rPr>
        <w:t>ing</w:t>
      </w:r>
      <w:r w:rsidRPr="0057626E">
        <w:rPr>
          <w:color w:val="000000" w:themeColor="text1"/>
          <w:sz w:val="22"/>
          <w:szCs w:val="22"/>
        </w:rPr>
        <w:t xml:space="preserve"> both in standalone (SA) (connected to the 5G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 xml:space="preserve">core network) or </w:t>
      </w:r>
      <w:proofErr w:type="gramStart"/>
      <w:r w:rsidRPr="0057626E">
        <w:rPr>
          <w:color w:val="000000" w:themeColor="text1"/>
          <w:sz w:val="22"/>
          <w:szCs w:val="22"/>
        </w:rPr>
        <w:t>Non Stand</w:t>
      </w:r>
      <w:proofErr w:type="gramEnd"/>
      <w:r w:rsidRPr="0057626E">
        <w:rPr>
          <w:color w:val="000000" w:themeColor="text1"/>
          <w:sz w:val="22"/>
          <w:szCs w:val="22"/>
        </w:rPr>
        <w:t xml:space="preserve"> Alone (NSA) modes (connected to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the 4G Evolved Packet Core (EPC)). The possible topologies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for an IAB network are (i) a Spanning Tree (ST), in which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each IAB-node is connected to a single parent, or (ii) a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Directed Acyclic Graph (DAG), in which each IAB-node may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be connected to multiple upstream nodes.</w:t>
      </w:r>
    </w:p>
    <w:p w14:paraId="5C36DC11" w14:textId="77777777" w:rsidR="000E3B91" w:rsidRDefault="000E3B91" w:rsidP="000E3B91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As shown in Figure 1, </w:t>
      </w:r>
      <w:r w:rsidRPr="00853660">
        <w:rPr>
          <w:color w:val="000000" w:themeColor="text1"/>
          <w:sz w:val="22"/>
          <w:szCs w:val="22"/>
        </w:rPr>
        <w:t>logical architecture of an IAB network</w:t>
      </w:r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>is composed of IAB-nodes, which have wireless</w:t>
      </w:r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 xml:space="preserve">backhauling capabilities and can serve User </w:t>
      </w:r>
      <w:proofErr w:type="spellStart"/>
      <w:r w:rsidRPr="00853660">
        <w:rPr>
          <w:color w:val="000000" w:themeColor="text1"/>
          <w:sz w:val="22"/>
          <w:szCs w:val="22"/>
        </w:rPr>
        <w:t>Equipments</w:t>
      </w:r>
      <w:proofErr w:type="spellEnd"/>
      <w:r w:rsidRPr="00853660">
        <w:rPr>
          <w:color w:val="000000" w:themeColor="text1"/>
          <w:sz w:val="22"/>
          <w:szCs w:val="22"/>
        </w:rPr>
        <w:t xml:space="preserve"> (UEs)</w:t>
      </w:r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 xml:space="preserve">as well as other IAB-nodes, and IAB-donors, which have </w:t>
      </w:r>
      <w:proofErr w:type="spellStart"/>
      <w:r w:rsidRPr="00853660">
        <w:rPr>
          <w:color w:val="000000" w:themeColor="text1"/>
          <w:sz w:val="22"/>
          <w:szCs w:val="22"/>
        </w:rPr>
        <w:t>fiber</w:t>
      </w:r>
      <w:proofErr w:type="spellEnd"/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>connectivity towards the core network and can serve UEs and</w:t>
      </w:r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>IAB-nodes.</w:t>
      </w:r>
      <w:r>
        <w:rPr>
          <w:color w:val="000000" w:themeColor="text1"/>
          <w:sz w:val="22"/>
          <w:szCs w:val="22"/>
        </w:rPr>
        <w:t xml:space="preserve"> E</w:t>
      </w:r>
      <w:r w:rsidRPr="00534C7D">
        <w:rPr>
          <w:color w:val="000000" w:themeColor="text1"/>
          <w:sz w:val="22"/>
          <w:szCs w:val="22"/>
        </w:rPr>
        <w:t>ach IAB-node hosts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two NR functions: (i) a Mobile Termination (MT), used to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maintain the wireless backhaul connection towards an upstream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IAB-node or IAB-donor, and (ii) a Distributed Unit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(DU), to provide access connection to the UEs or the downstream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MTs of other IAB-nodes. The DU connects to a CU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hosted by the IAB-donor by means of the NR F1</w:t>
      </w:r>
      <w:r>
        <w:rPr>
          <w:color w:val="000000" w:themeColor="text1"/>
          <w:sz w:val="22"/>
          <w:szCs w:val="22"/>
        </w:rPr>
        <w:t>*</w:t>
      </w:r>
      <w:r w:rsidRPr="00534C7D">
        <w:rPr>
          <w:color w:val="000000" w:themeColor="text1"/>
          <w:sz w:val="22"/>
          <w:szCs w:val="22"/>
        </w:rPr>
        <w:t xml:space="preserve"> interface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running over the wireless backhaul link. Therefore, in the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access of IAB-nodes and donors there is a coexistence of two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 xml:space="preserve">interfaces, i.e., the </w:t>
      </w:r>
      <w:proofErr w:type="spellStart"/>
      <w:r w:rsidRPr="00534C7D">
        <w:rPr>
          <w:color w:val="000000" w:themeColor="text1"/>
          <w:sz w:val="22"/>
          <w:szCs w:val="22"/>
        </w:rPr>
        <w:t>Uu</w:t>
      </w:r>
      <w:proofErr w:type="spellEnd"/>
      <w:r w:rsidRPr="00534C7D">
        <w:rPr>
          <w:color w:val="000000" w:themeColor="text1"/>
          <w:sz w:val="22"/>
          <w:szCs w:val="22"/>
        </w:rPr>
        <w:t xml:space="preserve"> interface (between the UEs and the DU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 xml:space="preserve">of the </w:t>
      </w:r>
      <w:proofErr w:type="spellStart"/>
      <w:r w:rsidRPr="00534C7D">
        <w:rPr>
          <w:color w:val="000000" w:themeColor="text1"/>
          <w:sz w:val="22"/>
          <w:szCs w:val="22"/>
        </w:rPr>
        <w:t>gNBs</w:t>
      </w:r>
      <w:proofErr w:type="spellEnd"/>
      <w:r w:rsidRPr="00534C7D">
        <w:rPr>
          <w:color w:val="000000" w:themeColor="text1"/>
          <w:sz w:val="22"/>
          <w:szCs w:val="22"/>
        </w:rPr>
        <w:t>) and the aforementioned F1</w:t>
      </w:r>
      <w:r>
        <w:rPr>
          <w:color w:val="000000" w:themeColor="text1"/>
          <w:sz w:val="22"/>
          <w:szCs w:val="22"/>
        </w:rPr>
        <w:t>*</w:t>
      </w:r>
      <w:r w:rsidRPr="00534C7D">
        <w:rPr>
          <w:color w:val="000000" w:themeColor="text1"/>
          <w:sz w:val="22"/>
          <w:szCs w:val="22"/>
        </w:rPr>
        <w:t xml:space="preserve"> interface.</w:t>
      </w:r>
    </w:p>
    <w:p w14:paraId="3FA56CC4" w14:textId="77777777" w:rsidR="000E3B91" w:rsidRDefault="000E3B91" w:rsidP="000E3B91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14:paraId="484A66F5" w14:textId="77777777" w:rsidR="000E3B91" w:rsidRDefault="000E3B91" w:rsidP="000E3B91">
      <w:pPr>
        <w:spacing w:line="276" w:lineRule="auto"/>
        <w:jc w:val="center"/>
        <w:rPr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1F32CE11" wp14:editId="7B1836B1">
            <wp:extent cx="4813300" cy="2180896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010" cy="2227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5C90FB" w14:textId="77777777" w:rsidR="000E3B91" w:rsidRPr="00874BAD" w:rsidRDefault="000E3B91" w:rsidP="000E3B91">
      <w:pPr>
        <w:tabs>
          <w:tab w:val="left" w:pos="3890"/>
        </w:tabs>
        <w:spacing w:line="276" w:lineRule="auto"/>
        <w:jc w:val="center"/>
        <w:rPr>
          <w:b/>
          <w:color w:val="000000" w:themeColor="text1"/>
          <w:sz w:val="22"/>
          <w:szCs w:val="22"/>
        </w:rPr>
      </w:pPr>
      <w:r w:rsidRPr="00874BAD">
        <w:rPr>
          <w:b/>
          <w:color w:val="000000" w:themeColor="text1"/>
          <w:sz w:val="22"/>
          <w:szCs w:val="22"/>
        </w:rPr>
        <w:t>Figure 1: Integrated access and backhaul links</w:t>
      </w:r>
    </w:p>
    <w:p w14:paraId="38D10EFF" w14:textId="77777777" w:rsidR="008B233B" w:rsidRDefault="00005B52" w:rsidP="00005B52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IAB</w:t>
      </w:r>
      <w:r w:rsidRPr="00005B52">
        <w:rPr>
          <w:color w:val="000000" w:themeColor="text1"/>
          <w:sz w:val="22"/>
          <w:szCs w:val="22"/>
        </w:rPr>
        <w:t xml:space="preserve"> has been studied earlier in 3GPP in the scope of LTE Rel-10. In this work an architecture was adopted where the Relay Node (RN) has the functionality of an LTE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and UE modem. The RN is connected to a donor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which has a S1/X2 proxy functionality hiding the RN from the rest of the network. The architecture enabled the Donor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to also be aware of the UEs behind the RN and hide any UE mobility between Donor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and Relay Nodes on the same Donor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from the CN.</w:t>
      </w:r>
      <w:r w:rsidR="008535D6">
        <w:rPr>
          <w:color w:val="000000" w:themeColor="text1"/>
          <w:sz w:val="22"/>
          <w:szCs w:val="22"/>
        </w:rPr>
        <w:t xml:space="preserve"> </w:t>
      </w:r>
      <w:r w:rsidR="00C87DF4" w:rsidRPr="00C87DF4">
        <w:rPr>
          <w:color w:val="000000" w:themeColor="text1"/>
          <w:sz w:val="22"/>
          <w:szCs w:val="22"/>
        </w:rPr>
        <w:t>The D</w:t>
      </w:r>
      <w:r w:rsidR="00C87DF4">
        <w:rPr>
          <w:color w:val="000000" w:themeColor="text1"/>
          <w:sz w:val="22"/>
          <w:szCs w:val="22"/>
        </w:rPr>
        <w:t xml:space="preserve">onor </w:t>
      </w:r>
      <w:proofErr w:type="spellStart"/>
      <w:r w:rsidR="00C87DF4" w:rsidRPr="00C87DF4">
        <w:rPr>
          <w:color w:val="000000" w:themeColor="text1"/>
          <w:sz w:val="22"/>
          <w:szCs w:val="22"/>
        </w:rPr>
        <w:t>eNB</w:t>
      </w:r>
      <w:proofErr w:type="spellEnd"/>
      <w:r w:rsidR="00C87DF4" w:rsidRPr="00C87DF4">
        <w:rPr>
          <w:color w:val="000000" w:themeColor="text1"/>
          <w:sz w:val="22"/>
          <w:szCs w:val="22"/>
        </w:rPr>
        <w:t xml:space="preserve"> not only shares its radio resources with the RN, but it also continues to deserve its own UEs. For a Donor </w:t>
      </w:r>
      <w:proofErr w:type="spellStart"/>
      <w:r w:rsidR="00C87DF4" w:rsidRPr="00C87DF4">
        <w:rPr>
          <w:color w:val="000000" w:themeColor="text1"/>
          <w:sz w:val="22"/>
          <w:szCs w:val="22"/>
        </w:rPr>
        <w:t>eNB</w:t>
      </w:r>
      <w:proofErr w:type="spellEnd"/>
      <w:r w:rsidR="00C87DF4" w:rsidRPr="00C87DF4">
        <w:rPr>
          <w:color w:val="000000" w:themeColor="text1"/>
          <w:sz w:val="22"/>
          <w:szCs w:val="22"/>
        </w:rPr>
        <w:t xml:space="preserve">, the relay node appears as a UE, just as in return a RN sees the </w:t>
      </w:r>
      <w:proofErr w:type="spellStart"/>
      <w:r w:rsidR="00C87DF4" w:rsidRPr="00C87DF4">
        <w:rPr>
          <w:color w:val="000000" w:themeColor="text1"/>
          <w:sz w:val="22"/>
          <w:szCs w:val="22"/>
        </w:rPr>
        <w:t>DeNB</w:t>
      </w:r>
      <w:proofErr w:type="spellEnd"/>
      <w:r w:rsidR="00C87DF4" w:rsidRPr="00C87DF4">
        <w:rPr>
          <w:color w:val="000000" w:themeColor="text1"/>
          <w:sz w:val="22"/>
          <w:szCs w:val="22"/>
        </w:rPr>
        <w:t xml:space="preserve"> as an </w:t>
      </w:r>
      <w:proofErr w:type="spellStart"/>
      <w:r w:rsidR="00C87DF4" w:rsidRPr="00C87DF4">
        <w:rPr>
          <w:color w:val="000000" w:themeColor="text1"/>
          <w:sz w:val="22"/>
          <w:szCs w:val="22"/>
        </w:rPr>
        <w:t>eNB</w:t>
      </w:r>
      <w:proofErr w:type="spellEnd"/>
      <w:r w:rsidR="00C87DF4" w:rsidRPr="00C87DF4">
        <w:rPr>
          <w:color w:val="000000" w:themeColor="text1"/>
          <w:sz w:val="22"/>
          <w:szCs w:val="22"/>
        </w:rPr>
        <w:t>, a Mobility Management Entity (MME) and a Signal Gateway (S-GW).</w:t>
      </w:r>
      <w:r w:rsidR="00D35CE7">
        <w:rPr>
          <w:color w:val="000000" w:themeColor="text1"/>
          <w:sz w:val="22"/>
          <w:szCs w:val="22"/>
        </w:rPr>
        <w:t xml:space="preserve"> </w:t>
      </w:r>
    </w:p>
    <w:p w14:paraId="23B3C38F" w14:textId="3294BA36" w:rsidR="00564AF9" w:rsidRDefault="00005B52" w:rsidP="00005B52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05B52">
        <w:rPr>
          <w:color w:val="000000" w:themeColor="text1"/>
          <w:sz w:val="22"/>
          <w:szCs w:val="22"/>
        </w:rPr>
        <w:t xml:space="preserve">For NR </w:t>
      </w:r>
      <w:r w:rsidR="009D027C">
        <w:rPr>
          <w:color w:val="000000" w:themeColor="text1"/>
          <w:sz w:val="22"/>
          <w:szCs w:val="22"/>
        </w:rPr>
        <w:t xml:space="preserve">a </w:t>
      </w:r>
      <w:r w:rsidRPr="00005B52">
        <w:rPr>
          <w:color w:val="000000" w:themeColor="text1"/>
          <w:sz w:val="22"/>
          <w:szCs w:val="22"/>
        </w:rPr>
        <w:t xml:space="preserve">similar </w:t>
      </w:r>
      <w:r w:rsidR="00CD26A0">
        <w:rPr>
          <w:color w:val="000000" w:themeColor="text1"/>
          <w:sz w:val="22"/>
          <w:szCs w:val="22"/>
        </w:rPr>
        <w:t>principle has been considered</w:t>
      </w:r>
      <w:r w:rsidR="00A04A03">
        <w:rPr>
          <w:color w:val="000000" w:themeColor="text1"/>
          <w:sz w:val="22"/>
          <w:szCs w:val="22"/>
        </w:rPr>
        <w:t xml:space="preserve">, </w:t>
      </w:r>
      <w:r w:rsidR="00645AEA">
        <w:rPr>
          <w:color w:val="000000" w:themeColor="text1"/>
          <w:sz w:val="22"/>
          <w:szCs w:val="22"/>
        </w:rPr>
        <w:t>with the IAB node</w:t>
      </w:r>
      <w:r w:rsidR="003572C3">
        <w:rPr>
          <w:color w:val="000000" w:themeColor="text1"/>
          <w:sz w:val="22"/>
          <w:szCs w:val="22"/>
        </w:rPr>
        <w:t xml:space="preserve"> </w:t>
      </w:r>
      <w:r w:rsidR="00945ECC">
        <w:rPr>
          <w:color w:val="000000" w:themeColor="text1"/>
          <w:sz w:val="22"/>
          <w:szCs w:val="22"/>
        </w:rPr>
        <w:t>having</w:t>
      </w:r>
      <w:r w:rsidR="00FA5A5D">
        <w:rPr>
          <w:color w:val="000000" w:themeColor="text1"/>
          <w:sz w:val="22"/>
          <w:szCs w:val="22"/>
        </w:rPr>
        <w:t xml:space="preserve"> both</w:t>
      </w:r>
      <w:r w:rsidR="00945ECC">
        <w:rPr>
          <w:color w:val="000000" w:themeColor="text1"/>
          <w:sz w:val="22"/>
          <w:szCs w:val="22"/>
        </w:rPr>
        <w:t xml:space="preserve"> the </w:t>
      </w:r>
      <w:r w:rsidR="00645AEA" w:rsidRPr="009038D7">
        <w:rPr>
          <w:color w:val="000000" w:themeColor="text1"/>
          <w:sz w:val="22"/>
          <w:szCs w:val="22"/>
          <w:lang w:val="en-US"/>
        </w:rPr>
        <w:t xml:space="preserve">UE-function (MT) </w:t>
      </w:r>
      <w:r w:rsidR="00FA5A5D" w:rsidRPr="009038D7">
        <w:rPr>
          <w:color w:val="000000" w:themeColor="text1"/>
          <w:sz w:val="22"/>
          <w:szCs w:val="22"/>
          <w:lang w:val="en-US"/>
        </w:rPr>
        <w:t>and</w:t>
      </w:r>
      <w:r w:rsidR="00945ECC">
        <w:rPr>
          <w:color w:val="000000" w:themeColor="text1"/>
          <w:sz w:val="22"/>
          <w:szCs w:val="22"/>
          <w:lang w:val="en-US"/>
        </w:rPr>
        <w:t xml:space="preserve"> the </w:t>
      </w:r>
      <w:r w:rsidR="00645AEA" w:rsidRPr="009038D7">
        <w:rPr>
          <w:color w:val="000000" w:themeColor="text1"/>
          <w:sz w:val="22"/>
          <w:szCs w:val="22"/>
          <w:lang w:val="en-US"/>
        </w:rPr>
        <w:t>base station functionality (DU).</w:t>
      </w:r>
      <w:r w:rsidR="00945ECC">
        <w:rPr>
          <w:color w:val="000000" w:themeColor="text1"/>
          <w:sz w:val="22"/>
          <w:szCs w:val="22"/>
          <w:lang w:val="en-US"/>
        </w:rPr>
        <w:t xml:space="preserve"> Even though</w:t>
      </w:r>
      <w:r w:rsidR="002B3694">
        <w:rPr>
          <w:color w:val="000000" w:themeColor="text1"/>
          <w:sz w:val="22"/>
          <w:szCs w:val="22"/>
          <w:lang w:val="en-US"/>
        </w:rPr>
        <w:t>,</w:t>
      </w:r>
      <w:r w:rsidR="008B233B">
        <w:rPr>
          <w:color w:val="000000" w:themeColor="text1"/>
          <w:sz w:val="22"/>
          <w:szCs w:val="22"/>
          <w:lang w:val="en-US"/>
        </w:rPr>
        <w:t xml:space="preserve"> there are differences </w:t>
      </w:r>
      <w:r w:rsidR="00C57BE4">
        <w:rPr>
          <w:color w:val="000000" w:themeColor="text1"/>
          <w:sz w:val="22"/>
          <w:szCs w:val="22"/>
          <w:lang w:val="en-US"/>
        </w:rPr>
        <w:t>in t</w:t>
      </w:r>
      <w:r w:rsidR="00D24FBC">
        <w:rPr>
          <w:color w:val="000000" w:themeColor="text1"/>
          <w:sz w:val="22"/>
          <w:szCs w:val="22"/>
          <w:lang w:val="en-US"/>
        </w:rPr>
        <w:t xml:space="preserve">he protocols </w:t>
      </w:r>
      <w:r w:rsidR="007B7A0B">
        <w:rPr>
          <w:color w:val="000000" w:themeColor="text1"/>
          <w:sz w:val="22"/>
          <w:szCs w:val="22"/>
          <w:lang w:val="en-US"/>
        </w:rPr>
        <w:t xml:space="preserve">used in the implementation of IAB nodes, </w:t>
      </w:r>
      <w:r w:rsidR="00645AEA" w:rsidRPr="009038D7">
        <w:rPr>
          <w:color w:val="000000" w:themeColor="text1"/>
          <w:sz w:val="22"/>
          <w:szCs w:val="22"/>
          <w:lang w:val="en-US"/>
        </w:rPr>
        <w:t>from EMC perspective these architecture differences should not make any difference.</w:t>
      </w:r>
      <w:r w:rsidR="007B7A0B">
        <w:rPr>
          <w:color w:val="000000" w:themeColor="text1"/>
          <w:sz w:val="22"/>
          <w:szCs w:val="22"/>
          <w:lang w:val="en-US"/>
        </w:rPr>
        <w:t xml:space="preserve"> </w:t>
      </w:r>
      <w:r w:rsidR="00D35CE7">
        <w:rPr>
          <w:color w:val="000000" w:themeColor="text1"/>
          <w:sz w:val="22"/>
          <w:szCs w:val="22"/>
        </w:rPr>
        <w:t xml:space="preserve">In the LTE case, the definition </w:t>
      </w:r>
      <w:r w:rsidR="00524CE9">
        <w:rPr>
          <w:color w:val="000000" w:themeColor="text1"/>
          <w:sz w:val="22"/>
          <w:szCs w:val="22"/>
        </w:rPr>
        <w:t>o</w:t>
      </w:r>
      <w:r w:rsidR="00AE2B0D">
        <w:rPr>
          <w:color w:val="000000" w:themeColor="text1"/>
          <w:sz w:val="22"/>
          <w:szCs w:val="22"/>
        </w:rPr>
        <w:t xml:space="preserve">f </w:t>
      </w:r>
      <w:r w:rsidR="004750B6">
        <w:rPr>
          <w:color w:val="000000" w:themeColor="text1"/>
          <w:sz w:val="22"/>
          <w:szCs w:val="22"/>
        </w:rPr>
        <w:t>a TS for</w:t>
      </w:r>
      <w:r w:rsidR="00564AF9">
        <w:rPr>
          <w:color w:val="000000" w:themeColor="text1"/>
          <w:sz w:val="22"/>
          <w:szCs w:val="22"/>
        </w:rPr>
        <w:t xml:space="preserve"> </w:t>
      </w:r>
      <w:r w:rsidR="00564AF9" w:rsidRPr="00564AF9">
        <w:rPr>
          <w:color w:val="000000" w:themeColor="text1"/>
          <w:sz w:val="22"/>
          <w:szCs w:val="22"/>
        </w:rPr>
        <w:t>Relay radio transmission and reception</w:t>
      </w:r>
      <w:r w:rsidR="00E8225C">
        <w:rPr>
          <w:color w:val="000000" w:themeColor="text1"/>
          <w:sz w:val="22"/>
          <w:szCs w:val="22"/>
        </w:rPr>
        <w:t xml:space="preserve"> [2]</w:t>
      </w:r>
      <w:r w:rsidR="00564AF9">
        <w:rPr>
          <w:color w:val="000000" w:themeColor="text1"/>
          <w:sz w:val="22"/>
          <w:szCs w:val="22"/>
        </w:rPr>
        <w:t xml:space="preserve"> did not lead to the </w:t>
      </w:r>
      <w:r w:rsidR="007E1AFD">
        <w:rPr>
          <w:color w:val="000000" w:themeColor="text1"/>
          <w:sz w:val="22"/>
          <w:szCs w:val="22"/>
        </w:rPr>
        <w:t xml:space="preserve">development of </w:t>
      </w:r>
      <w:r w:rsidR="008C6AA4">
        <w:rPr>
          <w:color w:val="000000" w:themeColor="text1"/>
          <w:sz w:val="22"/>
          <w:szCs w:val="22"/>
        </w:rPr>
        <w:t>a</w:t>
      </w:r>
      <w:r w:rsidR="007E1AFD">
        <w:rPr>
          <w:color w:val="000000" w:themeColor="text1"/>
          <w:sz w:val="22"/>
          <w:szCs w:val="22"/>
        </w:rPr>
        <w:t xml:space="preserve"> new EMC </w:t>
      </w:r>
      <w:r w:rsidR="008C6AA4">
        <w:rPr>
          <w:color w:val="000000" w:themeColor="text1"/>
          <w:sz w:val="22"/>
          <w:szCs w:val="22"/>
        </w:rPr>
        <w:t>TS</w:t>
      </w:r>
      <w:r w:rsidR="007E1AFD">
        <w:rPr>
          <w:color w:val="000000" w:themeColor="text1"/>
          <w:sz w:val="22"/>
          <w:szCs w:val="22"/>
        </w:rPr>
        <w:t>.</w:t>
      </w:r>
      <w:r w:rsidR="00E36733">
        <w:rPr>
          <w:color w:val="000000" w:themeColor="text1"/>
          <w:sz w:val="22"/>
          <w:szCs w:val="22"/>
        </w:rPr>
        <w:t xml:space="preserve"> Therefore, IAB development should not lead to</w:t>
      </w:r>
      <w:r w:rsidR="00F47617">
        <w:rPr>
          <w:color w:val="000000" w:themeColor="text1"/>
          <w:sz w:val="22"/>
          <w:szCs w:val="22"/>
        </w:rPr>
        <w:t xml:space="preserve"> the definition of a new EMC TS.</w:t>
      </w:r>
    </w:p>
    <w:p w14:paraId="4EC9F504" w14:textId="52138D1B" w:rsidR="00005B52" w:rsidRDefault="00005B52" w:rsidP="00005B52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52113">
        <w:rPr>
          <w:b/>
          <w:color w:val="000000" w:themeColor="text1"/>
          <w:sz w:val="22"/>
          <w:szCs w:val="22"/>
        </w:rPr>
        <w:t>Observation 1</w:t>
      </w:r>
      <w:r w:rsidR="00152113">
        <w:rPr>
          <w:b/>
          <w:color w:val="000000" w:themeColor="text1"/>
          <w:sz w:val="22"/>
          <w:szCs w:val="22"/>
        </w:rPr>
        <w:t xml:space="preserve">: </w:t>
      </w:r>
      <w:r w:rsidRPr="00152113">
        <w:rPr>
          <w:b/>
          <w:color w:val="000000" w:themeColor="text1"/>
          <w:sz w:val="22"/>
          <w:szCs w:val="22"/>
        </w:rPr>
        <w:tab/>
        <w:t xml:space="preserve">Similar </w:t>
      </w:r>
      <w:r w:rsidR="00C30CD8">
        <w:rPr>
          <w:b/>
          <w:color w:val="000000" w:themeColor="text1"/>
          <w:sz w:val="22"/>
          <w:szCs w:val="22"/>
        </w:rPr>
        <w:t>operation principle</w:t>
      </w:r>
      <w:r w:rsidRPr="00152113">
        <w:rPr>
          <w:b/>
          <w:color w:val="000000" w:themeColor="text1"/>
          <w:sz w:val="22"/>
          <w:szCs w:val="22"/>
        </w:rPr>
        <w:t>s as discussed for LTE Rel-10</w:t>
      </w:r>
      <w:r w:rsidR="00DE2AC8">
        <w:rPr>
          <w:b/>
          <w:color w:val="000000" w:themeColor="text1"/>
          <w:sz w:val="22"/>
          <w:szCs w:val="22"/>
        </w:rPr>
        <w:t xml:space="preserve"> are considered in the development of NR IAB. </w:t>
      </w:r>
      <w:r w:rsidR="00E8225C">
        <w:rPr>
          <w:b/>
          <w:color w:val="000000" w:themeColor="text1"/>
          <w:sz w:val="22"/>
          <w:szCs w:val="22"/>
        </w:rPr>
        <w:t xml:space="preserve">Definition of a </w:t>
      </w:r>
      <w:r w:rsidR="00646DE4">
        <w:rPr>
          <w:b/>
          <w:color w:val="000000" w:themeColor="text1"/>
          <w:sz w:val="22"/>
          <w:szCs w:val="22"/>
        </w:rPr>
        <w:t>TS for Relay radio transmission and reception did not lead to the development of a new EMC TS</w:t>
      </w:r>
      <w:r w:rsidR="004D4340">
        <w:rPr>
          <w:b/>
          <w:color w:val="000000" w:themeColor="text1"/>
          <w:sz w:val="22"/>
          <w:szCs w:val="22"/>
        </w:rPr>
        <w:t>.</w:t>
      </w:r>
    </w:p>
    <w:p w14:paraId="6D84698B" w14:textId="64A7521C" w:rsidR="003C7D78" w:rsidRDefault="006622C5" w:rsidP="006622C5">
      <w:pPr>
        <w:pStyle w:val="Heading2"/>
        <w:jc w:val="both"/>
        <w:rPr>
          <w:b/>
        </w:rPr>
      </w:pPr>
      <w:r w:rsidRPr="006622C5">
        <w:rPr>
          <w:b/>
        </w:rPr>
        <w:t>IAB and EMC specifications</w:t>
      </w:r>
    </w:p>
    <w:p w14:paraId="4639A46E" w14:textId="2339E392" w:rsidR="006348D6" w:rsidRDefault="00111A35" w:rsidP="006622C5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In contribution [3]</w:t>
      </w:r>
      <w:r w:rsidR="008B37AF">
        <w:rPr>
          <w:color w:val="000000" w:themeColor="text1"/>
          <w:sz w:val="22"/>
          <w:szCs w:val="22"/>
          <w:lang w:val="en-US"/>
        </w:rPr>
        <w:t xml:space="preserve"> ZTE provided an initial analysis on the definition of EMC requirements for IAB. </w:t>
      </w:r>
      <w:r w:rsidR="00E76CB9">
        <w:rPr>
          <w:color w:val="000000" w:themeColor="text1"/>
          <w:sz w:val="22"/>
          <w:szCs w:val="22"/>
          <w:lang w:val="en-US"/>
        </w:rPr>
        <w:t>This contribution summarizes the sections that can be impacted by a scope extension</w:t>
      </w:r>
      <w:r w:rsidR="00776B9C">
        <w:rPr>
          <w:color w:val="000000" w:themeColor="text1"/>
          <w:sz w:val="22"/>
          <w:szCs w:val="22"/>
          <w:lang w:val="en-US"/>
        </w:rPr>
        <w:t xml:space="preserve"> due to IAB.</w:t>
      </w:r>
      <w:r w:rsidR="009D74A4">
        <w:rPr>
          <w:color w:val="000000" w:themeColor="text1"/>
          <w:sz w:val="22"/>
          <w:szCs w:val="22"/>
          <w:lang w:val="en-US"/>
        </w:rPr>
        <w:t xml:space="preserve"> Analysis </w:t>
      </w:r>
      <w:r w:rsidR="000308D5">
        <w:rPr>
          <w:color w:val="000000" w:themeColor="text1"/>
          <w:sz w:val="22"/>
          <w:szCs w:val="22"/>
          <w:lang w:val="en-US"/>
        </w:rPr>
        <w:t xml:space="preserve">takes into consideration the way repeaters were addressed in </w:t>
      </w:r>
      <w:r w:rsidR="000D2634">
        <w:rPr>
          <w:color w:val="000000" w:themeColor="text1"/>
          <w:sz w:val="22"/>
          <w:szCs w:val="22"/>
          <w:lang w:val="en-US"/>
        </w:rPr>
        <w:t>TS 36.113 [4].</w:t>
      </w:r>
      <w:r w:rsidR="00B602FB">
        <w:rPr>
          <w:color w:val="000000" w:themeColor="text1"/>
          <w:sz w:val="22"/>
          <w:szCs w:val="22"/>
          <w:lang w:val="en-US"/>
        </w:rPr>
        <w:t xml:space="preserve"> Similar approach can be used when </w:t>
      </w:r>
      <w:r w:rsidR="006348D6">
        <w:rPr>
          <w:color w:val="000000" w:themeColor="text1"/>
          <w:sz w:val="22"/>
          <w:szCs w:val="22"/>
          <w:lang w:val="en-US"/>
        </w:rPr>
        <w:t>considering extension of TS 38.113 scope.</w:t>
      </w:r>
    </w:p>
    <w:p w14:paraId="28D47456" w14:textId="02E5B9BE" w:rsidR="00825BFB" w:rsidRDefault="00654593" w:rsidP="00C83369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One of the points</w:t>
      </w:r>
      <w:r w:rsidR="00824746">
        <w:rPr>
          <w:color w:val="000000" w:themeColor="text1"/>
          <w:sz w:val="22"/>
          <w:szCs w:val="22"/>
          <w:lang w:val="en-US"/>
        </w:rPr>
        <w:t xml:space="preserve"> highlighted in [3] </w:t>
      </w:r>
      <w:r w:rsidR="005B41FB">
        <w:rPr>
          <w:color w:val="000000" w:themeColor="text1"/>
          <w:sz w:val="22"/>
          <w:szCs w:val="22"/>
          <w:lang w:val="en-US"/>
        </w:rPr>
        <w:t xml:space="preserve">is the UE and BS station functionalities present in the IAB nodes. </w:t>
      </w:r>
      <w:r w:rsidR="00825BFB">
        <w:rPr>
          <w:color w:val="000000" w:themeColor="text1"/>
          <w:sz w:val="22"/>
          <w:szCs w:val="22"/>
          <w:lang w:val="en-US"/>
        </w:rPr>
        <w:t>According to this analysis</w:t>
      </w:r>
      <w:r w:rsidR="005E1596">
        <w:rPr>
          <w:color w:val="000000" w:themeColor="text1"/>
          <w:sz w:val="22"/>
          <w:szCs w:val="22"/>
          <w:lang w:val="en-US"/>
        </w:rPr>
        <w:t xml:space="preserve">, </w:t>
      </w:r>
      <w:r w:rsidR="00D077FC">
        <w:rPr>
          <w:color w:val="000000" w:themeColor="text1"/>
          <w:sz w:val="22"/>
          <w:szCs w:val="22"/>
          <w:lang w:val="en-US"/>
        </w:rPr>
        <w:t xml:space="preserve">the </w:t>
      </w:r>
      <w:r w:rsidR="005E1596">
        <w:rPr>
          <w:color w:val="000000" w:themeColor="text1"/>
          <w:sz w:val="22"/>
          <w:szCs w:val="22"/>
          <w:lang w:val="en-US"/>
        </w:rPr>
        <w:t xml:space="preserve">EMC </w:t>
      </w:r>
      <w:r w:rsidR="00C83369">
        <w:rPr>
          <w:color w:val="000000" w:themeColor="text1"/>
          <w:sz w:val="22"/>
          <w:szCs w:val="22"/>
          <w:lang w:val="en-US"/>
        </w:rPr>
        <w:t xml:space="preserve">verification </w:t>
      </w:r>
      <w:r w:rsidR="00D077FC">
        <w:rPr>
          <w:color w:val="000000" w:themeColor="text1"/>
          <w:sz w:val="22"/>
          <w:szCs w:val="22"/>
          <w:lang w:val="en-US"/>
        </w:rPr>
        <w:t xml:space="preserve">for IAB should consider both UE and </w:t>
      </w:r>
      <w:r w:rsidR="00CC7772">
        <w:rPr>
          <w:color w:val="000000" w:themeColor="text1"/>
          <w:sz w:val="22"/>
          <w:szCs w:val="22"/>
          <w:lang w:val="en-US"/>
        </w:rPr>
        <w:t xml:space="preserve">BS </w:t>
      </w:r>
      <w:r w:rsidR="00D077FC">
        <w:rPr>
          <w:color w:val="000000" w:themeColor="text1"/>
          <w:sz w:val="22"/>
          <w:szCs w:val="22"/>
          <w:lang w:val="en-US"/>
        </w:rPr>
        <w:t>EMC</w:t>
      </w:r>
      <w:r w:rsidR="00C83369">
        <w:rPr>
          <w:color w:val="000000" w:themeColor="text1"/>
          <w:sz w:val="22"/>
          <w:szCs w:val="22"/>
          <w:lang w:val="en-US"/>
        </w:rPr>
        <w:t xml:space="preserve"> requirements.</w:t>
      </w:r>
      <w:r w:rsidR="00D077FC">
        <w:rPr>
          <w:color w:val="000000" w:themeColor="text1"/>
          <w:sz w:val="22"/>
          <w:szCs w:val="22"/>
          <w:lang w:val="en-US"/>
        </w:rPr>
        <w:t xml:space="preserve"> </w:t>
      </w:r>
      <w:r w:rsidR="00C83369">
        <w:rPr>
          <w:color w:val="000000" w:themeColor="text1"/>
          <w:sz w:val="22"/>
          <w:szCs w:val="22"/>
          <w:lang w:val="en-US"/>
        </w:rPr>
        <w:t xml:space="preserve">As presented </w:t>
      </w:r>
      <w:r w:rsidR="00C264D4">
        <w:rPr>
          <w:color w:val="000000" w:themeColor="text1"/>
          <w:sz w:val="22"/>
          <w:szCs w:val="22"/>
          <w:lang w:val="en-US"/>
        </w:rPr>
        <w:t xml:space="preserve">in section 2.1, LTE relay also considered </w:t>
      </w:r>
      <w:r w:rsidR="00DE5B10">
        <w:rPr>
          <w:color w:val="000000" w:themeColor="text1"/>
          <w:sz w:val="22"/>
          <w:szCs w:val="22"/>
          <w:lang w:val="en-US"/>
        </w:rPr>
        <w:t>a UE function and BS functionality in the same node.</w:t>
      </w:r>
      <w:r w:rsidR="00760540">
        <w:rPr>
          <w:color w:val="000000" w:themeColor="text1"/>
          <w:sz w:val="22"/>
          <w:szCs w:val="22"/>
          <w:lang w:val="en-US"/>
        </w:rPr>
        <w:t xml:space="preserve"> In that sense, a scope extension </w:t>
      </w:r>
      <w:r w:rsidR="00B62863">
        <w:rPr>
          <w:color w:val="000000" w:themeColor="text1"/>
          <w:sz w:val="22"/>
          <w:szCs w:val="22"/>
          <w:lang w:val="en-US"/>
        </w:rPr>
        <w:t xml:space="preserve">of TS 38.113 </w:t>
      </w:r>
      <w:r w:rsidR="003949A3">
        <w:rPr>
          <w:color w:val="000000" w:themeColor="text1"/>
          <w:sz w:val="22"/>
          <w:szCs w:val="22"/>
          <w:lang w:val="en-US"/>
        </w:rPr>
        <w:t xml:space="preserve">might consider </w:t>
      </w:r>
      <w:r w:rsidR="009F0D71">
        <w:rPr>
          <w:color w:val="000000" w:themeColor="text1"/>
          <w:sz w:val="22"/>
          <w:szCs w:val="22"/>
          <w:lang w:val="en-US"/>
        </w:rPr>
        <w:t xml:space="preserve">this approach. In that sense, it is important to carefully </w:t>
      </w:r>
      <w:r w:rsidR="005E640F">
        <w:rPr>
          <w:color w:val="000000" w:themeColor="text1"/>
          <w:sz w:val="22"/>
          <w:szCs w:val="22"/>
          <w:lang w:val="en-US"/>
        </w:rPr>
        <w:t xml:space="preserve">analyze which sections in TS 38.113 will be impacted. A starting point </w:t>
      </w:r>
      <w:r w:rsidR="00081F61">
        <w:rPr>
          <w:color w:val="000000" w:themeColor="text1"/>
          <w:sz w:val="22"/>
          <w:szCs w:val="22"/>
          <w:lang w:val="en-US"/>
        </w:rPr>
        <w:t>could be the one presented by ZTE in [3].</w:t>
      </w:r>
    </w:p>
    <w:p w14:paraId="7955218E" w14:textId="43942170" w:rsidR="00787E0C" w:rsidRDefault="00787E0C" w:rsidP="00787E0C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52113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 xml:space="preserve">2: </w:t>
      </w:r>
      <w:r w:rsidRPr="00152113">
        <w:rPr>
          <w:b/>
          <w:color w:val="000000" w:themeColor="text1"/>
          <w:sz w:val="22"/>
          <w:szCs w:val="22"/>
        </w:rPr>
        <w:tab/>
      </w:r>
      <w:r w:rsidR="00CC37D9">
        <w:rPr>
          <w:b/>
          <w:color w:val="000000" w:themeColor="text1"/>
          <w:sz w:val="22"/>
          <w:szCs w:val="22"/>
        </w:rPr>
        <w:t xml:space="preserve">Extending the scope of TS 38.113 </w:t>
      </w:r>
      <w:r w:rsidR="003B25B6">
        <w:rPr>
          <w:b/>
          <w:color w:val="000000" w:themeColor="text1"/>
          <w:sz w:val="22"/>
          <w:szCs w:val="22"/>
        </w:rPr>
        <w:t>to cover IAB nodes is a reasonable approach in the definition of EMC requirements for IAB</w:t>
      </w:r>
      <w:r>
        <w:rPr>
          <w:b/>
          <w:color w:val="000000" w:themeColor="text1"/>
          <w:sz w:val="22"/>
          <w:szCs w:val="22"/>
        </w:rPr>
        <w:t>.</w:t>
      </w:r>
    </w:p>
    <w:p w14:paraId="166367FB" w14:textId="4666ED6A" w:rsidR="00787E0C" w:rsidRDefault="00BC25F6" w:rsidP="00787E0C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 xml:space="preserve">Even though, the </w:t>
      </w:r>
      <w:r w:rsidR="00F93585">
        <w:rPr>
          <w:color w:val="000000" w:themeColor="text1"/>
          <w:sz w:val="22"/>
          <w:szCs w:val="22"/>
          <w:lang w:val="en-US"/>
        </w:rPr>
        <w:t>IAB node has both UE and BS functionalities</w:t>
      </w:r>
      <w:r w:rsidR="00CB76EB">
        <w:rPr>
          <w:color w:val="000000" w:themeColor="text1"/>
          <w:sz w:val="22"/>
          <w:szCs w:val="22"/>
          <w:lang w:val="en-US"/>
        </w:rPr>
        <w:t xml:space="preserve">, </w:t>
      </w:r>
      <w:r w:rsidR="0085365A">
        <w:rPr>
          <w:color w:val="000000" w:themeColor="text1"/>
          <w:sz w:val="22"/>
          <w:szCs w:val="22"/>
          <w:lang w:val="en-US"/>
        </w:rPr>
        <w:t>EMC requirements for IAB should consider th</w:t>
      </w:r>
      <w:r w:rsidR="00D3654F">
        <w:rPr>
          <w:color w:val="000000" w:themeColor="text1"/>
          <w:sz w:val="22"/>
          <w:szCs w:val="22"/>
          <w:lang w:val="en-US"/>
        </w:rPr>
        <w:t>ose parameters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 w:rsidR="00D3654F">
        <w:rPr>
          <w:color w:val="000000" w:themeColor="text1"/>
          <w:sz w:val="22"/>
          <w:szCs w:val="22"/>
          <w:lang w:val="en-US"/>
        </w:rPr>
        <w:t>defined</w:t>
      </w:r>
      <w:r>
        <w:rPr>
          <w:color w:val="000000" w:themeColor="text1"/>
          <w:sz w:val="22"/>
          <w:szCs w:val="22"/>
          <w:lang w:val="en-US"/>
        </w:rPr>
        <w:t xml:space="preserve"> for BS</w:t>
      </w:r>
      <w:r w:rsidR="008D36CF">
        <w:rPr>
          <w:color w:val="000000" w:themeColor="text1"/>
          <w:sz w:val="22"/>
          <w:szCs w:val="22"/>
          <w:lang w:val="en-US"/>
        </w:rPr>
        <w:t>,</w:t>
      </w:r>
      <w:r w:rsidR="00CC7772">
        <w:rPr>
          <w:color w:val="000000" w:themeColor="text1"/>
          <w:sz w:val="22"/>
          <w:szCs w:val="22"/>
          <w:lang w:val="en-US"/>
        </w:rPr>
        <w:t xml:space="preserve"> as IAB access link </w:t>
      </w:r>
      <w:r w:rsidR="008D36CF">
        <w:rPr>
          <w:color w:val="000000" w:themeColor="text1"/>
          <w:sz w:val="22"/>
          <w:szCs w:val="22"/>
          <w:lang w:val="en-US"/>
        </w:rPr>
        <w:t xml:space="preserve">is </w:t>
      </w:r>
      <w:r w:rsidR="00CC7772">
        <w:rPr>
          <w:color w:val="000000" w:themeColor="text1"/>
          <w:sz w:val="22"/>
          <w:szCs w:val="22"/>
          <w:lang w:val="en-US"/>
        </w:rPr>
        <w:t>reus</w:t>
      </w:r>
      <w:r w:rsidR="008D36CF">
        <w:rPr>
          <w:color w:val="000000" w:themeColor="text1"/>
          <w:sz w:val="22"/>
          <w:szCs w:val="22"/>
          <w:lang w:val="en-US"/>
        </w:rPr>
        <w:t>ing</w:t>
      </w:r>
      <w:r w:rsidR="00CC7772">
        <w:rPr>
          <w:color w:val="000000" w:themeColor="text1"/>
          <w:sz w:val="22"/>
          <w:szCs w:val="22"/>
          <w:lang w:val="en-US"/>
        </w:rPr>
        <w:t xml:space="preserve"> </w:t>
      </w:r>
      <w:r w:rsidR="008D36CF">
        <w:rPr>
          <w:color w:val="000000" w:themeColor="text1"/>
          <w:sz w:val="22"/>
          <w:szCs w:val="22"/>
          <w:lang w:val="en-US"/>
        </w:rPr>
        <w:t xml:space="preserve">the same </w:t>
      </w:r>
      <w:r w:rsidR="00CC7772">
        <w:rPr>
          <w:color w:val="000000" w:themeColor="text1"/>
          <w:sz w:val="22"/>
          <w:szCs w:val="22"/>
          <w:lang w:val="en-US"/>
        </w:rPr>
        <w:t>BS RF req</w:t>
      </w:r>
      <w:r w:rsidR="008D36CF">
        <w:rPr>
          <w:color w:val="000000" w:themeColor="text1"/>
          <w:sz w:val="22"/>
          <w:szCs w:val="22"/>
          <w:lang w:val="en-US"/>
        </w:rPr>
        <w:t>uirements</w:t>
      </w:r>
      <w:r w:rsidR="00C6012D">
        <w:rPr>
          <w:color w:val="000000" w:themeColor="text1"/>
          <w:sz w:val="22"/>
          <w:szCs w:val="22"/>
          <w:lang w:val="en-US"/>
        </w:rPr>
        <w:t xml:space="preserve">. </w:t>
      </w:r>
      <w:r w:rsidR="000D08CD">
        <w:rPr>
          <w:color w:val="000000" w:themeColor="text1"/>
          <w:sz w:val="22"/>
          <w:szCs w:val="22"/>
          <w:lang w:val="en-US"/>
        </w:rPr>
        <w:t xml:space="preserve">EMC requirements for both radiated emission and radiated immunity </w:t>
      </w:r>
      <w:r w:rsidR="009E267C">
        <w:rPr>
          <w:color w:val="000000" w:themeColor="text1"/>
          <w:sz w:val="22"/>
          <w:szCs w:val="22"/>
          <w:lang w:val="en-US"/>
        </w:rPr>
        <w:t>are more stringent than</w:t>
      </w:r>
      <w:r w:rsidR="00646C5F">
        <w:rPr>
          <w:color w:val="000000" w:themeColor="text1"/>
          <w:sz w:val="22"/>
          <w:szCs w:val="22"/>
          <w:lang w:val="en-US"/>
        </w:rPr>
        <w:t xml:space="preserve"> the ones </w:t>
      </w:r>
      <w:r w:rsidR="00D777FC">
        <w:rPr>
          <w:color w:val="000000" w:themeColor="text1"/>
          <w:sz w:val="22"/>
          <w:szCs w:val="22"/>
          <w:lang w:val="en-US"/>
        </w:rPr>
        <w:t xml:space="preserve">set for UE. </w:t>
      </w:r>
      <w:r w:rsidR="00CC7772">
        <w:rPr>
          <w:color w:val="000000" w:themeColor="text1"/>
          <w:sz w:val="22"/>
          <w:szCs w:val="22"/>
          <w:lang w:val="en-US"/>
        </w:rPr>
        <w:t>In a companion paper</w:t>
      </w:r>
      <w:r w:rsidR="008D36CF">
        <w:rPr>
          <w:color w:val="000000" w:themeColor="text1"/>
          <w:sz w:val="22"/>
          <w:szCs w:val="22"/>
          <w:lang w:val="en-US"/>
        </w:rPr>
        <w:t xml:space="preserve"> </w:t>
      </w:r>
      <w:r w:rsidR="00CC7772">
        <w:rPr>
          <w:color w:val="000000" w:themeColor="text1"/>
          <w:sz w:val="22"/>
          <w:szCs w:val="22"/>
          <w:lang w:val="en-US"/>
        </w:rPr>
        <w:t>[</w:t>
      </w:r>
      <w:r w:rsidR="008D36CF">
        <w:rPr>
          <w:color w:val="000000" w:themeColor="text1"/>
          <w:sz w:val="22"/>
          <w:szCs w:val="22"/>
          <w:lang w:val="en-US"/>
        </w:rPr>
        <w:t>7</w:t>
      </w:r>
      <w:r w:rsidR="00CC7772">
        <w:rPr>
          <w:color w:val="000000" w:themeColor="text1"/>
          <w:sz w:val="22"/>
          <w:szCs w:val="22"/>
          <w:lang w:val="en-US"/>
        </w:rPr>
        <w:t xml:space="preserve">], IAB MT output power is proposed </w:t>
      </w:r>
      <w:r w:rsidR="008D36CF">
        <w:rPr>
          <w:color w:val="000000" w:themeColor="text1"/>
          <w:sz w:val="22"/>
          <w:szCs w:val="22"/>
          <w:lang w:val="en-US"/>
        </w:rPr>
        <w:t>to not exceed</w:t>
      </w:r>
      <w:r w:rsidR="00CC7772">
        <w:rPr>
          <w:color w:val="000000" w:themeColor="text1"/>
          <w:sz w:val="22"/>
          <w:szCs w:val="22"/>
          <w:lang w:val="en-US"/>
        </w:rPr>
        <w:t xml:space="preserve"> IAB DU output power</w:t>
      </w:r>
      <w:r w:rsidR="00C6012D">
        <w:rPr>
          <w:color w:val="000000" w:themeColor="text1"/>
          <w:sz w:val="22"/>
          <w:szCs w:val="22"/>
          <w:lang w:val="en-US"/>
        </w:rPr>
        <w:t xml:space="preserve">. </w:t>
      </w:r>
      <w:r w:rsidR="00CA1211">
        <w:rPr>
          <w:color w:val="000000" w:themeColor="text1"/>
          <w:sz w:val="22"/>
          <w:szCs w:val="22"/>
          <w:lang w:val="en-US"/>
        </w:rPr>
        <w:t>In addition</w:t>
      </w:r>
      <w:r w:rsidR="006D35E7">
        <w:rPr>
          <w:color w:val="000000" w:themeColor="text1"/>
          <w:sz w:val="22"/>
          <w:szCs w:val="22"/>
          <w:lang w:val="en-US"/>
        </w:rPr>
        <w:t xml:space="preserve">, </w:t>
      </w:r>
      <w:r w:rsidR="00CA1211">
        <w:rPr>
          <w:color w:val="000000" w:themeColor="text1"/>
          <w:sz w:val="22"/>
          <w:szCs w:val="22"/>
          <w:lang w:val="en-US"/>
        </w:rPr>
        <w:t>c</w:t>
      </w:r>
      <w:r w:rsidR="00E41DAD" w:rsidRPr="00E41DAD">
        <w:rPr>
          <w:color w:val="000000" w:themeColor="text1"/>
          <w:sz w:val="22"/>
          <w:szCs w:val="22"/>
          <w:lang w:val="en-US"/>
        </w:rPr>
        <w:t>onducted emission</w:t>
      </w:r>
      <w:r w:rsidR="00CA1211">
        <w:rPr>
          <w:color w:val="000000" w:themeColor="text1"/>
          <w:sz w:val="22"/>
          <w:szCs w:val="22"/>
          <w:lang w:val="en-US"/>
        </w:rPr>
        <w:t xml:space="preserve">, conducted </w:t>
      </w:r>
      <w:r w:rsidR="00CA1211">
        <w:rPr>
          <w:color w:val="000000" w:themeColor="text1"/>
          <w:sz w:val="22"/>
          <w:szCs w:val="22"/>
          <w:lang w:val="en-US"/>
        </w:rPr>
        <w:lastRenderedPageBreak/>
        <w:t xml:space="preserve">immunity, ESD, EFT, Voltage dips and surges test methods </w:t>
      </w:r>
      <w:r w:rsidR="00E41DAD" w:rsidRPr="00E41DAD">
        <w:rPr>
          <w:color w:val="000000" w:themeColor="text1"/>
          <w:sz w:val="22"/>
          <w:szCs w:val="22"/>
          <w:lang w:val="en-US"/>
        </w:rPr>
        <w:t>and levels defined by IEC/CISPR are independent of the product (BS) characteristics and features, including the operating frequency</w:t>
      </w:r>
      <w:r w:rsidR="00683891">
        <w:rPr>
          <w:color w:val="000000" w:themeColor="text1"/>
          <w:sz w:val="22"/>
          <w:szCs w:val="22"/>
          <w:lang w:val="en-US"/>
        </w:rPr>
        <w:t xml:space="preserve">. This covers a BS </w:t>
      </w:r>
      <w:r w:rsidR="00787E0C">
        <w:rPr>
          <w:color w:val="000000" w:themeColor="text1"/>
          <w:sz w:val="22"/>
          <w:szCs w:val="22"/>
          <w:lang w:val="en-US"/>
        </w:rPr>
        <w:t>with IAB characteristics.</w:t>
      </w:r>
    </w:p>
    <w:p w14:paraId="2BB2A412" w14:textId="6AEDD83C" w:rsidR="007950F9" w:rsidRDefault="007950F9" w:rsidP="007950F9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52113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 xml:space="preserve">3: </w:t>
      </w:r>
      <w:r w:rsidRPr="00152113">
        <w:rPr>
          <w:b/>
          <w:color w:val="000000" w:themeColor="text1"/>
          <w:sz w:val="22"/>
          <w:szCs w:val="22"/>
        </w:rPr>
        <w:tab/>
      </w:r>
      <w:r w:rsidR="00D93014" w:rsidRPr="00D93014">
        <w:rPr>
          <w:b/>
          <w:color w:val="000000" w:themeColor="text1"/>
          <w:sz w:val="22"/>
          <w:szCs w:val="22"/>
        </w:rPr>
        <w:t xml:space="preserve">EMC requirements for IAB should consider </w:t>
      </w:r>
      <w:r w:rsidR="007D79B0">
        <w:rPr>
          <w:b/>
          <w:color w:val="000000" w:themeColor="text1"/>
          <w:sz w:val="22"/>
          <w:szCs w:val="22"/>
        </w:rPr>
        <w:t xml:space="preserve">only </w:t>
      </w:r>
      <w:r w:rsidR="00D93014" w:rsidRPr="00D93014">
        <w:rPr>
          <w:b/>
          <w:color w:val="000000" w:themeColor="text1"/>
          <w:sz w:val="22"/>
          <w:szCs w:val="22"/>
        </w:rPr>
        <w:t>those parameters defined for BS</w:t>
      </w:r>
      <w:r w:rsidR="007D79B0">
        <w:rPr>
          <w:b/>
          <w:color w:val="000000" w:themeColor="text1"/>
          <w:sz w:val="22"/>
          <w:szCs w:val="22"/>
        </w:rPr>
        <w:t>.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ED710F1" w14:textId="09C0F4ED" w:rsidR="00912250" w:rsidRDefault="000A577F" w:rsidP="009B3B57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In this contribution consideration</w:t>
      </w:r>
      <w:r w:rsidR="00C779F7">
        <w:rPr>
          <w:color w:val="000000" w:themeColor="text1"/>
          <w:sz w:val="22"/>
        </w:rPr>
        <w:t>s</w:t>
      </w:r>
      <w:r>
        <w:rPr>
          <w:color w:val="000000" w:themeColor="text1"/>
          <w:sz w:val="22"/>
        </w:rPr>
        <w:t xml:space="preserve"> on the </w:t>
      </w:r>
      <w:r w:rsidR="00D7000B">
        <w:rPr>
          <w:color w:val="000000" w:themeColor="text1"/>
          <w:sz w:val="22"/>
        </w:rPr>
        <w:t xml:space="preserve">definition of </w:t>
      </w:r>
      <w:r w:rsidR="00C779F7">
        <w:rPr>
          <w:color w:val="000000" w:themeColor="text1"/>
          <w:sz w:val="22"/>
        </w:rPr>
        <w:t xml:space="preserve">EMC </w:t>
      </w:r>
      <w:r w:rsidR="00D7000B">
        <w:rPr>
          <w:color w:val="000000" w:themeColor="text1"/>
          <w:sz w:val="22"/>
        </w:rPr>
        <w:t xml:space="preserve">requirements for IAB </w:t>
      </w:r>
      <w:r w:rsidR="007A77DD">
        <w:rPr>
          <w:color w:val="000000" w:themeColor="text1"/>
          <w:sz w:val="22"/>
        </w:rPr>
        <w:t>have been presented</w:t>
      </w:r>
      <w:r>
        <w:rPr>
          <w:color w:val="000000" w:themeColor="text1"/>
          <w:sz w:val="22"/>
        </w:rPr>
        <w:t xml:space="preserve">. </w:t>
      </w:r>
      <w:r w:rsidR="009B3B57">
        <w:rPr>
          <w:color w:val="000000" w:themeColor="text1"/>
          <w:sz w:val="22"/>
        </w:rPr>
        <w:t>Based on our observations</w:t>
      </w:r>
      <w:r w:rsidR="00AB535A">
        <w:rPr>
          <w:color w:val="000000" w:themeColor="text1"/>
          <w:sz w:val="22"/>
          <w:szCs w:val="22"/>
        </w:rPr>
        <w:t>, we propose:</w:t>
      </w:r>
    </w:p>
    <w:p w14:paraId="3E549D06" w14:textId="567A8DCE" w:rsidR="003313D4" w:rsidRDefault="00AB535A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AB535A">
        <w:rPr>
          <w:b/>
          <w:color w:val="000000" w:themeColor="text1"/>
          <w:sz w:val="22"/>
          <w:szCs w:val="22"/>
        </w:rPr>
        <w:t>Proposal 1:</w:t>
      </w:r>
      <w:r>
        <w:rPr>
          <w:b/>
          <w:color w:val="000000" w:themeColor="text1"/>
          <w:sz w:val="22"/>
          <w:szCs w:val="22"/>
        </w:rPr>
        <w:t xml:space="preserve"> </w:t>
      </w:r>
      <w:r w:rsidR="00BF3AE5">
        <w:rPr>
          <w:b/>
          <w:color w:val="000000" w:themeColor="text1"/>
          <w:sz w:val="22"/>
          <w:szCs w:val="22"/>
        </w:rPr>
        <w:t xml:space="preserve">Not defining an EMC specification </w:t>
      </w:r>
      <w:r w:rsidR="00C97FEA">
        <w:rPr>
          <w:b/>
          <w:color w:val="000000" w:themeColor="text1"/>
          <w:sz w:val="22"/>
          <w:szCs w:val="22"/>
        </w:rPr>
        <w:t>but</w:t>
      </w:r>
      <w:r w:rsidR="00BF3AE5">
        <w:rPr>
          <w:b/>
          <w:color w:val="000000" w:themeColor="text1"/>
          <w:sz w:val="22"/>
          <w:szCs w:val="22"/>
        </w:rPr>
        <w:t xml:space="preserve"> </w:t>
      </w:r>
      <w:bookmarkStart w:id="1" w:name="_Hlk20993585"/>
      <w:r w:rsidR="00BF3AE5">
        <w:rPr>
          <w:b/>
          <w:color w:val="000000" w:themeColor="text1"/>
          <w:sz w:val="22"/>
          <w:szCs w:val="22"/>
        </w:rPr>
        <w:t xml:space="preserve">extending the scope of current NR EMC specification </w:t>
      </w:r>
      <w:bookmarkEnd w:id="1"/>
      <w:r w:rsidR="00BF3AE5">
        <w:rPr>
          <w:b/>
          <w:color w:val="000000" w:themeColor="text1"/>
          <w:sz w:val="22"/>
          <w:szCs w:val="22"/>
        </w:rPr>
        <w:t xml:space="preserve">for </w:t>
      </w:r>
      <w:r w:rsidR="00C97FEA">
        <w:rPr>
          <w:b/>
          <w:color w:val="000000" w:themeColor="text1"/>
          <w:sz w:val="22"/>
          <w:szCs w:val="22"/>
        </w:rPr>
        <w:t>IAB</w:t>
      </w:r>
      <w:r w:rsidR="00BF3AE5">
        <w:rPr>
          <w:b/>
          <w:color w:val="000000" w:themeColor="text1"/>
          <w:sz w:val="22"/>
          <w:szCs w:val="22"/>
        </w:rPr>
        <w:t>.</w:t>
      </w:r>
    </w:p>
    <w:p w14:paraId="369F0B3A" w14:textId="077CC1B1" w:rsidR="005F2529" w:rsidRDefault="005F2529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Proposal 2: </w:t>
      </w:r>
      <w:r w:rsidR="00F83E5C">
        <w:rPr>
          <w:b/>
          <w:color w:val="000000" w:themeColor="text1"/>
          <w:sz w:val="22"/>
          <w:szCs w:val="22"/>
        </w:rPr>
        <w:t xml:space="preserve">Discuss the changes and additions needed to update TS 38.113 scope </w:t>
      </w:r>
      <w:r w:rsidR="00B65146">
        <w:rPr>
          <w:b/>
          <w:color w:val="000000" w:themeColor="text1"/>
          <w:sz w:val="22"/>
          <w:szCs w:val="22"/>
        </w:rPr>
        <w:t>incorporating IAB</w:t>
      </w:r>
      <w:r w:rsidR="008E1738">
        <w:rPr>
          <w:b/>
          <w:color w:val="000000" w:themeColor="text1"/>
          <w:sz w:val="22"/>
          <w:szCs w:val="22"/>
        </w:rPr>
        <w:t xml:space="preserve"> </w:t>
      </w:r>
      <w:r w:rsidR="006E343F">
        <w:rPr>
          <w:b/>
          <w:color w:val="000000" w:themeColor="text1"/>
          <w:sz w:val="22"/>
          <w:szCs w:val="22"/>
        </w:rPr>
        <w:t>considering only the parameters defined for BS</w:t>
      </w:r>
      <w:r w:rsidR="00B65146">
        <w:rPr>
          <w:b/>
          <w:color w:val="000000" w:themeColor="text1"/>
          <w:sz w:val="22"/>
          <w:szCs w:val="22"/>
        </w:rPr>
        <w:t>.</w:t>
      </w: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2" w:name="_Hlk489447754"/>
    </w:p>
    <w:bookmarkEnd w:id="2"/>
    <w:p w14:paraId="0506FD47" w14:textId="428CBE5A" w:rsidR="00885999" w:rsidRDefault="0047763F" w:rsidP="00E91B1B">
      <w:pPr>
        <w:pStyle w:val="a"/>
        <w:rPr>
          <w:lang w:eastAsia="zh-CN"/>
        </w:rPr>
      </w:pPr>
      <w:r w:rsidRPr="0047763F">
        <w:rPr>
          <w:lang w:eastAsia="zh-CN"/>
        </w:rPr>
        <w:t>3GPP TR 38.874</w:t>
      </w:r>
      <w:r>
        <w:rPr>
          <w:lang w:eastAsia="zh-CN"/>
        </w:rPr>
        <w:t xml:space="preserve">: </w:t>
      </w:r>
      <w:r w:rsidR="00885999">
        <w:rPr>
          <w:lang w:eastAsia="zh-CN"/>
        </w:rPr>
        <w:t xml:space="preserve"> </w:t>
      </w:r>
      <w:r w:rsidR="009318C9">
        <w:rPr>
          <w:lang w:eastAsia="zh-CN"/>
        </w:rPr>
        <w:t>“</w:t>
      </w:r>
      <w:r w:rsidR="009D7C91">
        <w:rPr>
          <w:lang w:eastAsia="zh-CN"/>
        </w:rPr>
        <w:t>NR;</w:t>
      </w:r>
      <w:r w:rsidR="009318C9">
        <w:rPr>
          <w:lang w:eastAsia="zh-CN"/>
        </w:rPr>
        <w:t xml:space="preserve"> </w:t>
      </w:r>
      <w:r w:rsidR="009D7C91">
        <w:rPr>
          <w:lang w:eastAsia="zh-CN"/>
        </w:rPr>
        <w:t>Study on Integrated Access and Backhaul</w:t>
      </w:r>
      <w:r w:rsidR="009318C9">
        <w:rPr>
          <w:lang w:eastAsia="zh-CN"/>
        </w:rPr>
        <w:t>”.</w:t>
      </w:r>
    </w:p>
    <w:p w14:paraId="2C6F647A" w14:textId="073303E1" w:rsidR="00E8225C" w:rsidRDefault="00E8225C" w:rsidP="00DC2169">
      <w:pPr>
        <w:pStyle w:val="a"/>
        <w:rPr>
          <w:lang w:eastAsia="zh-CN"/>
        </w:rPr>
      </w:pPr>
      <w:r>
        <w:rPr>
          <w:lang w:eastAsia="zh-CN"/>
        </w:rPr>
        <w:t>3GPP TS 36.11</w:t>
      </w:r>
      <w:r w:rsidR="004E5D75">
        <w:rPr>
          <w:lang w:eastAsia="zh-CN"/>
        </w:rPr>
        <w:t xml:space="preserve">6: </w:t>
      </w:r>
      <w:r w:rsidR="00193C1C">
        <w:rPr>
          <w:lang w:eastAsia="zh-CN"/>
        </w:rPr>
        <w:t xml:space="preserve"> </w:t>
      </w:r>
      <w:r w:rsidR="004E5D75">
        <w:rPr>
          <w:lang w:eastAsia="zh-CN"/>
        </w:rPr>
        <w:t>“</w:t>
      </w:r>
      <w:r w:rsidR="00193C1C">
        <w:rPr>
          <w:lang w:eastAsia="zh-CN"/>
        </w:rPr>
        <w:t>E-UTRA; Relay radio transmission and reception</w:t>
      </w:r>
      <w:r w:rsidR="004E5D75">
        <w:rPr>
          <w:lang w:eastAsia="zh-CN"/>
        </w:rPr>
        <w:t>”</w:t>
      </w:r>
    </w:p>
    <w:p w14:paraId="333646D9" w14:textId="02F2A94B" w:rsidR="00111A35" w:rsidRDefault="006121B9" w:rsidP="00885999">
      <w:pPr>
        <w:pStyle w:val="a"/>
        <w:rPr>
          <w:lang w:eastAsia="zh-CN"/>
        </w:rPr>
      </w:pPr>
      <w:r w:rsidRPr="006121B9">
        <w:rPr>
          <w:lang w:eastAsia="zh-CN"/>
        </w:rPr>
        <w:t>R4-1905539</w:t>
      </w:r>
      <w:r w:rsidR="00A82D7D">
        <w:rPr>
          <w:lang w:eastAsia="zh-CN"/>
        </w:rPr>
        <w:t xml:space="preserve">. On IAB EMC. </w:t>
      </w:r>
      <w:r w:rsidR="00A82D7D" w:rsidRPr="00A82D7D">
        <w:rPr>
          <w:lang w:eastAsia="zh-CN"/>
        </w:rPr>
        <w:t>RAN WG4 Meeting #91</w:t>
      </w:r>
      <w:r w:rsidR="00A82D7D">
        <w:rPr>
          <w:lang w:eastAsia="zh-CN"/>
        </w:rPr>
        <w:t>. ZTE.</w:t>
      </w:r>
    </w:p>
    <w:p w14:paraId="375FA32C" w14:textId="6725E104" w:rsidR="00F67623" w:rsidRDefault="0062429A" w:rsidP="00885999">
      <w:pPr>
        <w:pStyle w:val="a"/>
        <w:rPr>
          <w:lang w:eastAsia="zh-CN"/>
        </w:rPr>
      </w:pPr>
      <w:r>
        <w:rPr>
          <w:lang w:eastAsia="zh-CN"/>
        </w:rPr>
        <w:t>3GPP TS</w:t>
      </w:r>
      <w:r w:rsidR="00437E39">
        <w:rPr>
          <w:lang w:eastAsia="zh-CN"/>
        </w:rPr>
        <w:t xml:space="preserve"> 36.113</w:t>
      </w:r>
      <w:r w:rsidR="009D05D6">
        <w:rPr>
          <w:lang w:eastAsia="zh-CN"/>
        </w:rPr>
        <w:t xml:space="preserve">: </w:t>
      </w:r>
      <w:r w:rsidR="00F45E2A">
        <w:rPr>
          <w:lang w:eastAsia="zh-CN"/>
        </w:rPr>
        <w:t xml:space="preserve"> “E-UTRA</w:t>
      </w:r>
      <w:r w:rsidR="00AE62CB">
        <w:rPr>
          <w:lang w:eastAsia="zh-CN"/>
        </w:rPr>
        <w:t xml:space="preserve">; </w:t>
      </w:r>
      <w:r w:rsidR="00AE62CB" w:rsidRPr="00AE62CB">
        <w:rPr>
          <w:lang w:eastAsia="zh-CN"/>
        </w:rPr>
        <w:t xml:space="preserve">Base Station (BS) and repeater </w:t>
      </w:r>
      <w:proofErr w:type="spellStart"/>
      <w:r w:rsidR="00AE62CB" w:rsidRPr="00AE62CB">
        <w:rPr>
          <w:lang w:eastAsia="zh-CN"/>
        </w:rPr>
        <w:t>ElectroMagnetic</w:t>
      </w:r>
      <w:proofErr w:type="spellEnd"/>
      <w:r w:rsidR="00AE62CB" w:rsidRPr="00AE62CB">
        <w:rPr>
          <w:lang w:eastAsia="zh-CN"/>
        </w:rPr>
        <w:t xml:space="preserve"> Compatibility (EMC)</w:t>
      </w:r>
      <w:r w:rsidR="00F45E2A">
        <w:rPr>
          <w:lang w:eastAsia="zh-CN"/>
        </w:rPr>
        <w:t>”</w:t>
      </w:r>
    </w:p>
    <w:p w14:paraId="61542C4E" w14:textId="75BC7471" w:rsidR="00E90B2E" w:rsidRDefault="00B90C4B" w:rsidP="00885999">
      <w:pPr>
        <w:pStyle w:val="a"/>
        <w:rPr>
          <w:lang w:eastAsia="zh-CN"/>
        </w:rPr>
      </w:pPr>
      <w:r w:rsidRPr="00B90C4B">
        <w:rPr>
          <w:lang w:eastAsia="zh-CN"/>
        </w:rPr>
        <w:t>R2-1801022</w:t>
      </w:r>
      <w:r>
        <w:rPr>
          <w:lang w:eastAsia="zh-CN"/>
        </w:rPr>
        <w:t xml:space="preserve">. </w:t>
      </w:r>
      <w:r w:rsidR="003A796F">
        <w:t xml:space="preserve">Architecture for integrated access and backhaul. </w:t>
      </w:r>
      <w:r w:rsidR="005A7D44" w:rsidRPr="005A7D44">
        <w:t>RAN WG2 NR AH1801</w:t>
      </w:r>
      <w:r w:rsidR="005A7D44">
        <w:t>. Ericsson.</w:t>
      </w:r>
    </w:p>
    <w:p w14:paraId="4A7AD613" w14:textId="2F6B7EE9" w:rsidR="007F018A" w:rsidRDefault="000F71DA" w:rsidP="007F018A">
      <w:pPr>
        <w:pStyle w:val="a"/>
      </w:pPr>
      <w:r>
        <w:t>R4-19</w:t>
      </w:r>
      <w:r w:rsidR="002142B2">
        <w:t>11847</w:t>
      </w:r>
      <w:bookmarkStart w:id="3" w:name="_GoBack"/>
      <w:bookmarkEnd w:id="3"/>
      <w:r>
        <w:t xml:space="preserve">. </w:t>
      </w:r>
      <w:r w:rsidR="007F018A" w:rsidRPr="007F018A">
        <w:t>Draft CR to 38.113 Adding IAB to scope</w:t>
      </w:r>
      <w:r w:rsidR="007F018A">
        <w:t xml:space="preserve">. </w:t>
      </w:r>
      <w:r w:rsidR="007F018A" w:rsidRPr="00A82D7D">
        <w:rPr>
          <w:lang w:eastAsia="zh-CN"/>
        </w:rPr>
        <w:t>RAN WG4 Meeting #9</w:t>
      </w:r>
      <w:r w:rsidR="007F018A">
        <w:rPr>
          <w:lang w:eastAsia="zh-CN"/>
        </w:rPr>
        <w:t>2. Ericsson.</w:t>
      </w:r>
      <w:r w:rsidR="007F018A" w:rsidRPr="007F018A">
        <w:t xml:space="preserve"> </w:t>
      </w:r>
    </w:p>
    <w:p w14:paraId="3D66FC4E" w14:textId="7376D81D" w:rsidR="00CC7772" w:rsidRPr="007F018A" w:rsidRDefault="00F05A7F" w:rsidP="007F018A">
      <w:pPr>
        <w:pStyle w:val="a"/>
      </w:pPr>
      <w:r w:rsidRPr="00F05A7F">
        <w:t>R4-1912014</w:t>
      </w:r>
      <w:r w:rsidR="00CC7772">
        <w:t xml:space="preserve">, </w:t>
      </w:r>
      <w:r w:rsidR="00CC7772" w:rsidRPr="00CC7772">
        <w:t>IAB Tx dynamic range</w:t>
      </w:r>
      <w:r w:rsidR="00CC7772">
        <w:t>, Ericsson</w:t>
      </w:r>
    </w:p>
    <w:p w14:paraId="59CC101B" w14:textId="7F7AFC40" w:rsidR="000F71DA" w:rsidRDefault="000F71DA" w:rsidP="007F018A">
      <w:pPr>
        <w:pStyle w:val="a"/>
        <w:numPr>
          <w:ilvl w:val="0"/>
          <w:numId w:val="0"/>
        </w:numPr>
        <w:ind w:left="360"/>
        <w:rPr>
          <w:lang w:eastAsia="zh-CN"/>
        </w:rPr>
      </w:pPr>
    </w:p>
    <w:sectPr w:rsidR="000F71D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73FC2" w14:textId="77777777" w:rsidR="00E04F42" w:rsidRDefault="00E04F42">
      <w:r>
        <w:separator/>
      </w:r>
    </w:p>
  </w:endnote>
  <w:endnote w:type="continuationSeparator" w:id="0">
    <w:p w14:paraId="1DA7A881" w14:textId="77777777" w:rsidR="00E04F42" w:rsidRDefault="00E04F42">
      <w:r>
        <w:continuationSeparator/>
      </w:r>
    </w:p>
  </w:endnote>
  <w:endnote w:type="continuationNotice" w:id="1">
    <w:p w14:paraId="21608B35" w14:textId="77777777" w:rsidR="00E04F42" w:rsidRDefault="00E04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62D16" w14:textId="77777777" w:rsidR="00E04F42" w:rsidRDefault="00E04F42">
      <w:r>
        <w:separator/>
      </w:r>
    </w:p>
  </w:footnote>
  <w:footnote w:type="continuationSeparator" w:id="0">
    <w:p w14:paraId="14C45BBD" w14:textId="77777777" w:rsidR="00E04F42" w:rsidRDefault="00E04F42">
      <w:r>
        <w:continuationSeparator/>
      </w:r>
    </w:p>
  </w:footnote>
  <w:footnote w:type="continuationNotice" w:id="1">
    <w:p w14:paraId="3C205B67" w14:textId="77777777" w:rsidR="00E04F42" w:rsidRDefault="00E04F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2"/>
  </w:num>
  <w:num w:numId="3">
    <w:abstractNumId w:val="30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5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1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28"/>
  </w:num>
  <w:num w:numId="32">
    <w:abstractNumId w:val="29"/>
  </w:num>
  <w:num w:numId="33">
    <w:abstractNumId w:val="11"/>
  </w:num>
  <w:num w:numId="34">
    <w:abstractNumId w:val="27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5B52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8D5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1F61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87F03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392"/>
    <w:rsid w:val="00095558"/>
    <w:rsid w:val="00095782"/>
    <w:rsid w:val="000957D9"/>
    <w:rsid w:val="000959FB"/>
    <w:rsid w:val="00096225"/>
    <w:rsid w:val="00096272"/>
    <w:rsid w:val="000964FD"/>
    <w:rsid w:val="00096593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873"/>
    <w:rsid w:val="000B2E77"/>
    <w:rsid w:val="000B3096"/>
    <w:rsid w:val="000B3D4C"/>
    <w:rsid w:val="000B3DDA"/>
    <w:rsid w:val="000B4459"/>
    <w:rsid w:val="000B4DBD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08CD"/>
    <w:rsid w:val="000D1247"/>
    <w:rsid w:val="000D1B56"/>
    <w:rsid w:val="000D1C37"/>
    <w:rsid w:val="000D1DB3"/>
    <w:rsid w:val="000D209A"/>
    <w:rsid w:val="000D20D6"/>
    <w:rsid w:val="000D20DB"/>
    <w:rsid w:val="000D210B"/>
    <w:rsid w:val="000D2634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B91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1DA"/>
    <w:rsid w:val="000F7753"/>
    <w:rsid w:val="000F7A87"/>
    <w:rsid w:val="000F7B38"/>
    <w:rsid w:val="000F7C7D"/>
    <w:rsid w:val="000F7DD6"/>
    <w:rsid w:val="000F7F83"/>
    <w:rsid w:val="00100075"/>
    <w:rsid w:val="0010011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07EBE"/>
    <w:rsid w:val="00110179"/>
    <w:rsid w:val="00110192"/>
    <w:rsid w:val="001110F4"/>
    <w:rsid w:val="0011116E"/>
    <w:rsid w:val="00111317"/>
    <w:rsid w:val="00111A35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D77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1A9D"/>
    <w:rsid w:val="0015211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46"/>
    <w:rsid w:val="001544DF"/>
    <w:rsid w:val="00154A23"/>
    <w:rsid w:val="00154A85"/>
    <w:rsid w:val="00154ABE"/>
    <w:rsid w:val="001553F0"/>
    <w:rsid w:val="00155876"/>
    <w:rsid w:val="00155EBD"/>
    <w:rsid w:val="0015623A"/>
    <w:rsid w:val="00156303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28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C1C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7DE"/>
    <w:rsid w:val="00196150"/>
    <w:rsid w:val="00196A1E"/>
    <w:rsid w:val="00196BD4"/>
    <w:rsid w:val="001976A0"/>
    <w:rsid w:val="001979F3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24"/>
    <w:rsid w:val="001B5361"/>
    <w:rsid w:val="001B562D"/>
    <w:rsid w:val="001B5B82"/>
    <w:rsid w:val="001B63F3"/>
    <w:rsid w:val="001B645F"/>
    <w:rsid w:val="001B64C0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2B2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244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491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5E3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4F5"/>
    <w:rsid w:val="002A38E2"/>
    <w:rsid w:val="002A394B"/>
    <w:rsid w:val="002A3B0C"/>
    <w:rsid w:val="002A3D18"/>
    <w:rsid w:val="002A4716"/>
    <w:rsid w:val="002A4AF0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694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504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1E4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B4B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078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2C3"/>
    <w:rsid w:val="003573F2"/>
    <w:rsid w:val="0035766B"/>
    <w:rsid w:val="003601BE"/>
    <w:rsid w:val="003601C9"/>
    <w:rsid w:val="00360290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524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8C9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9A3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96F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5B6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1C4"/>
    <w:rsid w:val="003C0C8D"/>
    <w:rsid w:val="003C0CD5"/>
    <w:rsid w:val="003C0DC8"/>
    <w:rsid w:val="003C1792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C7D78"/>
    <w:rsid w:val="003D019B"/>
    <w:rsid w:val="003D01DB"/>
    <w:rsid w:val="003D0528"/>
    <w:rsid w:val="003D08E6"/>
    <w:rsid w:val="003D103A"/>
    <w:rsid w:val="003D117E"/>
    <w:rsid w:val="003D1212"/>
    <w:rsid w:val="003D172B"/>
    <w:rsid w:val="003D18BF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3A9"/>
    <w:rsid w:val="00411F1F"/>
    <w:rsid w:val="00412293"/>
    <w:rsid w:val="0041235A"/>
    <w:rsid w:val="00412FCC"/>
    <w:rsid w:val="0041310A"/>
    <w:rsid w:val="0041390E"/>
    <w:rsid w:val="00413C31"/>
    <w:rsid w:val="00413EB2"/>
    <w:rsid w:val="00414045"/>
    <w:rsid w:val="00414D1E"/>
    <w:rsid w:val="00414EC0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D92"/>
    <w:rsid w:val="00437E39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ADD"/>
    <w:rsid w:val="00444C8A"/>
    <w:rsid w:val="00445142"/>
    <w:rsid w:val="004456C4"/>
    <w:rsid w:val="004461B8"/>
    <w:rsid w:val="00446A70"/>
    <w:rsid w:val="00447357"/>
    <w:rsid w:val="00447419"/>
    <w:rsid w:val="00447845"/>
    <w:rsid w:val="0044789F"/>
    <w:rsid w:val="004479C6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0B52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0B6"/>
    <w:rsid w:val="00475698"/>
    <w:rsid w:val="004757F8"/>
    <w:rsid w:val="0047680D"/>
    <w:rsid w:val="00476905"/>
    <w:rsid w:val="00476E60"/>
    <w:rsid w:val="004770BF"/>
    <w:rsid w:val="00477239"/>
    <w:rsid w:val="0047763F"/>
    <w:rsid w:val="00477684"/>
    <w:rsid w:val="0047792D"/>
    <w:rsid w:val="00477A61"/>
    <w:rsid w:val="00477B3C"/>
    <w:rsid w:val="00477C83"/>
    <w:rsid w:val="004805C3"/>
    <w:rsid w:val="00480627"/>
    <w:rsid w:val="0048072B"/>
    <w:rsid w:val="00480CDF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143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65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40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5D75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8EE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3CA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CE9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7D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97F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AF9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26E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4D5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D44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95A"/>
    <w:rsid w:val="005B3BA4"/>
    <w:rsid w:val="005B3F51"/>
    <w:rsid w:val="005B41FB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AA2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B15"/>
    <w:rsid w:val="005E00CA"/>
    <w:rsid w:val="005E01F2"/>
    <w:rsid w:val="005E023C"/>
    <w:rsid w:val="005E0532"/>
    <w:rsid w:val="005E0F73"/>
    <w:rsid w:val="005E119F"/>
    <w:rsid w:val="005E1450"/>
    <w:rsid w:val="005E1596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640F"/>
    <w:rsid w:val="005E726B"/>
    <w:rsid w:val="005E74D5"/>
    <w:rsid w:val="005E7595"/>
    <w:rsid w:val="005E7674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529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3F36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B9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A05"/>
    <w:rsid w:val="00620C28"/>
    <w:rsid w:val="00620F33"/>
    <w:rsid w:val="00621DA7"/>
    <w:rsid w:val="00622447"/>
    <w:rsid w:val="006225A2"/>
    <w:rsid w:val="00622667"/>
    <w:rsid w:val="00622763"/>
    <w:rsid w:val="00622930"/>
    <w:rsid w:val="006229E7"/>
    <w:rsid w:val="00623659"/>
    <w:rsid w:val="00623FB5"/>
    <w:rsid w:val="0062429A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8D6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AEA"/>
    <w:rsid w:val="00645C98"/>
    <w:rsid w:val="00645E83"/>
    <w:rsid w:val="0064650E"/>
    <w:rsid w:val="006467D4"/>
    <w:rsid w:val="006469A6"/>
    <w:rsid w:val="00646C5F"/>
    <w:rsid w:val="00646DE4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593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22C5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DA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91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0E23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875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5E7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3F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1CE5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6E9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4726"/>
    <w:rsid w:val="00755475"/>
    <w:rsid w:val="00755879"/>
    <w:rsid w:val="00756BCF"/>
    <w:rsid w:val="00757435"/>
    <w:rsid w:val="007575A9"/>
    <w:rsid w:val="0075767F"/>
    <w:rsid w:val="00757946"/>
    <w:rsid w:val="007579D1"/>
    <w:rsid w:val="007601CA"/>
    <w:rsid w:val="00760540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A96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9C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87E0C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54D"/>
    <w:rsid w:val="0079485A"/>
    <w:rsid w:val="00794A9C"/>
    <w:rsid w:val="007950F9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A0B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D79B0"/>
    <w:rsid w:val="007E07F1"/>
    <w:rsid w:val="007E0AB9"/>
    <w:rsid w:val="007E12C0"/>
    <w:rsid w:val="007E14D1"/>
    <w:rsid w:val="007E18B7"/>
    <w:rsid w:val="007E1AFD"/>
    <w:rsid w:val="007E2F9B"/>
    <w:rsid w:val="007E3057"/>
    <w:rsid w:val="007E3287"/>
    <w:rsid w:val="007E442E"/>
    <w:rsid w:val="007E45B7"/>
    <w:rsid w:val="007E460A"/>
    <w:rsid w:val="007E4ACD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18A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7E2"/>
    <w:rsid w:val="007F5A28"/>
    <w:rsid w:val="007F5A7C"/>
    <w:rsid w:val="007F5EB7"/>
    <w:rsid w:val="007F5FF4"/>
    <w:rsid w:val="007F6187"/>
    <w:rsid w:val="007F6452"/>
    <w:rsid w:val="007F675C"/>
    <w:rsid w:val="007F69C8"/>
    <w:rsid w:val="007F6BAB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1F4A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746"/>
    <w:rsid w:val="00824C64"/>
    <w:rsid w:val="00824E4F"/>
    <w:rsid w:val="00824F08"/>
    <w:rsid w:val="00825115"/>
    <w:rsid w:val="0082564A"/>
    <w:rsid w:val="00825712"/>
    <w:rsid w:val="00825A48"/>
    <w:rsid w:val="00825B11"/>
    <w:rsid w:val="00825BFB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656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5D6"/>
    <w:rsid w:val="0085365A"/>
    <w:rsid w:val="00853660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1FA6"/>
    <w:rsid w:val="0087281D"/>
    <w:rsid w:val="0087337B"/>
    <w:rsid w:val="0087360D"/>
    <w:rsid w:val="00873ACE"/>
    <w:rsid w:val="00874042"/>
    <w:rsid w:val="008742DD"/>
    <w:rsid w:val="008744FD"/>
    <w:rsid w:val="00874BA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8C9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AC1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33B"/>
    <w:rsid w:val="008B2C8A"/>
    <w:rsid w:val="008B34AB"/>
    <w:rsid w:val="008B351B"/>
    <w:rsid w:val="008B3692"/>
    <w:rsid w:val="008B37AF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AA4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6CF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738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CE1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8D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77E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C9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AA7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ECC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670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0C3A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27C"/>
    <w:rsid w:val="009D05D6"/>
    <w:rsid w:val="009D065E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0EF"/>
    <w:rsid w:val="009D74A4"/>
    <w:rsid w:val="009D77B9"/>
    <w:rsid w:val="009D7C91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67C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D71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A03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050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4A4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CB3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03"/>
    <w:rsid w:val="00A65B30"/>
    <w:rsid w:val="00A65C23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4F1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325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7D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5E8E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3C7A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B0D"/>
    <w:rsid w:val="00AE2E05"/>
    <w:rsid w:val="00AE302B"/>
    <w:rsid w:val="00AE34A1"/>
    <w:rsid w:val="00AE37CD"/>
    <w:rsid w:val="00AE3A7E"/>
    <w:rsid w:val="00AE3EF4"/>
    <w:rsid w:val="00AE4634"/>
    <w:rsid w:val="00AE470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2CB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225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57A77"/>
    <w:rsid w:val="00B602FB"/>
    <w:rsid w:val="00B6071F"/>
    <w:rsid w:val="00B60BC9"/>
    <w:rsid w:val="00B60D9A"/>
    <w:rsid w:val="00B61B80"/>
    <w:rsid w:val="00B61C36"/>
    <w:rsid w:val="00B61D50"/>
    <w:rsid w:val="00B62863"/>
    <w:rsid w:val="00B62BA8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146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5B6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42A"/>
    <w:rsid w:val="00B8775F"/>
    <w:rsid w:val="00B90398"/>
    <w:rsid w:val="00B90598"/>
    <w:rsid w:val="00B90AA2"/>
    <w:rsid w:val="00B90C4B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11F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0A"/>
    <w:rsid w:val="00BA7735"/>
    <w:rsid w:val="00BA7830"/>
    <w:rsid w:val="00BA7981"/>
    <w:rsid w:val="00BA79DB"/>
    <w:rsid w:val="00BA7B95"/>
    <w:rsid w:val="00BB0071"/>
    <w:rsid w:val="00BB0540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0EA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5F6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28C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F2"/>
    <w:rsid w:val="00BF1AD1"/>
    <w:rsid w:val="00BF1D3B"/>
    <w:rsid w:val="00BF21E8"/>
    <w:rsid w:val="00BF234B"/>
    <w:rsid w:val="00BF2A76"/>
    <w:rsid w:val="00BF35D0"/>
    <w:rsid w:val="00BF3AE5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1D9"/>
    <w:rsid w:val="00C25A55"/>
    <w:rsid w:val="00C25DEE"/>
    <w:rsid w:val="00C26020"/>
    <w:rsid w:val="00C264D4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CD8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C9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29C0"/>
    <w:rsid w:val="00C5321E"/>
    <w:rsid w:val="00C53714"/>
    <w:rsid w:val="00C53A53"/>
    <w:rsid w:val="00C53B4B"/>
    <w:rsid w:val="00C54072"/>
    <w:rsid w:val="00C54278"/>
    <w:rsid w:val="00C5501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BE4"/>
    <w:rsid w:val="00C57CF1"/>
    <w:rsid w:val="00C6012D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C57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69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DF4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97FEA"/>
    <w:rsid w:val="00CA0267"/>
    <w:rsid w:val="00CA0D4F"/>
    <w:rsid w:val="00CA0E75"/>
    <w:rsid w:val="00CA1211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993"/>
    <w:rsid w:val="00CB6F01"/>
    <w:rsid w:val="00CB76EB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7D9"/>
    <w:rsid w:val="00CC3CE9"/>
    <w:rsid w:val="00CC4724"/>
    <w:rsid w:val="00CC488E"/>
    <w:rsid w:val="00CC4E6C"/>
    <w:rsid w:val="00CC5026"/>
    <w:rsid w:val="00CC586A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72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6A0"/>
    <w:rsid w:val="00CD2EEC"/>
    <w:rsid w:val="00CD2F9C"/>
    <w:rsid w:val="00CD2FE6"/>
    <w:rsid w:val="00CD3036"/>
    <w:rsid w:val="00CD33ED"/>
    <w:rsid w:val="00CD353E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1F2"/>
    <w:rsid w:val="00CE637F"/>
    <w:rsid w:val="00CE63D0"/>
    <w:rsid w:val="00CE6950"/>
    <w:rsid w:val="00CE6A72"/>
    <w:rsid w:val="00CE6E6A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7FC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40B6"/>
    <w:rsid w:val="00D244C3"/>
    <w:rsid w:val="00D248C5"/>
    <w:rsid w:val="00D24C3E"/>
    <w:rsid w:val="00D24FBC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BAE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5CE7"/>
    <w:rsid w:val="00D36390"/>
    <w:rsid w:val="00D3654F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00B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7FC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014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C14"/>
    <w:rsid w:val="00DA3E3E"/>
    <w:rsid w:val="00DA3EB8"/>
    <w:rsid w:val="00DA4058"/>
    <w:rsid w:val="00DA4115"/>
    <w:rsid w:val="00DA4184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349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2AC8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5B10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0FC7"/>
    <w:rsid w:val="00DF114F"/>
    <w:rsid w:val="00DF14E8"/>
    <w:rsid w:val="00DF17C6"/>
    <w:rsid w:val="00DF17E3"/>
    <w:rsid w:val="00DF2190"/>
    <w:rsid w:val="00DF272D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4F42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384"/>
    <w:rsid w:val="00E07605"/>
    <w:rsid w:val="00E07684"/>
    <w:rsid w:val="00E078AD"/>
    <w:rsid w:val="00E07B98"/>
    <w:rsid w:val="00E07FEC"/>
    <w:rsid w:val="00E10660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02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DCA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2F9E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733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AB4"/>
    <w:rsid w:val="00E41C59"/>
    <w:rsid w:val="00E41DAD"/>
    <w:rsid w:val="00E42088"/>
    <w:rsid w:val="00E42115"/>
    <w:rsid w:val="00E425F7"/>
    <w:rsid w:val="00E42E5C"/>
    <w:rsid w:val="00E42EE0"/>
    <w:rsid w:val="00E43493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47FC8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426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6CDE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0F9B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67B7"/>
    <w:rsid w:val="00E76CB9"/>
    <w:rsid w:val="00E77016"/>
    <w:rsid w:val="00E779A9"/>
    <w:rsid w:val="00E77CE7"/>
    <w:rsid w:val="00E77FE0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25C"/>
    <w:rsid w:val="00E824C1"/>
    <w:rsid w:val="00E824D0"/>
    <w:rsid w:val="00E82709"/>
    <w:rsid w:val="00E827F6"/>
    <w:rsid w:val="00E82882"/>
    <w:rsid w:val="00E8295C"/>
    <w:rsid w:val="00E82A32"/>
    <w:rsid w:val="00E82B01"/>
    <w:rsid w:val="00E82DCC"/>
    <w:rsid w:val="00E83E81"/>
    <w:rsid w:val="00E84B4E"/>
    <w:rsid w:val="00E84C94"/>
    <w:rsid w:val="00E84E3A"/>
    <w:rsid w:val="00E84FB2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B2E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D69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8AD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5DE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3C9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7B7"/>
    <w:rsid w:val="00F03A30"/>
    <w:rsid w:val="00F04C99"/>
    <w:rsid w:val="00F04D95"/>
    <w:rsid w:val="00F053A1"/>
    <w:rsid w:val="00F05649"/>
    <w:rsid w:val="00F0584C"/>
    <w:rsid w:val="00F05939"/>
    <w:rsid w:val="00F05A7F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4594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E2A"/>
    <w:rsid w:val="00F45FF2"/>
    <w:rsid w:val="00F46389"/>
    <w:rsid w:val="00F4646F"/>
    <w:rsid w:val="00F464DC"/>
    <w:rsid w:val="00F46B3B"/>
    <w:rsid w:val="00F470C5"/>
    <w:rsid w:val="00F475D0"/>
    <w:rsid w:val="00F47617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623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2C36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3E5C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585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5D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4CF7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17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2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94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23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1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5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9363E-887D-4BC7-B890-65A376EAEA0B}">
  <ds:schemaRefs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4EAC5B8-F625-4B85-B7A4-289675BB15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CB5793-2D03-4666-ACB8-F28FC421F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5E3E9D-025B-41E3-8590-A81B54651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1183</Words>
  <Characters>5934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Torbjörn Elfström</cp:lastModifiedBy>
  <cp:revision>4</cp:revision>
  <cp:lastPrinted>2018-04-06T14:24:00Z</cp:lastPrinted>
  <dcterms:created xsi:type="dcterms:W3CDTF">2019-10-04T13:40:00Z</dcterms:created>
  <dcterms:modified xsi:type="dcterms:W3CDTF">2019-10-04T14:24:00Z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0x0101003AA7AC0C743A294CADF60F661720E3E6</vt:lpwstr>
  </property>
</Properties>
</file>