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912ADB">
        <w:rPr>
          <w:rFonts w:cs="Arial"/>
          <w:sz w:val="24"/>
          <w:szCs w:val="24"/>
          <w:lang w:val="en-US" w:eastAsia="ja-JP"/>
        </w:rPr>
        <w:t>2</w:t>
      </w:r>
      <w:r w:rsidR="008443A8">
        <w:rPr>
          <w:rFonts w:cs="Arial"/>
          <w:sz w:val="24"/>
          <w:szCs w:val="24"/>
          <w:lang w:val="en-US" w:eastAsia="ja-JP"/>
        </w:rPr>
        <w:t>bis</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EF3219" w:rsidRPr="00EF3219">
        <w:rPr>
          <w:rFonts w:cs="Arial"/>
          <w:sz w:val="24"/>
          <w:szCs w:val="24"/>
          <w:lang w:val="en-US"/>
        </w:rPr>
        <w:t>R4-1911597</w:t>
      </w:r>
    </w:p>
    <w:p w:rsidR="007D7031" w:rsidRPr="007408EB" w:rsidRDefault="008443A8"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Chongqing</w:t>
      </w:r>
      <w:r w:rsidR="007D7031" w:rsidRPr="007408EB">
        <w:rPr>
          <w:rFonts w:ascii="Arial" w:hAnsi="Arial" w:cs="Arial"/>
          <w:b/>
          <w:sz w:val="24"/>
          <w:szCs w:val="24"/>
          <w:lang w:eastAsia="ja-JP"/>
        </w:rPr>
        <w:t xml:space="preserve">, </w:t>
      </w:r>
      <w:r>
        <w:rPr>
          <w:rFonts w:ascii="Arial" w:hAnsi="Arial" w:cs="Arial"/>
          <w:b/>
          <w:sz w:val="24"/>
          <w:szCs w:val="24"/>
          <w:lang w:eastAsia="ja-JP"/>
        </w:rPr>
        <w:t>China</w:t>
      </w:r>
      <w:r w:rsidR="004810CC">
        <w:rPr>
          <w:rFonts w:ascii="Arial" w:hAnsi="Arial" w:cs="Arial"/>
          <w:b/>
          <w:sz w:val="24"/>
          <w:szCs w:val="24"/>
          <w:lang w:eastAsia="ja-JP"/>
        </w:rPr>
        <w:t xml:space="preserve">, </w:t>
      </w:r>
      <w:r>
        <w:rPr>
          <w:rFonts w:ascii="Arial" w:hAnsi="Arial" w:cs="Arial"/>
          <w:b/>
          <w:sz w:val="24"/>
          <w:szCs w:val="24"/>
          <w:lang w:eastAsia="ja-JP"/>
        </w:rPr>
        <w:t>Oct.</w:t>
      </w:r>
      <w:r w:rsidR="007D7031">
        <w:rPr>
          <w:rFonts w:ascii="Arial" w:hAnsi="Arial" w:cs="Arial"/>
          <w:b/>
          <w:sz w:val="24"/>
          <w:szCs w:val="24"/>
          <w:lang w:eastAsia="ja-JP"/>
        </w:rPr>
        <w:t xml:space="preserve"> </w:t>
      </w:r>
      <w:r>
        <w:rPr>
          <w:rFonts w:ascii="Arial" w:hAnsi="Arial" w:cs="Arial"/>
          <w:b/>
          <w:sz w:val="24"/>
          <w:szCs w:val="24"/>
          <w:lang w:eastAsia="ja-JP"/>
        </w:rPr>
        <w:t>14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18</w:t>
      </w:r>
      <w:r w:rsidR="00A44476">
        <w:rPr>
          <w:rFonts w:ascii="Arial" w:hAnsi="Arial" w:cs="Arial"/>
          <w:b/>
          <w:sz w:val="24"/>
          <w:szCs w:val="24"/>
          <w:vertAlign w:val="superscript"/>
          <w:lang w:eastAsia="ja-JP"/>
        </w:rPr>
        <w:t>th</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074837">
        <w:rPr>
          <w:rFonts w:ascii="Arial" w:hAnsi="Arial" w:cs="Arial"/>
          <w:sz w:val="24"/>
          <w:szCs w:val="24"/>
        </w:rPr>
        <w:t xml:space="preserve">n259 </w:t>
      </w:r>
      <w:r w:rsidR="00166A19">
        <w:rPr>
          <w:rFonts w:ascii="Arial" w:hAnsi="Arial" w:cs="Arial"/>
          <w:sz w:val="24"/>
          <w:szCs w:val="24"/>
        </w:rPr>
        <w:t xml:space="preserve">PC3 </w:t>
      </w:r>
      <w:r w:rsidR="00074837">
        <w:rPr>
          <w:rFonts w:ascii="Arial" w:hAnsi="Arial" w:cs="Arial"/>
          <w:sz w:val="24"/>
          <w:szCs w:val="24"/>
        </w:rPr>
        <w:t xml:space="preserve">minimum peak EIRP </w:t>
      </w:r>
      <w:r w:rsidR="00166A19">
        <w:rPr>
          <w:rFonts w:ascii="Arial" w:hAnsi="Arial" w:cs="Arial"/>
          <w:sz w:val="24"/>
          <w:szCs w:val="24"/>
        </w:rPr>
        <w:t xml:space="preserve">and REFSENS </w:t>
      </w:r>
      <w:r w:rsidR="00074837">
        <w:rPr>
          <w:rFonts w:ascii="Arial" w:hAnsi="Arial" w:cs="Arial"/>
          <w:sz w:val="24"/>
          <w:szCs w:val="24"/>
        </w:rPr>
        <w:t>link budget</w:t>
      </w:r>
      <w:r w:rsidR="00EF3219">
        <w:rPr>
          <w:rFonts w:ascii="Arial" w:hAnsi="Arial" w:cs="Arial"/>
          <w:sz w:val="24"/>
          <w:szCs w:val="24"/>
        </w:rPr>
        <w:t>s</w:t>
      </w:r>
      <w:r w:rsidR="00074837">
        <w:rPr>
          <w:rFonts w:ascii="Arial" w:hAnsi="Arial" w:cs="Arial"/>
          <w:sz w:val="24"/>
          <w:szCs w:val="24"/>
        </w:rPr>
        <w:t xml:space="preserve"> </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6414DA">
        <w:rPr>
          <w:rFonts w:ascii="Arial" w:hAnsi="Arial" w:cs="Arial"/>
          <w:sz w:val="24"/>
          <w:szCs w:val="24"/>
        </w:rPr>
        <w:t>9.16.1</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074837">
        <w:rPr>
          <w:rFonts w:ascii="Arial" w:eastAsia="SimSun" w:hAnsi="Arial" w:cs="Arial"/>
          <w:sz w:val="24"/>
          <w:szCs w:val="24"/>
          <w:lang w:eastAsia="zh-CN"/>
        </w:rPr>
        <w:t>Discussion</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166A19" w:rsidP="00E15588">
      <w:pPr>
        <w:spacing w:after="120"/>
        <w:jc w:val="both"/>
        <w:rPr>
          <w:rFonts w:ascii="Arial" w:eastAsia="SimSun" w:hAnsi="Arial" w:cs="Arial"/>
          <w:lang w:eastAsia="zh-CN"/>
        </w:rPr>
      </w:pPr>
      <w:r>
        <w:rPr>
          <w:rFonts w:ascii="Arial" w:eastAsia="SimSun" w:hAnsi="Arial" w:cs="Arial"/>
          <w:lang w:eastAsia="zh-CN"/>
        </w:rPr>
        <w:t xml:space="preserve">Following the WF on link budget parameters for Tx/Rx of n259 as approved in last RAN4 meeting [1], in this contribution, we share our link budget numbers for PC3 </w:t>
      </w:r>
      <w:r w:rsidRPr="00166A19">
        <w:rPr>
          <w:rFonts w:ascii="Arial" w:eastAsia="SimSun" w:hAnsi="Arial" w:cs="Arial"/>
          <w:lang w:eastAsia="zh-CN"/>
        </w:rPr>
        <w:t>minimum peak EIRP and REFSENS</w:t>
      </w:r>
      <w:r>
        <w:rPr>
          <w:rFonts w:ascii="Arial" w:eastAsia="SimSun" w:hAnsi="Arial" w:cs="Arial"/>
          <w:lang w:eastAsia="zh-CN"/>
        </w:rPr>
        <w:t xml:space="preserve"> for consideration.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166A19" w:rsidRDefault="001E2724" w:rsidP="004D2A5D">
      <w:pPr>
        <w:spacing w:after="120"/>
        <w:jc w:val="both"/>
        <w:rPr>
          <w:rFonts w:ascii="Arial" w:eastAsia="SimSun" w:hAnsi="Arial" w:cs="Arial"/>
          <w:lang w:eastAsia="zh-CN"/>
        </w:rPr>
      </w:pPr>
      <w:r>
        <w:rPr>
          <w:rFonts w:ascii="Arial" w:eastAsia="SimSun" w:hAnsi="Arial" w:cs="Arial"/>
          <w:lang w:eastAsia="zh-CN"/>
        </w:rPr>
        <w:t>T</w:t>
      </w:r>
      <w:r w:rsidR="00166A19">
        <w:rPr>
          <w:rFonts w:ascii="Arial" w:eastAsia="SimSun" w:hAnsi="Arial" w:cs="Arial"/>
          <w:lang w:eastAsia="zh-CN"/>
        </w:rPr>
        <w:t>able 2-1 and Table 2-2 summarize our n259 PC3 minimum peak EIRP and REFSENS link budget numbers respectively. Notice that for minimum peak EIRP, we only provide the worst-case numbers as the nominal values would not be relevant to the intended specifications.</w:t>
      </w:r>
    </w:p>
    <w:p w:rsidR="00166A19" w:rsidRDefault="00166A19" w:rsidP="00166A19">
      <w:pPr>
        <w:spacing w:after="0"/>
        <w:jc w:val="both"/>
        <w:rPr>
          <w:rFonts w:ascii="Arial" w:eastAsia="SimSun" w:hAnsi="Arial" w:cs="Arial"/>
          <w:lang w:eastAsia="zh-CN"/>
        </w:rPr>
      </w:pPr>
      <w:r>
        <w:rPr>
          <w:rFonts w:ascii="Arial" w:eastAsia="SimSun" w:hAnsi="Arial" w:cs="Arial"/>
          <w:lang w:eastAsia="zh-CN"/>
        </w:rPr>
        <w:t xml:space="preserve"> </w:t>
      </w:r>
    </w:p>
    <w:tbl>
      <w:tblPr>
        <w:tblW w:w="9350" w:type="dxa"/>
        <w:jc w:val="center"/>
        <w:tblLook w:val="04A0" w:firstRow="1" w:lastRow="0" w:firstColumn="1" w:lastColumn="0" w:noHBand="0" w:noVBand="1"/>
      </w:tblPr>
      <w:tblGrid>
        <w:gridCol w:w="5300"/>
        <w:gridCol w:w="1170"/>
        <w:gridCol w:w="1440"/>
        <w:gridCol w:w="1440"/>
      </w:tblGrid>
      <w:tr w:rsidR="00166A19" w:rsidRPr="00166A19" w:rsidTr="00166A19">
        <w:trPr>
          <w:trHeight w:val="331"/>
          <w:jc w:val="center"/>
        </w:trPr>
        <w:tc>
          <w:tcPr>
            <w:tcW w:w="5300" w:type="dxa"/>
            <w:tcBorders>
              <w:top w:val="single" w:sz="12" w:space="0" w:color="000000"/>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b/>
                <w:bCs/>
                <w:color w:val="000000"/>
                <w:lang w:val="en-US"/>
              </w:rPr>
            </w:pPr>
            <w:r w:rsidRPr="00166A19">
              <w:rPr>
                <w:rFonts w:ascii="Calibri" w:hAnsi="Calibri"/>
                <w:b/>
                <w:bCs/>
                <w:color w:val="000000"/>
                <w:lang w:val="en-US"/>
              </w:rPr>
              <w:t>Parameter</w:t>
            </w:r>
          </w:p>
        </w:tc>
        <w:tc>
          <w:tcPr>
            <w:tcW w:w="1170" w:type="dxa"/>
            <w:tcBorders>
              <w:top w:val="single" w:sz="12" w:space="0" w:color="000000"/>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b/>
                <w:bCs/>
                <w:color w:val="000000"/>
                <w:lang w:val="en-US"/>
              </w:rPr>
            </w:pPr>
            <w:r w:rsidRPr="00166A19">
              <w:rPr>
                <w:rFonts w:ascii="Calibri" w:hAnsi="Calibri"/>
                <w:b/>
                <w:bCs/>
                <w:color w:val="000000"/>
                <w:lang w:val="en-US"/>
              </w:rPr>
              <w:t>Unit</w:t>
            </w:r>
          </w:p>
        </w:tc>
        <w:tc>
          <w:tcPr>
            <w:tcW w:w="1440" w:type="dxa"/>
            <w:tcBorders>
              <w:top w:val="single" w:sz="12" w:space="0" w:color="000000"/>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b/>
                <w:bCs/>
                <w:color w:val="000000"/>
                <w:lang w:val="en-US"/>
              </w:rPr>
            </w:pPr>
            <w:r w:rsidRPr="00166A19">
              <w:rPr>
                <w:rFonts w:ascii="Calibri" w:hAnsi="Calibri"/>
                <w:b/>
                <w:bCs/>
                <w:color w:val="000000"/>
                <w:lang w:val="en-US"/>
              </w:rPr>
              <w:t>Nominal value</w:t>
            </w:r>
          </w:p>
        </w:tc>
        <w:tc>
          <w:tcPr>
            <w:tcW w:w="1440" w:type="dxa"/>
            <w:tcBorders>
              <w:top w:val="single" w:sz="12" w:space="0" w:color="000000"/>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b/>
                <w:bCs/>
                <w:color w:val="000000"/>
                <w:lang w:val="en-US"/>
              </w:rPr>
            </w:pPr>
            <w:r w:rsidRPr="00166A19">
              <w:rPr>
                <w:rFonts w:ascii="Calibri" w:hAnsi="Calibri"/>
                <w:b/>
                <w:bCs/>
                <w:color w:val="000000"/>
                <w:lang w:val="en-US"/>
              </w:rPr>
              <w:t>Worst value</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Frequency range</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GHz</w:t>
            </w:r>
          </w:p>
        </w:tc>
        <w:tc>
          <w:tcPr>
            <w:tcW w:w="2880" w:type="dxa"/>
            <w:gridSpan w:val="2"/>
            <w:tcBorders>
              <w:top w:val="single" w:sz="4" w:space="0" w:color="000000"/>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39.5 - 43.5 GHz</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Pout per element</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10.5</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 of antennas in an array</w:t>
            </w:r>
          </w:p>
        </w:tc>
        <w:tc>
          <w:tcPr>
            <w:tcW w:w="1170" w:type="dxa"/>
            <w:tcBorders>
              <w:top w:val="nil"/>
              <w:left w:val="nil"/>
              <w:bottom w:val="single" w:sz="4" w:space="0" w:color="000000"/>
              <w:right w:val="single" w:sz="4" w:space="0" w:color="000000"/>
            </w:tcBorders>
            <w:shd w:val="clear" w:color="auto" w:fill="auto"/>
            <w:hideMark/>
          </w:tcPr>
          <w:p w:rsidR="00166A19" w:rsidRPr="00166A19" w:rsidRDefault="00166A19" w:rsidP="00166A19">
            <w:pPr>
              <w:overflowPunct/>
              <w:autoSpaceDE/>
              <w:autoSpaceDN/>
              <w:adjustRightInd/>
              <w:spacing w:after="0"/>
              <w:jc w:val="center"/>
              <w:textAlignment w:val="auto"/>
              <w:rPr>
                <w:rFonts w:ascii="SimSun" w:eastAsia="SimSun" w:hAnsi="SimSun"/>
                <w:color w:val="000000"/>
                <w:lang w:val="en-US"/>
              </w:rPr>
            </w:pPr>
            <w:r w:rsidRPr="00166A19">
              <w:rPr>
                <w:rFonts w:ascii="SimSun" w:eastAsia="SimSun" w:hAnsi="SimSun" w:hint="eastAsia"/>
                <w:color w:val="000000"/>
                <w:lang w:val="en-US"/>
              </w:rPr>
              <w:t> </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4</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4</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Total conducted power per polarization</w:t>
            </w:r>
          </w:p>
        </w:tc>
        <w:tc>
          <w:tcPr>
            <w:tcW w:w="1170" w:type="dxa"/>
            <w:tcBorders>
              <w:top w:val="nil"/>
              <w:left w:val="nil"/>
              <w:bottom w:val="single" w:sz="4" w:space="0" w:color="000000"/>
              <w:right w:val="single" w:sz="4" w:space="0" w:color="000000"/>
            </w:tcBorders>
            <w:shd w:val="clear" w:color="auto" w:fill="auto"/>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16.5</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Avg</w:t>
            </w:r>
            <w:r>
              <w:rPr>
                <w:rFonts w:ascii="Calibri" w:hAnsi="Calibri"/>
                <w:color w:val="000000"/>
                <w:lang w:val="en-US"/>
              </w:rPr>
              <w:t>.</w:t>
            </w:r>
            <w:r w:rsidRPr="00166A19">
              <w:rPr>
                <w:rFonts w:ascii="Calibri" w:hAnsi="Calibri"/>
                <w:color w:val="000000"/>
                <w:lang w:val="en-US"/>
              </w:rPr>
              <w:t xml:space="preserve"> antenna element gain</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dBi</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3.3</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Antenna roll</w:t>
            </w:r>
            <w:r>
              <w:rPr>
                <w:rFonts w:ascii="Calibri" w:hAnsi="Calibri"/>
                <w:color w:val="000000"/>
                <w:lang w:val="en-US"/>
              </w:rPr>
              <w:t>-</w:t>
            </w:r>
            <w:r w:rsidRPr="00166A19">
              <w:rPr>
                <w:rFonts w:ascii="Calibri" w:hAnsi="Calibri"/>
                <w:color w:val="000000"/>
                <w:lang w:val="en-US"/>
              </w:rPr>
              <w:t>off loss versus frequency</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-1.6</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Realized antenna array gain</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dBi</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7.7</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Polarization gain</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2.5</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Mismatch and transmission line loss including load pull</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-1.5</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Beam forming loss (phase shifter and amplitude error)</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-1.4</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Finite beam table</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0</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Beam forming loss (one beam table fits all)</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-0.5</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Form factor integration losses</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-5.0</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Total implementation loss (nominal)</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Total implementation loss (worst case)</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Peak EIRP (Nominal)</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Tolerance (+/-)</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r>
      <w:tr w:rsidR="00166A19" w:rsidRPr="00166A19" w:rsidTr="00166A19">
        <w:trPr>
          <w:trHeight w:val="331"/>
          <w:jc w:val="center"/>
        </w:trPr>
        <w:tc>
          <w:tcPr>
            <w:tcW w:w="5300" w:type="dxa"/>
            <w:tcBorders>
              <w:top w:val="nil"/>
              <w:left w:val="single" w:sz="12" w:space="0" w:color="000000"/>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Peak EIRP (Minimum)</w:t>
            </w:r>
          </w:p>
        </w:tc>
        <w:tc>
          <w:tcPr>
            <w:tcW w:w="117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w:t>
            </w:r>
          </w:p>
        </w:tc>
        <w:tc>
          <w:tcPr>
            <w:tcW w:w="1440" w:type="dxa"/>
            <w:tcBorders>
              <w:top w:val="nil"/>
              <w:left w:val="nil"/>
              <w:bottom w:val="single" w:sz="4"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4" w:space="0" w:color="000000"/>
              <w:right w:val="single" w:sz="12" w:space="0" w:color="000000"/>
            </w:tcBorders>
            <w:shd w:val="clear" w:color="auto" w:fill="auto"/>
            <w:vAlign w:val="center"/>
            <w:hideMark/>
          </w:tcPr>
          <w:p w:rsidR="00166A19" w:rsidRPr="003F231D" w:rsidRDefault="00166A19" w:rsidP="00166A19">
            <w:pPr>
              <w:overflowPunct/>
              <w:autoSpaceDE/>
              <w:autoSpaceDN/>
              <w:adjustRightInd/>
              <w:spacing w:after="0"/>
              <w:jc w:val="center"/>
              <w:textAlignment w:val="auto"/>
              <w:rPr>
                <w:rFonts w:ascii="Calibri" w:hAnsi="Calibri"/>
                <w:b/>
                <w:color w:val="000000"/>
                <w:sz w:val="24"/>
                <w:szCs w:val="24"/>
                <w:lang w:val="en-US"/>
              </w:rPr>
            </w:pPr>
            <w:r w:rsidRPr="003F231D">
              <w:rPr>
                <w:rFonts w:ascii="Calibri" w:hAnsi="Calibri"/>
                <w:b/>
                <w:color w:val="000000"/>
                <w:sz w:val="24"/>
                <w:szCs w:val="24"/>
                <w:lang w:val="en-US"/>
              </w:rPr>
              <w:t>18.3</w:t>
            </w:r>
          </w:p>
        </w:tc>
      </w:tr>
      <w:tr w:rsidR="00166A19" w:rsidRPr="00166A19" w:rsidTr="00166A19">
        <w:trPr>
          <w:trHeight w:val="331"/>
          <w:jc w:val="center"/>
        </w:trPr>
        <w:tc>
          <w:tcPr>
            <w:tcW w:w="5300" w:type="dxa"/>
            <w:tcBorders>
              <w:top w:val="nil"/>
              <w:left w:val="single" w:sz="12" w:space="0" w:color="000000"/>
              <w:bottom w:val="single" w:sz="12"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Peak EIRP (Maximum)</w:t>
            </w:r>
          </w:p>
        </w:tc>
        <w:tc>
          <w:tcPr>
            <w:tcW w:w="1170" w:type="dxa"/>
            <w:tcBorders>
              <w:top w:val="nil"/>
              <w:left w:val="nil"/>
              <w:bottom w:val="single" w:sz="12"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w:t>
            </w:r>
          </w:p>
        </w:tc>
        <w:tc>
          <w:tcPr>
            <w:tcW w:w="1440" w:type="dxa"/>
            <w:tcBorders>
              <w:top w:val="nil"/>
              <w:left w:val="nil"/>
              <w:bottom w:val="single" w:sz="12" w:space="0" w:color="000000"/>
              <w:right w:val="single" w:sz="4"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440" w:type="dxa"/>
            <w:tcBorders>
              <w:top w:val="nil"/>
              <w:left w:val="nil"/>
              <w:bottom w:val="single" w:sz="12" w:space="0" w:color="000000"/>
              <w:right w:val="single" w:sz="12" w:space="0" w:color="000000"/>
            </w:tcBorders>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r>
    </w:tbl>
    <w:p w:rsidR="00300F5B" w:rsidRDefault="00300F5B" w:rsidP="00166A19">
      <w:pPr>
        <w:spacing w:after="0"/>
        <w:jc w:val="center"/>
        <w:rPr>
          <w:rFonts w:ascii="Arial" w:eastAsia="SimSun" w:hAnsi="Arial" w:cs="Arial"/>
          <w:lang w:eastAsia="zh-CN"/>
        </w:rPr>
      </w:pPr>
    </w:p>
    <w:p w:rsidR="00300F5B" w:rsidRPr="00300F5B" w:rsidRDefault="00300F5B" w:rsidP="00300F5B">
      <w:pPr>
        <w:spacing w:after="120"/>
        <w:jc w:val="center"/>
        <w:rPr>
          <w:rFonts w:ascii="Arial" w:eastAsia="SimSun" w:hAnsi="Arial" w:cs="Arial"/>
          <w:lang w:eastAsia="zh-CN"/>
        </w:rPr>
      </w:pPr>
      <w:r>
        <w:rPr>
          <w:rFonts w:ascii="Arial" w:hAnsi="Arial" w:cs="Arial"/>
          <w:b/>
        </w:rPr>
        <w:t xml:space="preserve">Table 2-1 </w:t>
      </w:r>
      <w:r w:rsidR="00166A19">
        <w:rPr>
          <w:rFonts w:ascii="Arial" w:hAnsi="Arial" w:cs="Arial"/>
          <w:b/>
        </w:rPr>
        <w:t>n259 PC3 minimum peak EIRP link budget numbers</w:t>
      </w:r>
      <w:r>
        <w:rPr>
          <w:rFonts w:ascii="Arial" w:hAnsi="Arial" w:cs="Arial"/>
          <w:b/>
        </w:rPr>
        <w:t xml:space="preserve"> </w:t>
      </w:r>
    </w:p>
    <w:p w:rsidR="00300F5B" w:rsidRDefault="00300F5B" w:rsidP="00300F5B">
      <w:pPr>
        <w:spacing w:after="0"/>
        <w:jc w:val="both"/>
        <w:rPr>
          <w:rFonts w:ascii="Arial" w:eastAsia="SimSun" w:hAnsi="Arial" w:cs="Arial"/>
          <w:lang w:eastAsia="zh-CN"/>
        </w:rPr>
      </w:pPr>
    </w:p>
    <w:tbl>
      <w:tblPr>
        <w:tblW w:w="716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4220"/>
        <w:gridCol w:w="1100"/>
        <w:gridCol w:w="1840"/>
      </w:tblGrid>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b/>
                <w:bCs/>
                <w:color w:val="000000"/>
                <w:lang w:val="en-US"/>
              </w:rPr>
            </w:pPr>
            <w:r w:rsidRPr="00166A19">
              <w:rPr>
                <w:rFonts w:ascii="Calibri" w:hAnsi="Calibri"/>
                <w:b/>
                <w:bCs/>
                <w:color w:val="000000"/>
                <w:lang w:val="en-US"/>
              </w:rPr>
              <w:lastRenderedPageBreak/>
              <w:t>Parameter</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b/>
                <w:bCs/>
                <w:color w:val="000000"/>
                <w:lang w:val="en-US"/>
              </w:rPr>
            </w:pPr>
            <w:r w:rsidRPr="00166A19">
              <w:rPr>
                <w:rFonts w:ascii="Calibri" w:hAnsi="Calibri"/>
                <w:b/>
                <w:bCs/>
                <w:color w:val="000000"/>
                <w:lang w:val="en-US"/>
              </w:rPr>
              <w:t>Unit</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b/>
                <w:bCs/>
                <w:color w:val="000000"/>
                <w:lang w:val="en-US"/>
              </w:rPr>
            </w:pPr>
            <w:r w:rsidRPr="00166A19">
              <w:rPr>
                <w:rFonts w:ascii="Calibri" w:hAnsi="Calibri"/>
                <w:b/>
                <w:bCs/>
                <w:color w:val="000000"/>
                <w:lang w:val="en-US"/>
              </w:rPr>
              <w:t>Value</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Band number</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SimSun" w:eastAsia="SimSun" w:hAnsi="SimSun"/>
                <w:color w:val="000000"/>
                <w:lang w:val="en-US"/>
              </w:rPr>
            </w:pPr>
            <w:r w:rsidRPr="00166A19">
              <w:rPr>
                <w:rFonts w:ascii="SimSun" w:eastAsia="SimSun" w:hAnsi="SimSun" w:hint="eastAsia"/>
                <w:color w:val="000000"/>
                <w:lang w:val="en-US"/>
              </w:rPr>
              <w:t> </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n259</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Frequency range</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GHz</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xml:space="preserve">39.5 – 43.5 </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Modulation</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 </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QPSK</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SNR Requirement</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-1.0</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Bandwidth</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MHz</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50</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Thermal noise</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dBm/Hz</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-174.0</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Noise Figure</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11.5</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Number of antenna in an array</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SimSun" w:eastAsia="SimSun" w:hAnsi="SimSun"/>
                <w:color w:val="000000"/>
                <w:lang w:val="en-US"/>
              </w:rPr>
            </w:pPr>
            <w:r w:rsidRPr="00166A19">
              <w:rPr>
                <w:rFonts w:ascii="SimSun" w:eastAsia="SimSun" w:hAnsi="SimSun" w:hint="eastAsia"/>
                <w:color w:val="000000"/>
                <w:lang w:val="en-US"/>
              </w:rPr>
              <w:t> </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4</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Array gain</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6.0</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Element gain</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dBi</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3.3</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Diversity gain</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0</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Antenna gain roll-off over frequency</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-1.6</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Beamforming loss</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-1.5</w:t>
            </w:r>
          </w:p>
        </w:tc>
        <w:bookmarkStart w:id="2" w:name="_GoBack"/>
        <w:bookmarkEnd w:id="2"/>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Total insertion loss</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w:t>
            </w:r>
          </w:p>
        </w:tc>
        <w:tc>
          <w:tcPr>
            <w:tcW w:w="184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-8.0</w:t>
            </w:r>
          </w:p>
        </w:tc>
      </w:tr>
      <w:tr w:rsidR="00166A19" w:rsidRPr="00166A19" w:rsidTr="00166A19">
        <w:trPr>
          <w:trHeight w:val="331"/>
          <w:jc w:val="center"/>
        </w:trPr>
        <w:tc>
          <w:tcPr>
            <w:tcW w:w="4220" w:type="dxa"/>
            <w:shd w:val="clear" w:color="auto" w:fill="auto"/>
            <w:vAlign w:val="center"/>
            <w:hideMark/>
          </w:tcPr>
          <w:p w:rsidR="00166A19" w:rsidRPr="00166A19" w:rsidRDefault="00166A19" w:rsidP="00166A19">
            <w:pPr>
              <w:overflowPunct/>
              <w:autoSpaceDE/>
              <w:autoSpaceDN/>
              <w:adjustRightInd/>
              <w:spacing w:after="0"/>
              <w:textAlignment w:val="auto"/>
              <w:rPr>
                <w:rFonts w:ascii="Calibri" w:hAnsi="Calibri"/>
                <w:color w:val="000000"/>
                <w:lang w:val="en-US"/>
              </w:rPr>
            </w:pPr>
            <w:r w:rsidRPr="00166A19">
              <w:rPr>
                <w:rFonts w:ascii="Calibri" w:hAnsi="Calibri"/>
                <w:color w:val="000000"/>
                <w:lang w:val="en-US"/>
              </w:rPr>
              <w:t>REFSENS</w:t>
            </w:r>
          </w:p>
        </w:tc>
        <w:tc>
          <w:tcPr>
            <w:tcW w:w="1100" w:type="dxa"/>
            <w:shd w:val="clear" w:color="auto" w:fill="auto"/>
            <w:vAlign w:val="center"/>
            <w:hideMark/>
          </w:tcPr>
          <w:p w:rsidR="00166A19" w:rsidRPr="00166A19" w:rsidRDefault="00166A19" w:rsidP="00166A19">
            <w:pPr>
              <w:overflowPunct/>
              <w:autoSpaceDE/>
              <w:autoSpaceDN/>
              <w:adjustRightInd/>
              <w:spacing w:after="0"/>
              <w:jc w:val="center"/>
              <w:textAlignment w:val="auto"/>
              <w:rPr>
                <w:rFonts w:ascii="Calibri" w:hAnsi="Calibri"/>
                <w:color w:val="000000"/>
                <w:lang w:val="en-US"/>
              </w:rPr>
            </w:pPr>
            <w:r w:rsidRPr="00166A19">
              <w:rPr>
                <w:rFonts w:ascii="Calibri" w:hAnsi="Calibri"/>
                <w:color w:val="000000"/>
                <w:lang w:val="en-US"/>
              </w:rPr>
              <w:t>dBm</w:t>
            </w:r>
          </w:p>
        </w:tc>
        <w:tc>
          <w:tcPr>
            <w:tcW w:w="1840" w:type="dxa"/>
            <w:shd w:val="clear" w:color="auto" w:fill="auto"/>
            <w:vAlign w:val="center"/>
            <w:hideMark/>
          </w:tcPr>
          <w:p w:rsidR="00166A19" w:rsidRPr="003F231D" w:rsidRDefault="00166A19" w:rsidP="00166A19">
            <w:pPr>
              <w:overflowPunct/>
              <w:autoSpaceDE/>
              <w:autoSpaceDN/>
              <w:adjustRightInd/>
              <w:spacing w:after="0"/>
              <w:jc w:val="center"/>
              <w:textAlignment w:val="auto"/>
              <w:rPr>
                <w:rFonts w:ascii="Calibri" w:hAnsi="Calibri"/>
                <w:b/>
                <w:color w:val="000000"/>
                <w:sz w:val="24"/>
                <w:szCs w:val="24"/>
                <w:lang w:val="en-US"/>
              </w:rPr>
            </w:pPr>
            <w:r w:rsidRPr="003F231D">
              <w:rPr>
                <w:rFonts w:ascii="Calibri" w:hAnsi="Calibri"/>
                <w:b/>
                <w:color w:val="000000"/>
                <w:sz w:val="24"/>
                <w:szCs w:val="24"/>
                <w:lang w:val="en-US"/>
              </w:rPr>
              <w:t>-84.7</w:t>
            </w:r>
          </w:p>
        </w:tc>
      </w:tr>
    </w:tbl>
    <w:p w:rsidR="00300F5B" w:rsidRDefault="00300F5B" w:rsidP="00300F5B">
      <w:pPr>
        <w:spacing w:after="0"/>
        <w:jc w:val="both"/>
        <w:rPr>
          <w:rFonts w:ascii="Arial" w:hAnsi="Arial" w:cs="Arial"/>
          <w:b/>
        </w:rPr>
      </w:pPr>
    </w:p>
    <w:p w:rsidR="00CB4A81" w:rsidRDefault="00300F5B" w:rsidP="00300F5B">
      <w:pPr>
        <w:spacing w:after="120"/>
        <w:jc w:val="center"/>
        <w:rPr>
          <w:rFonts w:ascii="Arial" w:eastAsia="SimSun" w:hAnsi="Arial" w:cs="Arial"/>
          <w:lang w:eastAsia="zh-CN"/>
        </w:rPr>
      </w:pPr>
      <w:r>
        <w:rPr>
          <w:rFonts w:ascii="Arial" w:hAnsi="Arial" w:cs="Arial"/>
          <w:b/>
        </w:rPr>
        <w:t xml:space="preserve">Table 2-2 </w:t>
      </w:r>
      <w:r w:rsidR="00166A19">
        <w:rPr>
          <w:rFonts w:ascii="Arial" w:hAnsi="Arial" w:cs="Arial"/>
          <w:b/>
        </w:rPr>
        <w:t>n259 PC3 REFSENS link budget numbers</w:t>
      </w:r>
    </w:p>
    <w:p w:rsidR="00BF764F" w:rsidRPr="00300F5B" w:rsidRDefault="00300F5B" w:rsidP="00300F5B">
      <w:pPr>
        <w:spacing w:after="0"/>
        <w:jc w:val="both"/>
        <w:rPr>
          <w:rFonts w:ascii="Arial" w:eastAsia="SimSun" w:hAnsi="Arial" w:cs="Arial"/>
          <w:lang w:eastAsia="zh-CN"/>
        </w:rPr>
      </w:pPr>
      <w:r>
        <w:rPr>
          <w:rFonts w:ascii="Arial" w:eastAsia="SimSun"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166A19" w:rsidP="005077FA">
      <w:pPr>
        <w:spacing w:after="120"/>
        <w:jc w:val="both"/>
        <w:rPr>
          <w:rFonts w:ascii="Arial" w:eastAsia="SimSun" w:hAnsi="Arial" w:cs="Arial"/>
          <w:lang w:eastAsia="zh-CN"/>
        </w:rPr>
      </w:pPr>
      <w:r>
        <w:rPr>
          <w:rFonts w:ascii="Arial" w:eastAsia="SimSun" w:hAnsi="Arial" w:cs="Arial"/>
          <w:lang w:eastAsia="zh-CN"/>
        </w:rPr>
        <w:t xml:space="preserve">In this contribution, we share our n259 PC3 link budget numbers for </w:t>
      </w:r>
      <w:r w:rsidRPr="00166A19">
        <w:rPr>
          <w:rFonts w:ascii="Arial" w:eastAsia="SimSun" w:hAnsi="Arial" w:cs="Arial"/>
          <w:lang w:eastAsia="zh-CN"/>
        </w:rPr>
        <w:t>minimum peak EIRP and REFSENS</w:t>
      </w:r>
      <w:r>
        <w:rPr>
          <w:rFonts w:ascii="Arial" w:eastAsia="SimSun" w:hAnsi="Arial" w:cs="Arial"/>
          <w:lang w:eastAsia="zh-CN"/>
        </w:rPr>
        <w:t xml:space="preserve"> for consideration.</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9D3A1E" w:rsidRPr="00166A19" w:rsidRDefault="0058622D" w:rsidP="00166A19">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w:t>
      </w:r>
      <w:r w:rsidR="00166A19">
        <w:rPr>
          <w:rFonts w:ascii="Arial" w:hAnsi="Arial" w:cs="Arial"/>
          <w:lang w:eastAsia="ja-JP"/>
        </w:rPr>
        <w:t>10511</w:t>
      </w:r>
      <w:r>
        <w:rPr>
          <w:rFonts w:ascii="Arial" w:hAnsi="Arial" w:cs="Arial"/>
          <w:lang w:eastAsia="ja-JP"/>
        </w:rPr>
        <w:t xml:space="preserve"> “</w:t>
      </w:r>
      <w:r w:rsidR="00166A19" w:rsidRPr="00166A19">
        <w:rPr>
          <w:rFonts w:ascii="Arial" w:hAnsi="Arial" w:cs="Arial"/>
          <w:lang w:eastAsia="ja-JP"/>
        </w:rPr>
        <w:t>WF on link budget parameters for Tx/Rx of n259</w:t>
      </w:r>
      <w:r>
        <w:rPr>
          <w:rFonts w:ascii="Arial" w:hAnsi="Arial" w:cs="Arial"/>
          <w:lang w:eastAsia="ja-JP"/>
        </w:rPr>
        <w:t xml:space="preserve">”, </w:t>
      </w:r>
      <w:r w:rsidR="00166A19">
        <w:rPr>
          <w:rFonts w:ascii="Arial" w:hAnsi="Arial" w:cs="Arial"/>
          <w:lang w:eastAsia="ja-JP"/>
        </w:rPr>
        <w:t>Huawei, Apple</w:t>
      </w:r>
      <w:r>
        <w:rPr>
          <w:rFonts w:ascii="Arial" w:hAnsi="Arial" w:cs="Arial"/>
          <w:lang w:eastAsia="ja-JP"/>
        </w:rPr>
        <w:t xml:space="preserve">,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r w:rsidR="009D3A1E" w:rsidRPr="00166A19">
        <w:rPr>
          <w:rFonts w:ascii="Arial" w:hAnsi="Arial" w:cs="Arial"/>
          <w:lang w:eastAsia="ja-JP"/>
        </w:rPr>
        <w:t xml:space="preserve"> </w:t>
      </w:r>
    </w:p>
    <w:sectPr w:rsidR="009D3A1E" w:rsidRPr="00166A19"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3E7" w:rsidRDefault="006813E7">
      <w:r>
        <w:separator/>
      </w:r>
    </w:p>
  </w:endnote>
  <w:endnote w:type="continuationSeparator" w:id="0">
    <w:p w:rsidR="006813E7" w:rsidRDefault="0068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5BB" w:rsidRDefault="009A65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3E7" w:rsidRDefault="006813E7">
      <w:r>
        <w:separator/>
      </w:r>
    </w:p>
  </w:footnote>
  <w:footnote w:type="continuationSeparator" w:id="0">
    <w:p w:rsidR="006813E7" w:rsidRDefault="00681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837"/>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19"/>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9AB"/>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923"/>
    <w:rsid w:val="00240F0B"/>
    <w:rsid w:val="002410C7"/>
    <w:rsid w:val="0024120C"/>
    <w:rsid w:val="002415BD"/>
    <w:rsid w:val="00241962"/>
    <w:rsid w:val="00241D80"/>
    <w:rsid w:val="00241EB1"/>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31D"/>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7BD"/>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4DA"/>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3E7"/>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D06"/>
    <w:rsid w:val="006A1830"/>
    <w:rsid w:val="006A3056"/>
    <w:rsid w:val="006A35BD"/>
    <w:rsid w:val="006A369C"/>
    <w:rsid w:val="006A3874"/>
    <w:rsid w:val="006A395C"/>
    <w:rsid w:val="006A46A7"/>
    <w:rsid w:val="006A480D"/>
    <w:rsid w:val="006A4A4E"/>
    <w:rsid w:val="006A5591"/>
    <w:rsid w:val="006A5C86"/>
    <w:rsid w:val="006A60DA"/>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20D6"/>
    <w:rsid w:val="00EF20F9"/>
    <w:rsid w:val="00EF2315"/>
    <w:rsid w:val="00EF3219"/>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804"/>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3372057">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186993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CFD01-2F07-498E-B111-BF86754BA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2019-10-04T07:22:00Z</dcterms:created>
  <dcterms:modified xsi:type="dcterms:W3CDTF">2019-10-04T17:58:00Z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