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B1609" w14:textId="5733A3AE" w:rsidR="00B1162D" w:rsidRPr="00E61854" w:rsidRDefault="00B1162D" w:rsidP="00B1162D">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 xml:space="preserve">3GPP TSG-RAN WG4 RAN4#91 </w:t>
      </w:r>
      <w:r w:rsidRPr="004B7E17">
        <w:rPr>
          <w:rFonts w:ascii="Arial" w:hAnsi="Arial" w:cs="Arial"/>
          <w:b/>
          <w:noProof/>
          <w:sz w:val="24"/>
          <w:szCs w:val="24"/>
          <w:lang w:val="en-US"/>
        </w:rPr>
        <w:tab/>
      </w:r>
      <w:r w:rsidRPr="00D47FCF">
        <w:rPr>
          <w:rFonts w:ascii="Arial" w:hAnsi="Arial" w:cs="Arial"/>
          <w:b/>
          <w:bCs/>
          <w:sz w:val="26"/>
          <w:szCs w:val="26"/>
        </w:rPr>
        <w:t>R4-190</w:t>
      </w:r>
      <w:r w:rsidR="00FE52A7">
        <w:rPr>
          <w:rFonts w:ascii="Arial" w:hAnsi="Arial" w:cs="Arial"/>
          <w:b/>
          <w:bCs/>
          <w:sz w:val="26"/>
          <w:szCs w:val="26"/>
        </w:rPr>
        <w:t>9929</w:t>
      </w:r>
    </w:p>
    <w:p w14:paraId="663937A0" w14:textId="77777777" w:rsidR="00B1162D" w:rsidRDefault="007D51D1" w:rsidP="00B1162D">
      <w:pPr>
        <w:pStyle w:val="Footer"/>
        <w:jc w:val="both"/>
        <w:rPr>
          <w:i w:val="0"/>
          <w:noProof w:val="0"/>
          <w:sz w:val="24"/>
          <w:szCs w:val="24"/>
          <w:lang w:eastAsia="ja-JP"/>
        </w:rPr>
      </w:pPr>
      <w:r>
        <w:rPr>
          <w:rFonts w:eastAsia="SimSun"/>
          <w:i w:val="0"/>
          <w:noProof w:val="0"/>
          <w:sz w:val="24"/>
          <w:szCs w:val="24"/>
          <w:lang w:eastAsia="zh-CN"/>
        </w:rPr>
        <w:t>Ljubljana</w:t>
      </w:r>
      <w:r w:rsidR="00B1162D">
        <w:rPr>
          <w:rFonts w:eastAsia="SimSun"/>
          <w:i w:val="0"/>
          <w:noProof w:val="0"/>
          <w:sz w:val="24"/>
          <w:szCs w:val="24"/>
          <w:lang w:eastAsia="zh-CN"/>
        </w:rPr>
        <w:t xml:space="preserve">, </w:t>
      </w:r>
      <w:r>
        <w:rPr>
          <w:rFonts w:eastAsia="SimSun"/>
          <w:i w:val="0"/>
          <w:noProof w:val="0"/>
          <w:sz w:val="24"/>
          <w:szCs w:val="24"/>
          <w:lang w:eastAsia="zh-CN"/>
        </w:rPr>
        <w:t>Slovenia</w:t>
      </w:r>
      <w:r w:rsidR="00B1162D">
        <w:rPr>
          <w:rFonts w:eastAsia="SimSun"/>
          <w:i w:val="0"/>
          <w:noProof w:val="0"/>
          <w:sz w:val="24"/>
          <w:szCs w:val="24"/>
          <w:lang w:eastAsia="zh-CN"/>
        </w:rPr>
        <w:t xml:space="preserve">, </w:t>
      </w:r>
      <w:r>
        <w:rPr>
          <w:rFonts w:eastAsia="SimSun"/>
          <w:i w:val="0"/>
          <w:noProof w:val="0"/>
          <w:sz w:val="24"/>
          <w:szCs w:val="24"/>
          <w:lang w:eastAsia="zh-CN"/>
        </w:rPr>
        <w:t>August</w:t>
      </w:r>
      <w:r w:rsidR="00B1162D">
        <w:rPr>
          <w:rFonts w:eastAsia="SimSun"/>
          <w:i w:val="0"/>
          <w:noProof w:val="0"/>
          <w:sz w:val="24"/>
          <w:szCs w:val="24"/>
          <w:lang w:eastAsia="zh-CN"/>
        </w:rPr>
        <w:t xml:space="preserve"> </w:t>
      </w:r>
      <w:r>
        <w:rPr>
          <w:rFonts w:eastAsia="SimSun"/>
          <w:i w:val="0"/>
          <w:noProof w:val="0"/>
          <w:sz w:val="24"/>
          <w:szCs w:val="24"/>
          <w:lang w:eastAsia="zh-CN"/>
        </w:rPr>
        <w:t>26</w:t>
      </w:r>
      <w:r w:rsidR="00B1162D" w:rsidRPr="00717A9D">
        <w:rPr>
          <w:rFonts w:eastAsia="SimSun"/>
          <w:i w:val="0"/>
          <w:noProof w:val="0"/>
          <w:sz w:val="24"/>
          <w:szCs w:val="24"/>
          <w:vertAlign w:val="superscript"/>
          <w:lang w:eastAsia="zh-CN"/>
        </w:rPr>
        <w:t>th</w:t>
      </w:r>
      <w:r w:rsidR="00B1162D">
        <w:rPr>
          <w:rFonts w:eastAsia="SimSun"/>
          <w:i w:val="0"/>
          <w:noProof w:val="0"/>
          <w:sz w:val="24"/>
          <w:szCs w:val="24"/>
          <w:lang w:eastAsia="zh-CN"/>
        </w:rPr>
        <w:t xml:space="preserve"> – </w:t>
      </w:r>
      <w:r>
        <w:rPr>
          <w:rFonts w:eastAsia="SimSun"/>
          <w:i w:val="0"/>
          <w:noProof w:val="0"/>
          <w:sz w:val="24"/>
          <w:szCs w:val="24"/>
          <w:lang w:eastAsia="zh-CN"/>
        </w:rPr>
        <w:t>30</w:t>
      </w:r>
      <w:r w:rsidR="00B1162D" w:rsidRPr="00CB35B3">
        <w:rPr>
          <w:rFonts w:eastAsia="SimSun"/>
          <w:i w:val="0"/>
          <w:noProof w:val="0"/>
          <w:sz w:val="24"/>
          <w:szCs w:val="24"/>
          <w:vertAlign w:val="superscript"/>
          <w:lang w:eastAsia="zh-CN"/>
        </w:rPr>
        <w:t>th</w:t>
      </w:r>
      <w:r w:rsidR="00B1162D" w:rsidRPr="004B7E17">
        <w:rPr>
          <w:i w:val="0"/>
          <w:noProof w:val="0"/>
          <w:sz w:val="24"/>
          <w:szCs w:val="24"/>
          <w:lang w:eastAsia="ja-JP"/>
        </w:rPr>
        <w:t>,</w:t>
      </w:r>
      <w:r w:rsidR="00B1162D">
        <w:rPr>
          <w:i w:val="0"/>
          <w:noProof w:val="0"/>
          <w:sz w:val="24"/>
          <w:szCs w:val="24"/>
          <w:lang w:eastAsia="ja-JP"/>
        </w:rPr>
        <w:t xml:space="preserve"> </w:t>
      </w:r>
      <w:r w:rsidR="00B1162D" w:rsidRPr="004B7E17">
        <w:rPr>
          <w:i w:val="0"/>
          <w:noProof w:val="0"/>
          <w:sz w:val="24"/>
          <w:szCs w:val="24"/>
          <w:lang w:eastAsia="ja-JP"/>
        </w:rPr>
        <w:t>201</w:t>
      </w:r>
      <w:r w:rsidR="00B1162D">
        <w:rPr>
          <w:i w:val="0"/>
          <w:noProof w:val="0"/>
          <w:sz w:val="24"/>
          <w:szCs w:val="24"/>
          <w:lang w:eastAsia="ja-JP"/>
        </w:rPr>
        <w:t>9</w:t>
      </w:r>
    </w:p>
    <w:p w14:paraId="3C17E598" w14:textId="77777777" w:rsidR="00B1162D" w:rsidRPr="00FB0094" w:rsidRDefault="00B1162D" w:rsidP="00B1162D">
      <w:pPr>
        <w:pStyle w:val="Footer"/>
        <w:jc w:val="both"/>
        <w:rPr>
          <w:noProof w:val="0"/>
        </w:rPr>
      </w:pPr>
    </w:p>
    <w:p w14:paraId="7BCFC458" w14:textId="731B1D74" w:rsidR="00B1162D" w:rsidRPr="000A64D8" w:rsidRDefault="00B1162D" w:rsidP="00B1162D">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E52A7">
        <w:rPr>
          <w:rFonts w:ascii="Arial" w:hAnsi="Arial"/>
          <w:sz w:val="24"/>
        </w:rPr>
        <w:t>9.5.4.2</w:t>
      </w:r>
    </w:p>
    <w:p w14:paraId="6CAC52C9" w14:textId="77777777" w:rsidR="00B1162D" w:rsidRPr="000A64D8" w:rsidRDefault="00B1162D" w:rsidP="00B1162D">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9F0DBBD" w14:textId="77777777" w:rsidR="00B1162D" w:rsidRPr="000A64D8" w:rsidRDefault="00B1162D" w:rsidP="00B1162D">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Defining RRM requirements for IAB nodes</w:t>
      </w:r>
    </w:p>
    <w:p w14:paraId="182A98BC" w14:textId="77777777" w:rsidR="00B1162D" w:rsidRDefault="00B1162D" w:rsidP="00B1162D">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5322B2E" w14:textId="77777777" w:rsidR="00B1162D" w:rsidRDefault="00B1162D" w:rsidP="00B1162D">
      <w:pPr>
        <w:pStyle w:val="Heading1"/>
        <w:tabs>
          <w:tab w:val="clear" w:pos="432"/>
          <w:tab w:val="num" w:pos="522"/>
        </w:tabs>
        <w:ind w:left="522" w:hanging="522"/>
        <w:rPr>
          <w:lang w:val="en-US"/>
        </w:rPr>
      </w:pPr>
      <w:r>
        <w:rPr>
          <w:lang w:val="en-US"/>
        </w:rPr>
        <w:t>Introduction</w:t>
      </w:r>
    </w:p>
    <w:p w14:paraId="60AF571B" w14:textId="77777777" w:rsidR="00B1162D" w:rsidRDefault="00B1162D" w:rsidP="00B1162D">
      <w:pPr>
        <w:rPr>
          <w:lang w:val="en-US"/>
        </w:rPr>
      </w:pPr>
      <w:r>
        <w:rPr>
          <w:lang w:val="en-US"/>
        </w:rPr>
        <w:t>RAN4 made the following agreement during the last meeting</w:t>
      </w:r>
      <w:r w:rsidR="007D51D1">
        <w:rPr>
          <w:lang w:val="en-US"/>
        </w:rPr>
        <w:t xml:space="preserve"> [1]</w:t>
      </w:r>
    </w:p>
    <w:tbl>
      <w:tblPr>
        <w:tblStyle w:val="TableGrid"/>
        <w:tblW w:w="0" w:type="auto"/>
        <w:tblLook w:val="04A0" w:firstRow="1" w:lastRow="0" w:firstColumn="1" w:lastColumn="0" w:noHBand="0" w:noVBand="1"/>
      </w:tblPr>
      <w:tblGrid>
        <w:gridCol w:w="9350"/>
      </w:tblGrid>
      <w:tr w:rsidR="00B1162D" w:rsidRPr="00CC1587" w14:paraId="0A6D4597" w14:textId="77777777" w:rsidTr="006A2742">
        <w:tc>
          <w:tcPr>
            <w:tcW w:w="9350" w:type="dxa"/>
          </w:tcPr>
          <w:p w14:paraId="41AD8704" w14:textId="77777777" w:rsidR="00B1162D" w:rsidRDefault="00B1162D" w:rsidP="006A2742">
            <w:pPr>
              <w:rPr>
                <w:lang w:eastAsia="x-none"/>
              </w:rPr>
            </w:pPr>
            <w:r w:rsidRPr="006370D7">
              <w:rPr>
                <w:highlight w:val="green"/>
                <w:lang w:eastAsia="x-none"/>
              </w:rPr>
              <w:t>Agreement:</w:t>
            </w:r>
          </w:p>
          <w:p w14:paraId="392186FC" w14:textId="77777777" w:rsidR="00B1162D" w:rsidRPr="00B1162D" w:rsidRDefault="00B1162D" w:rsidP="00B1162D">
            <w:pPr>
              <w:numPr>
                <w:ilvl w:val="1"/>
                <w:numId w:val="5"/>
              </w:numPr>
              <w:rPr>
                <w:i/>
                <w:lang w:val="en-US" w:eastAsia="zh-CN"/>
              </w:rPr>
            </w:pPr>
            <w:r w:rsidRPr="00B1162D">
              <w:rPr>
                <w:i/>
                <w:lang w:val="sv-SE" w:eastAsia="zh-CN"/>
              </w:rPr>
              <w:t>Access Link (AL):</w:t>
            </w:r>
          </w:p>
          <w:p w14:paraId="564445EA" w14:textId="77777777" w:rsidR="00B1162D" w:rsidRPr="00B1162D" w:rsidRDefault="00B1162D" w:rsidP="00B1162D">
            <w:pPr>
              <w:numPr>
                <w:ilvl w:val="2"/>
                <w:numId w:val="5"/>
              </w:numPr>
              <w:rPr>
                <w:i/>
                <w:lang w:val="en-US" w:eastAsia="zh-CN"/>
              </w:rPr>
            </w:pPr>
            <w:r w:rsidRPr="00B1162D">
              <w:rPr>
                <w:i/>
                <w:lang w:val="en-US" w:eastAsia="zh-CN"/>
              </w:rPr>
              <w:t>A UE served by an IAB node on the access link (</w:t>
            </w:r>
            <w:proofErr w:type="spellStart"/>
            <w:r w:rsidRPr="00B1162D">
              <w:rPr>
                <w:i/>
                <w:lang w:val="en-US" w:eastAsia="zh-CN"/>
              </w:rPr>
              <w:t>Uu</w:t>
            </w:r>
            <w:proofErr w:type="spellEnd"/>
            <w:r w:rsidRPr="00B1162D">
              <w:rPr>
                <w:i/>
                <w:lang w:val="en-US" w:eastAsia="zh-CN"/>
              </w:rPr>
              <w:t>) shall meet existing RRM requirements for the access link (</w:t>
            </w:r>
            <w:proofErr w:type="spellStart"/>
            <w:r w:rsidRPr="00B1162D">
              <w:rPr>
                <w:i/>
                <w:lang w:val="en-US" w:eastAsia="zh-CN"/>
              </w:rPr>
              <w:t>Uu</w:t>
            </w:r>
            <w:proofErr w:type="spellEnd"/>
            <w:r w:rsidRPr="00B1162D">
              <w:rPr>
                <w:i/>
                <w:lang w:val="en-US" w:eastAsia="zh-CN"/>
              </w:rPr>
              <w:t xml:space="preserve">) defined in 38.133 and 36.133 (related to EN-DC or NE-DC). </w:t>
            </w:r>
          </w:p>
          <w:p w14:paraId="143B1015" w14:textId="77777777" w:rsidR="00B1162D" w:rsidRPr="00B1162D" w:rsidRDefault="00B1162D" w:rsidP="00B1162D">
            <w:pPr>
              <w:numPr>
                <w:ilvl w:val="2"/>
                <w:numId w:val="5"/>
              </w:numPr>
              <w:rPr>
                <w:i/>
                <w:lang w:val="en-US" w:eastAsia="zh-CN"/>
              </w:rPr>
            </w:pPr>
            <w:r w:rsidRPr="00B1162D">
              <w:rPr>
                <w:i/>
                <w:lang w:val="en-US" w:eastAsia="zh-CN"/>
              </w:rPr>
              <w:t>No additional requirements related to UE operation on the access link are needed.</w:t>
            </w:r>
          </w:p>
          <w:p w14:paraId="38E4A296" w14:textId="77777777" w:rsidR="00B1162D" w:rsidRPr="00B1162D" w:rsidRDefault="00B1162D" w:rsidP="00B1162D">
            <w:pPr>
              <w:numPr>
                <w:ilvl w:val="1"/>
                <w:numId w:val="5"/>
              </w:numPr>
              <w:rPr>
                <w:i/>
                <w:lang w:val="en-US" w:eastAsia="zh-CN"/>
              </w:rPr>
            </w:pPr>
            <w:r w:rsidRPr="00B1162D">
              <w:rPr>
                <w:i/>
                <w:lang w:val="en-US" w:eastAsia="zh-CN"/>
              </w:rPr>
              <w:t>Backhaul link (BL):</w:t>
            </w:r>
          </w:p>
          <w:p w14:paraId="363E2DBC" w14:textId="77777777" w:rsidR="00B1162D" w:rsidRPr="00B1162D" w:rsidRDefault="00B1162D" w:rsidP="00B1162D">
            <w:pPr>
              <w:numPr>
                <w:ilvl w:val="2"/>
                <w:numId w:val="5"/>
              </w:numPr>
              <w:rPr>
                <w:i/>
                <w:lang w:val="en-US" w:eastAsia="zh-CN"/>
              </w:rPr>
            </w:pPr>
            <w:r w:rsidRPr="00B1162D">
              <w:rPr>
                <w:i/>
                <w:iCs/>
                <w:lang w:val="en-US" w:eastAsia="zh-CN"/>
              </w:rPr>
              <w:t>It is FFS whether any RRM requirement need to be specified for IAB node and identify type of RRM requirement(s) (if need to be specified).</w:t>
            </w:r>
          </w:p>
        </w:tc>
      </w:tr>
    </w:tbl>
    <w:p w14:paraId="1D135F7D" w14:textId="77777777" w:rsidR="00B1162D" w:rsidRDefault="00B1162D" w:rsidP="00B1162D">
      <w:pPr>
        <w:rPr>
          <w:lang w:val="en-US"/>
        </w:rPr>
      </w:pPr>
    </w:p>
    <w:p w14:paraId="0B4309A4" w14:textId="77777777" w:rsidR="00B1162D" w:rsidRPr="0028692E" w:rsidRDefault="00B1162D" w:rsidP="00B1162D">
      <w:pPr>
        <w:rPr>
          <w:lang w:val="en-US"/>
        </w:rPr>
      </w:pPr>
      <w:r>
        <w:rPr>
          <w:lang w:val="en-US"/>
        </w:rPr>
        <w:t>This contribution focuses on the need and the type of RRM requirements that need to be specified for IAB nodes.</w:t>
      </w:r>
    </w:p>
    <w:p w14:paraId="25D59A24" w14:textId="77777777" w:rsidR="00B1162D" w:rsidRPr="007D51D1" w:rsidRDefault="00B1162D" w:rsidP="00B1162D">
      <w:pPr>
        <w:pStyle w:val="Heading1"/>
      </w:pPr>
      <w:r>
        <w:t>Discussion</w:t>
      </w:r>
    </w:p>
    <w:p w14:paraId="0E872E73" w14:textId="501779A6" w:rsidR="00533183" w:rsidRDefault="00533183">
      <w:pPr>
        <w:pStyle w:val="Heading2"/>
      </w:pPr>
      <w:r>
        <w:t>Brief Review of RAN Discussion regarding RRM in IAB Networks</w:t>
      </w:r>
    </w:p>
    <w:p w14:paraId="730D9D4F" w14:textId="77777777" w:rsidR="00EF25D5" w:rsidRPr="00EF25D5" w:rsidRDefault="00EF25D5" w:rsidP="00EF25D5"/>
    <w:p w14:paraId="6D84BE02" w14:textId="232ECAA0" w:rsidR="006A2742" w:rsidRDefault="006A2742">
      <w:pPr>
        <w:pStyle w:val="Heading3"/>
      </w:pPr>
      <w:r>
        <w:t xml:space="preserve"> Guidance from RAN Plenary</w:t>
      </w:r>
    </w:p>
    <w:p w14:paraId="552024F4" w14:textId="7C89DE06" w:rsidR="006A2742" w:rsidRDefault="006A2742" w:rsidP="006A2742">
      <w:r>
        <w:t>RAN plenary agreed to the following in the work item document of IAB for NR</w:t>
      </w:r>
      <w:r w:rsidR="009A3991">
        <w:t xml:space="preserve"> [5]</w:t>
      </w:r>
    </w:p>
    <w:p w14:paraId="00A764D5" w14:textId="77777777" w:rsidR="009A3991" w:rsidRDefault="009A3991" w:rsidP="009A3991"/>
    <w:tbl>
      <w:tblPr>
        <w:tblStyle w:val="TableGrid"/>
        <w:tblW w:w="0" w:type="auto"/>
        <w:tblLook w:val="04A0" w:firstRow="1" w:lastRow="0" w:firstColumn="1" w:lastColumn="0" w:noHBand="0" w:noVBand="1"/>
      </w:tblPr>
      <w:tblGrid>
        <w:gridCol w:w="9350"/>
      </w:tblGrid>
      <w:tr w:rsidR="009A3991" w:rsidRPr="00CC1587" w14:paraId="58A4CD08" w14:textId="77777777" w:rsidTr="00E06AAD">
        <w:tc>
          <w:tcPr>
            <w:tcW w:w="9350" w:type="dxa"/>
          </w:tcPr>
          <w:p w14:paraId="2C5E7B90" w14:textId="77777777" w:rsidR="009A3991" w:rsidRDefault="009A3991" w:rsidP="009A3991">
            <w:pPr>
              <w:pStyle w:val="ListParagraph"/>
              <w:numPr>
                <w:ilvl w:val="1"/>
                <w:numId w:val="10"/>
              </w:numPr>
              <w:spacing w:before="60" w:after="60"/>
              <w:ind w:leftChars="0"/>
            </w:pPr>
            <w:r>
              <w:t>Define RRM core requirements for both backhaul and access links of IAB node.</w:t>
            </w:r>
          </w:p>
          <w:p w14:paraId="3FB711FD" w14:textId="77777777" w:rsidR="009A3991" w:rsidRDefault="009A3991" w:rsidP="009A3991">
            <w:pPr>
              <w:pStyle w:val="ListParagraph"/>
              <w:numPr>
                <w:ilvl w:val="1"/>
                <w:numId w:val="10"/>
              </w:numPr>
              <w:spacing w:before="60" w:after="60"/>
              <w:ind w:leftChars="0"/>
            </w:pPr>
            <w:r>
              <w:t>Define latency requirements for switching between communication over parent backhaul link (i.e. MT) and child backhaul/access links (i.e. DU).</w:t>
            </w:r>
          </w:p>
          <w:p w14:paraId="65F08ED7" w14:textId="71D5B5E1" w:rsidR="009A3991" w:rsidRPr="00E06AAD" w:rsidRDefault="009A3991" w:rsidP="009A3991">
            <w:pPr>
              <w:pStyle w:val="ListParagraph"/>
              <w:numPr>
                <w:ilvl w:val="1"/>
                <w:numId w:val="10"/>
              </w:numPr>
              <w:spacing w:before="60" w:after="60"/>
              <w:ind w:leftChars="0"/>
            </w:pPr>
            <w:r>
              <w:t>Define timing requirements for IAB specific network synchronization.</w:t>
            </w:r>
            <w:r w:rsidRPr="00635386">
              <w:rPr>
                <w:color w:val="FF0000"/>
              </w:rPr>
              <w:t xml:space="preserve"> </w:t>
            </w:r>
            <w:r w:rsidRPr="00867CBD">
              <w:t>This may include (a) requirement for “case 1” timing (e.g. accuracy of DL transmission timing alignment between an IAB-node and its parent node), and (b) cell phase synchronization accuracy for multi-hop IAB network.</w:t>
            </w:r>
          </w:p>
        </w:tc>
      </w:tr>
    </w:tbl>
    <w:p w14:paraId="455AA092" w14:textId="77777777" w:rsidR="009A3991" w:rsidRDefault="009A3991" w:rsidP="009A3991"/>
    <w:p w14:paraId="41CF61A1" w14:textId="50249142" w:rsidR="006A2742" w:rsidRPr="00A5544F" w:rsidRDefault="009A3991" w:rsidP="009A3991">
      <w:pPr>
        <w:rPr>
          <w:b/>
        </w:rPr>
      </w:pPr>
      <w:r w:rsidRPr="00A5544F">
        <w:rPr>
          <w:b/>
        </w:rPr>
        <w:t>Observation 1: RAN plenary has already agreed to define RRM core requirements for both backhaul and access links of IAB nodes.</w:t>
      </w:r>
    </w:p>
    <w:p w14:paraId="1688D12C" w14:textId="77777777" w:rsidR="00EF25D5" w:rsidRDefault="00EF25D5">
      <w:pPr>
        <w:pStyle w:val="Heading3"/>
      </w:pPr>
      <w:r>
        <w:lastRenderedPageBreak/>
        <w:t>Measurement of Discovery Signals by IAB MTs</w:t>
      </w:r>
    </w:p>
    <w:p w14:paraId="19CD352A" w14:textId="77777777" w:rsidR="00EF25D5" w:rsidRDefault="00B87D8F" w:rsidP="00EF25D5">
      <w:r>
        <w:t>RAN1 has made several RRM related agreements for IAB MTs that are different from that of UEs.</w:t>
      </w:r>
    </w:p>
    <w:p w14:paraId="707D5E3A" w14:textId="2BB1908D" w:rsidR="00B87D8F" w:rsidRDefault="00B87D8F" w:rsidP="00B87D8F">
      <w:r>
        <w:t>In Rel-15, a UE can be configured with only up to two SMTC windows in intra-frequency carriers and one SMTC window in inter-frequency. The maximum periodicity of an S</w:t>
      </w:r>
      <w:r w:rsidR="00B2695C">
        <w:t>M</w:t>
      </w:r>
      <w:r>
        <w:t xml:space="preserve">TC </w:t>
      </w:r>
      <w:r w:rsidR="00B2695C">
        <w:t xml:space="preserve">window </w:t>
      </w:r>
      <w:r>
        <w:t xml:space="preserve">can be 160 </w:t>
      </w:r>
      <w:proofErr w:type="spellStart"/>
      <w:r>
        <w:t>ms</w:t>
      </w:r>
      <w:proofErr w:type="spellEnd"/>
      <w:r>
        <w:t>.</w:t>
      </w:r>
    </w:p>
    <w:p w14:paraId="1494CC56" w14:textId="77777777" w:rsidR="00B87D8F" w:rsidRDefault="00B87D8F" w:rsidP="00B87D8F">
      <w:r>
        <w:t>Different parts of 38.133 [2] have been written based on above assumptions. Some texts from 38.133 are given below:</w:t>
      </w:r>
    </w:p>
    <w:p w14:paraId="2B6FBD0F" w14:textId="77777777" w:rsidR="00B87D8F" w:rsidRPr="00AA23B9" w:rsidRDefault="00B87D8F" w:rsidP="00B87D8F">
      <w:pPr>
        <w:rPr>
          <w:i/>
        </w:rPr>
      </w:pPr>
      <w:r w:rsidRPr="00AA23B9">
        <w:rPr>
          <w:i/>
        </w:rPr>
        <w:t xml:space="preserve">“If the UE has been provided with higher layer in TS 38.331 [2] </w:t>
      </w:r>
      <w:proofErr w:type="spellStart"/>
      <w:r w:rsidRPr="00AA23B9">
        <w:rPr>
          <w:i/>
        </w:rPr>
        <w:t>signaling</w:t>
      </w:r>
      <w:proofErr w:type="spellEnd"/>
      <w:r w:rsidRPr="00AA23B9">
        <w:rPr>
          <w:i/>
        </w:rPr>
        <w:t xml:space="preserve"> of smtc2</w:t>
      </w:r>
      <w:r w:rsidRPr="00AA23B9">
        <w:rPr>
          <w:b/>
          <w:i/>
        </w:rPr>
        <w:t xml:space="preserve"> </w:t>
      </w:r>
      <w:r w:rsidRPr="00AA23B9">
        <w:rPr>
          <w:i/>
        </w:rPr>
        <w:t xml:space="preserve">prior to the handover command, </w:t>
      </w:r>
      <w:proofErr w:type="spellStart"/>
      <w:r w:rsidRPr="00AA23B9">
        <w:rPr>
          <w:i/>
        </w:rPr>
        <w:t>T</w:t>
      </w:r>
      <w:r w:rsidRPr="00AA23B9">
        <w:rPr>
          <w:i/>
          <w:vertAlign w:val="subscript"/>
        </w:rPr>
        <w:t>rs</w:t>
      </w:r>
      <w:proofErr w:type="spellEnd"/>
      <w:r w:rsidRPr="00AA23B9">
        <w:rPr>
          <w:i/>
        </w:rPr>
        <w:t xml:space="preserve"> follows smtc1 or smtc2 according to the physical cell ID of the target cell.” </w:t>
      </w:r>
    </w:p>
    <w:p w14:paraId="78B4BCAA" w14:textId="77777777" w:rsidR="00B87D8F" w:rsidRPr="00AA23B9" w:rsidRDefault="00B87D8F" w:rsidP="00B87D8F">
      <w:pPr>
        <w:rPr>
          <w:rFonts w:eastAsia="SimSun"/>
          <w:i/>
        </w:rPr>
      </w:pPr>
      <w:r w:rsidRPr="00AA23B9">
        <w:rPr>
          <w:i/>
        </w:rPr>
        <w:t xml:space="preserve">“If the </w:t>
      </w:r>
      <w:proofErr w:type="spellStart"/>
      <w:r w:rsidRPr="00AA23B9">
        <w:rPr>
          <w:i/>
        </w:rPr>
        <w:t>SCell</w:t>
      </w:r>
      <w:proofErr w:type="spellEnd"/>
      <w:r w:rsidRPr="00AA23B9">
        <w:rPr>
          <w:i/>
        </w:rPr>
        <w:t xml:space="preserve"> is known and belongs to FR1, </w:t>
      </w:r>
      <w:proofErr w:type="spellStart"/>
      <w:r w:rsidRPr="00AA23B9">
        <w:rPr>
          <w:i/>
        </w:rPr>
        <w:t>T</w:t>
      </w:r>
      <w:r w:rsidRPr="00AA23B9">
        <w:rPr>
          <w:i/>
          <w:vertAlign w:val="subscript"/>
        </w:rPr>
        <w:t>activation_time</w:t>
      </w:r>
      <w:proofErr w:type="spellEnd"/>
      <w:r w:rsidRPr="00AA23B9">
        <w:rPr>
          <w:i/>
        </w:rPr>
        <w:t xml:space="preserve"> is:</w:t>
      </w:r>
    </w:p>
    <w:p w14:paraId="48B6CC41" w14:textId="77777777" w:rsidR="00B87D8F" w:rsidRPr="00AA23B9" w:rsidRDefault="00B87D8F" w:rsidP="00B87D8F">
      <w:pPr>
        <w:pStyle w:val="B3"/>
        <w:ind w:left="1386"/>
        <w:rPr>
          <w:i/>
        </w:rPr>
      </w:pPr>
      <w:r w:rsidRPr="00AA23B9">
        <w:rPr>
          <w:i/>
        </w:rPr>
        <w:t>-</w:t>
      </w:r>
      <w:r w:rsidRPr="00AA23B9">
        <w:rPr>
          <w:i/>
        </w:rPr>
        <w:tab/>
        <w:t>[</w:t>
      </w:r>
      <w:proofErr w:type="spellStart"/>
      <w:r w:rsidRPr="00AA23B9">
        <w:rPr>
          <w:i/>
        </w:rPr>
        <w:t>T</w:t>
      </w:r>
      <w:r w:rsidRPr="00AA23B9">
        <w:rPr>
          <w:i/>
          <w:vertAlign w:val="subscript"/>
        </w:rPr>
        <w:t>SMTC_SCell</w:t>
      </w:r>
      <w:proofErr w:type="spellEnd"/>
      <w:r w:rsidRPr="00AA23B9">
        <w:rPr>
          <w:i/>
        </w:rPr>
        <w:t xml:space="preserve"> + 5ms], if the </w:t>
      </w:r>
      <w:proofErr w:type="spellStart"/>
      <w:r w:rsidRPr="00AA23B9">
        <w:rPr>
          <w:i/>
        </w:rPr>
        <w:t>SCell</w:t>
      </w:r>
      <w:proofErr w:type="spellEnd"/>
      <w:r w:rsidRPr="00AA23B9">
        <w:rPr>
          <w:i/>
        </w:rPr>
        <w:t xml:space="preserve"> measurement cycle is equal to or smaller than [160ms].</w:t>
      </w:r>
    </w:p>
    <w:p w14:paraId="27C6B541" w14:textId="77777777" w:rsidR="00B87D8F" w:rsidRPr="00AA23B9" w:rsidRDefault="00B87D8F" w:rsidP="00B87D8F">
      <w:pPr>
        <w:pStyle w:val="B3"/>
        <w:ind w:left="1386"/>
        <w:rPr>
          <w:i/>
        </w:rPr>
      </w:pPr>
      <w:r w:rsidRPr="00AA23B9">
        <w:rPr>
          <w:i/>
        </w:rPr>
        <w:t>-</w:t>
      </w:r>
      <w:r w:rsidRPr="00AA23B9">
        <w:rPr>
          <w:i/>
        </w:rPr>
        <w:tab/>
        <w:t>[T</w:t>
      </w:r>
      <w:r w:rsidRPr="00AA23B9">
        <w:rPr>
          <w:i/>
          <w:vertAlign w:val="subscript"/>
        </w:rPr>
        <w:t>SMTC_MAX</w:t>
      </w:r>
      <w:r w:rsidRPr="00AA23B9">
        <w:rPr>
          <w:i/>
        </w:rPr>
        <w:t xml:space="preserve"> + </w:t>
      </w:r>
      <w:proofErr w:type="spellStart"/>
      <w:r w:rsidRPr="00AA23B9">
        <w:rPr>
          <w:i/>
        </w:rPr>
        <w:t>T</w:t>
      </w:r>
      <w:r w:rsidRPr="00AA23B9">
        <w:rPr>
          <w:i/>
          <w:vertAlign w:val="subscript"/>
        </w:rPr>
        <w:t>SMTC_SCell</w:t>
      </w:r>
      <w:proofErr w:type="spellEnd"/>
      <w:r w:rsidRPr="00AA23B9">
        <w:rPr>
          <w:i/>
        </w:rPr>
        <w:t xml:space="preserve"> + 5ms], if the </w:t>
      </w:r>
      <w:proofErr w:type="spellStart"/>
      <w:r w:rsidRPr="00AA23B9">
        <w:rPr>
          <w:i/>
        </w:rPr>
        <w:t>SCell</w:t>
      </w:r>
      <w:proofErr w:type="spellEnd"/>
      <w:r w:rsidRPr="00AA23B9">
        <w:rPr>
          <w:i/>
        </w:rPr>
        <w:t xml:space="preserve"> measurement cycle is larger than [160ms].”</w:t>
      </w:r>
    </w:p>
    <w:p w14:paraId="0D2437B6" w14:textId="56033961" w:rsidR="00B87D8F" w:rsidRDefault="00B87D8F" w:rsidP="00B87D8F">
      <w:r>
        <w:t>On the other hand, for IAB node discovery and measurement, an IAB MT can be configured with up to four S</w:t>
      </w:r>
      <w:r w:rsidR="00B2695C">
        <w:t>M</w:t>
      </w:r>
      <w:r>
        <w:t xml:space="preserve">TC windows. The periodicity of SMTC can be up to </w:t>
      </w:r>
      <w:r w:rsidR="00B22E0D">
        <w:t xml:space="preserve">1280 </w:t>
      </w:r>
      <w:proofErr w:type="spellStart"/>
      <w:r>
        <w:t>ms</w:t>
      </w:r>
      <w:proofErr w:type="spellEnd"/>
      <w:r>
        <w:t>.</w:t>
      </w:r>
      <w:r w:rsidR="006A2742">
        <w:t xml:space="preserve"> RAN1 also agreed that e</w:t>
      </w:r>
      <w:r w:rsidR="006A2742" w:rsidRPr="00AB03AB">
        <w:t>ach SMTC window is provided its own independent configuration (e.g. periodicity, offset, duration)</w:t>
      </w:r>
      <w:r w:rsidR="006A2742">
        <w:t>.</w:t>
      </w:r>
      <w:r>
        <w:t xml:space="preserve"> RAN1 made the following agreements regarding this [3]: </w:t>
      </w:r>
    </w:p>
    <w:tbl>
      <w:tblPr>
        <w:tblStyle w:val="TableGrid"/>
        <w:tblW w:w="0" w:type="auto"/>
        <w:tblLook w:val="04A0" w:firstRow="1" w:lastRow="0" w:firstColumn="1" w:lastColumn="0" w:noHBand="0" w:noVBand="1"/>
      </w:tblPr>
      <w:tblGrid>
        <w:gridCol w:w="9350"/>
      </w:tblGrid>
      <w:tr w:rsidR="00B87D8F" w:rsidRPr="00CC1587" w14:paraId="280A5F4B" w14:textId="77777777" w:rsidTr="006A2742">
        <w:tc>
          <w:tcPr>
            <w:tcW w:w="9350" w:type="dxa"/>
          </w:tcPr>
          <w:p w14:paraId="1CD84B86" w14:textId="77777777" w:rsidR="00B87D8F" w:rsidRDefault="00B87D8F" w:rsidP="006A2742">
            <w:pPr>
              <w:autoSpaceDE w:val="0"/>
              <w:autoSpaceDN w:val="0"/>
              <w:adjustRightInd w:val="0"/>
              <w:snapToGrid w:val="0"/>
              <w:spacing w:after="120"/>
              <w:jc w:val="both"/>
              <w:rPr>
                <w:i/>
                <w:lang w:eastAsia="zh-CN"/>
              </w:rPr>
            </w:pPr>
          </w:p>
          <w:p w14:paraId="30D62607" w14:textId="77777777" w:rsidR="00B22E0D" w:rsidRDefault="00B22E0D" w:rsidP="00B22E0D">
            <w:r w:rsidRPr="00B93152">
              <w:rPr>
                <w:highlight w:val="green"/>
              </w:rPr>
              <w:t>Agreements</w:t>
            </w:r>
            <w:r>
              <w:t>:</w:t>
            </w:r>
          </w:p>
          <w:p w14:paraId="227DA5EC" w14:textId="77777777" w:rsidR="00B22E0D" w:rsidRPr="0052332D" w:rsidRDefault="00B22E0D" w:rsidP="00B22E0D">
            <w:pPr>
              <w:rPr>
                <w:lang w:eastAsia="zh-CN"/>
              </w:rPr>
            </w:pPr>
            <w:r w:rsidRPr="0052332D">
              <w:rPr>
                <w:rFonts w:hint="eastAsia"/>
                <w:lang w:eastAsia="zh-CN"/>
              </w:rPr>
              <w:t>T</w:t>
            </w:r>
            <w:r w:rsidRPr="0052332D">
              <w:rPr>
                <w:lang w:eastAsia="zh-CN"/>
              </w:rPr>
              <w:t xml:space="preserve">he configurable </w:t>
            </w:r>
            <w:r w:rsidRPr="0052332D">
              <w:rPr>
                <w:rFonts w:hint="eastAsia"/>
                <w:lang w:eastAsia="zh-CN"/>
              </w:rPr>
              <w:t>values</w:t>
            </w:r>
            <w:r w:rsidRPr="0052332D">
              <w:rPr>
                <w:lang w:eastAsia="zh-CN"/>
              </w:rPr>
              <w:t xml:space="preserve"> of the parameters in the SSB reception configurations including SMTC for IAB node discovery and measurement are provided in the following</w:t>
            </w:r>
          </w:p>
          <w:p w14:paraId="49531E3C" w14:textId="77777777" w:rsidR="00B22E0D" w:rsidRPr="0052332D" w:rsidRDefault="00B22E0D" w:rsidP="00B22E0D">
            <w:pPr>
              <w:pStyle w:val="ListParagraph"/>
              <w:numPr>
                <w:ilvl w:val="0"/>
                <w:numId w:val="9"/>
              </w:numPr>
              <w:autoSpaceDE w:val="0"/>
              <w:autoSpaceDN w:val="0"/>
              <w:adjustRightInd w:val="0"/>
              <w:snapToGrid w:val="0"/>
              <w:spacing w:after="120"/>
              <w:ind w:leftChars="0"/>
              <w:jc w:val="both"/>
              <w:rPr>
                <w:lang w:eastAsia="zh-CN"/>
              </w:rPr>
            </w:pPr>
            <w:r w:rsidRPr="0052332D">
              <w:rPr>
                <w:lang w:eastAsia="zh-CN"/>
              </w:rPr>
              <w:t xml:space="preserve">SMTC window periodicity: </w:t>
            </w:r>
          </w:p>
          <w:p w14:paraId="14BBB2ED" w14:textId="77777777" w:rsidR="00B22E0D" w:rsidRPr="0052332D" w:rsidRDefault="00B22E0D" w:rsidP="00B22E0D">
            <w:pPr>
              <w:pStyle w:val="ListParagraph"/>
              <w:numPr>
                <w:ilvl w:val="1"/>
                <w:numId w:val="9"/>
              </w:numPr>
              <w:autoSpaceDE w:val="0"/>
              <w:autoSpaceDN w:val="0"/>
              <w:adjustRightInd w:val="0"/>
              <w:snapToGrid w:val="0"/>
              <w:spacing w:after="120"/>
              <w:ind w:leftChars="0"/>
              <w:jc w:val="both"/>
              <w:rPr>
                <w:lang w:eastAsia="zh-CN"/>
              </w:rPr>
            </w:pPr>
            <w:r w:rsidRPr="0052332D">
              <w:rPr>
                <w:lang w:eastAsia="zh-CN"/>
              </w:rPr>
              <w:t>5ms, 10ms, 20ms, 40ms, 80ms, 160ms, 320ms, 640ms, 1280ms</w:t>
            </w:r>
          </w:p>
          <w:p w14:paraId="7FCBDA60" w14:textId="77777777" w:rsidR="00B22E0D" w:rsidRPr="0052332D" w:rsidRDefault="00B22E0D" w:rsidP="00B22E0D">
            <w:pPr>
              <w:pStyle w:val="ListParagraph"/>
              <w:numPr>
                <w:ilvl w:val="0"/>
                <w:numId w:val="9"/>
              </w:numPr>
              <w:autoSpaceDE w:val="0"/>
              <w:autoSpaceDN w:val="0"/>
              <w:adjustRightInd w:val="0"/>
              <w:snapToGrid w:val="0"/>
              <w:spacing w:after="120"/>
              <w:ind w:leftChars="0"/>
              <w:jc w:val="both"/>
              <w:rPr>
                <w:lang w:eastAsia="zh-CN"/>
              </w:rPr>
            </w:pPr>
            <w:r w:rsidRPr="0052332D">
              <w:rPr>
                <w:lang w:eastAsia="zh-CN"/>
              </w:rPr>
              <w:t xml:space="preserve">SMTC window timing offset: </w:t>
            </w:r>
          </w:p>
          <w:p w14:paraId="4A85A27D" w14:textId="77777777" w:rsidR="00B22E0D" w:rsidRPr="0052332D" w:rsidRDefault="00B22E0D" w:rsidP="00B22E0D">
            <w:pPr>
              <w:pStyle w:val="ListParagraph"/>
              <w:numPr>
                <w:ilvl w:val="1"/>
                <w:numId w:val="9"/>
              </w:numPr>
              <w:autoSpaceDE w:val="0"/>
              <w:autoSpaceDN w:val="0"/>
              <w:adjustRightInd w:val="0"/>
              <w:snapToGrid w:val="0"/>
              <w:spacing w:after="120"/>
              <w:ind w:leftChars="0"/>
              <w:jc w:val="both"/>
              <w:rPr>
                <w:lang w:eastAsia="zh-CN"/>
              </w:rPr>
            </w:pPr>
            <w:r w:rsidRPr="0052332D">
              <w:rPr>
                <w:lang w:eastAsia="zh-CN"/>
              </w:rPr>
              <w:t>[0, ..., (number of subframes within SMTC window periodicity) – 1]</w:t>
            </w:r>
          </w:p>
          <w:p w14:paraId="03B77AF1" w14:textId="77777777" w:rsidR="00B22E0D" w:rsidRPr="0052332D" w:rsidRDefault="00B22E0D" w:rsidP="00B22E0D">
            <w:pPr>
              <w:pStyle w:val="ListParagraph"/>
              <w:numPr>
                <w:ilvl w:val="0"/>
                <w:numId w:val="9"/>
              </w:numPr>
              <w:autoSpaceDE w:val="0"/>
              <w:autoSpaceDN w:val="0"/>
              <w:adjustRightInd w:val="0"/>
              <w:snapToGrid w:val="0"/>
              <w:spacing w:after="120"/>
              <w:ind w:leftChars="0"/>
              <w:jc w:val="both"/>
              <w:rPr>
                <w:lang w:eastAsia="zh-CN"/>
              </w:rPr>
            </w:pPr>
            <w:r w:rsidRPr="0052332D">
              <w:rPr>
                <w:lang w:eastAsia="zh-CN"/>
              </w:rPr>
              <w:t xml:space="preserve">SMTC window duration: </w:t>
            </w:r>
          </w:p>
          <w:p w14:paraId="30F427C0" w14:textId="77777777" w:rsidR="00B22E0D" w:rsidRPr="0052332D" w:rsidRDefault="00B22E0D" w:rsidP="00B22E0D">
            <w:pPr>
              <w:pStyle w:val="ListParagraph"/>
              <w:numPr>
                <w:ilvl w:val="1"/>
                <w:numId w:val="9"/>
              </w:numPr>
              <w:autoSpaceDE w:val="0"/>
              <w:autoSpaceDN w:val="0"/>
              <w:adjustRightInd w:val="0"/>
              <w:snapToGrid w:val="0"/>
              <w:spacing w:after="120"/>
              <w:ind w:leftChars="0"/>
              <w:jc w:val="both"/>
              <w:rPr>
                <w:lang w:eastAsia="zh-CN"/>
              </w:rPr>
            </w:pPr>
            <w:r w:rsidRPr="0052332D">
              <w:rPr>
                <w:lang w:eastAsia="zh-CN"/>
              </w:rPr>
              <w:t>[1, …, 5] (subframes)</w:t>
            </w:r>
          </w:p>
          <w:p w14:paraId="21A5AD12" w14:textId="77777777" w:rsidR="00B22E0D" w:rsidRPr="0052332D" w:rsidRDefault="00B22E0D" w:rsidP="00B22E0D">
            <w:pPr>
              <w:pStyle w:val="ListParagraph"/>
              <w:numPr>
                <w:ilvl w:val="2"/>
                <w:numId w:val="9"/>
              </w:numPr>
              <w:autoSpaceDE w:val="0"/>
              <w:autoSpaceDN w:val="0"/>
              <w:adjustRightInd w:val="0"/>
              <w:snapToGrid w:val="0"/>
              <w:spacing w:after="120"/>
              <w:ind w:leftChars="0"/>
              <w:jc w:val="both"/>
              <w:rPr>
                <w:lang w:eastAsia="zh-CN"/>
              </w:rPr>
            </w:pPr>
            <w:r w:rsidRPr="0052332D">
              <w:rPr>
                <w:lang w:eastAsia="zh-CN"/>
              </w:rPr>
              <w:t>FFS larger than 5</w:t>
            </w:r>
          </w:p>
          <w:p w14:paraId="6BED477B" w14:textId="77777777" w:rsidR="00B22E0D" w:rsidRPr="0052332D" w:rsidRDefault="00B22E0D" w:rsidP="00B22E0D">
            <w:pPr>
              <w:pStyle w:val="ListParagraph"/>
              <w:numPr>
                <w:ilvl w:val="0"/>
                <w:numId w:val="9"/>
              </w:numPr>
              <w:autoSpaceDE w:val="0"/>
              <w:autoSpaceDN w:val="0"/>
              <w:adjustRightInd w:val="0"/>
              <w:snapToGrid w:val="0"/>
              <w:spacing w:after="120"/>
              <w:ind w:leftChars="0"/>
              <w:jc w:val="both"/>
              <w:rPr>
                <w:lang w:eastAsia="zh-CN"/>
              </w:rPr>
            </w:pPr>
            <w:r w:rsidRPr="0052332D">
              <w:rPr>
                <w:lang w:eastAsia="zh-CN"/>
              </w:rPr>
              <w:t>List of physical cell IDs to be measured</w:t>
            </w:r>
          </w:p>
          <w:p w14:paraId="08DC1F84" w14:textId="77777777" w:rsidR="00B22E0D" w:rsidRPr="0052332D" w:rsidRDefault="00B22E0D" w:rsidP="00B22E0D">
            <w:pPr>
              <w:pStyle w:val="ListParagraph"/>
              <w:numPr>
                <w:ilvl w:val="1"/>
                <w:numId w:val="9"/>
              </w:numPr>
              <w:autoSpaceDE w:val="0"/>
              <w:autoSpaceDN w:val="0"/>
              <w:adjustRightInd w:val="0"/>
              <w:snapToGrid w:val="0"/>
              <w:spacing w:after="120"/>
              <w:ind w:leftChars="0"/>
              <w:jc w:val="both"/>
              <w:rPr>
                <w:lang w:eastAsia="zh-CN"/>
              </w:rPr>
            </w:pPr>
            <w:r w:rsidRPr="0052332D">
              <w:rPr>
                <w:lang w:eastAsia="zh-CN"/>
              </w:rPr>
              <w:t xml:space="preserve">[cell </w:t>
            </w:r>
            <w:r w:rsidRPr="0052332D">
              <w:rPr>
                <w:rFonts w:hint="eastAsia"/>
                <w:lang w:eastAsia="zh-CN"/>
              </w:rPr>
              <w:t>ID</w:t>
            </w:r>
            <w:r w:rsidRPr="0052332D">
              <w:rPr>
                <w:lang w:eastAsia="zh-CN"/>
              </w:rPr>
              <w:t xml:space="preserve"> 0, …, cell </w:t>
            </w:r>
            <w:r w:rsidRPr="0052332D">
              <w:rPr>
                <w:rFonts w:hint="eastAsia"/>
                <w:lang w:eastAsia="zh-CN"/>
              </w:rPr>
              <w:t>ID</w:t>
            </w:r>
            <w:r w:rsidRPr="0052332D">
              <w:rPr>
                <w:lang w:eastAsia="zh-CN"/>
              </w:rPr>
              <w:t xml:space="preserve"> M-</w:t>
            </w:r>
            <w:proofErr w:type="gramStart"/>
            <w:r w:rsidRPr="0052332D">
              <w:rPr>
                <w:lang w:eastAsia="zh-CN"/>
              </w:rPr>
              <w:t>1</w:t>
            </w:r>
            <w:r w:rsidRPr="0052332D">
              <w:rPr>
                <w:rFonts w:hint="eastAsia"/>
                <w:lang w:eastAsia="zh-CN"/>
              </w:rPr>
              <w:t xml:space="preserve"> </w:t>
            </w:r>
            <w:r w:rsidRPr="0052332D">
              <w:rPr>
                <w:lang w:eastAsia="zh-CN"/>
              </w:rPr>
              <w:t>]</w:t>
            </w:r>
            <w:proofErr w:type="gramEnd"/>
          </w:p>
          <w:p w14:paraId="7FB1B8BB" w14:textId="77777777" w:rsidR="00B22E0D" w:rsidRPr="0052332D" w:rsidRDefault="00B22E0D" w:rsidP="00B22E0D">
            <w:pPr>
              <w:pStyle w:val="ListParagraph"/>
              <w:numPr>
                <w:ilvl w:val="2"/>
                <w:numId w:val="9"/>
              </w:numPr>
              <w:autoSpaceDE w:val="0"/>
              <w:autoSpaceDN w:val="0"/>
              <w:adjustRightInd w:val="0"/>
              <w:snapToGrid w:val="0"/>
              <w:spacing w:after="120"/>
              <w:ind w:leftChars="0"/>
              <w:jc w:val="both"/>
              <w:rPr>
                <w:lang w:eastAsia="zh-CN"/>
              </w:rPr>
            </w:pPr>
            <w:r w:rsidRPr="0052332D">
              <w:rPr>
                <w:lang w:eastAsia="zh-CN"/>
              </w:rPr>
              <w:t>FFS value of M</w:t>
            </w:r>
          </w:p>
          <w:p w14:paraId="6008DD76" w14:textId="77777777" w:rsidR="00B22E0D" w:rsidRPr="0052332D" w:rsidRDefault="00B22E0D" w:rsidP="00B22E0D">
            <w:pPr>
              <w:pStyle w:val="ListParagraph"/>
              <w:numPr>
                <w:ilvl w:val="0"/>
                <w:numId w:val="9"/>
              </w:numPr>
              <w:autoSpaceDE w:val="0"/>
              <w:autoSpaceDN w:val="0"/>
              <w:adjustRightInd w:val="0"/>
              <w:snapToGrid w:val="0"/>
              <w:spacing w:after="120"/>
              <w:ind w:leftChars="0"/>
              <w:jc w:val="both"/>
              <w:rPr>
                <w:lang w:eastAsia="zh-CN"/>
              </w:rPr>
            </w:pPr>
            <w:r w:rsidRPr="0052332D">
              <w:rPr>
                <w:lang w:eastAsia="zh-CN"/>
              </w:rPr>
              <w:t>SSB-</w:t>
            </w:r>
            <w:proofErr w:type="spellStart"/>
            <w:r w:rsidRPr="0052332D">
              <w:rPr>
                <w:lang w:eastAsia="zh-CN"/>
              </w:rPr>
              <w:t>ToMeasure</w:t>
            </w:r>
            <w:proofErr w:type="spellEnd"/>
          </w:p>
          <w:p w14:paraId="4F24D7B3" w14:textId="77777777" w:rsidR="00B22E0D" w:rsidRPr="0052332D" w:rsidRDefault="00B22E0D" w:rsidP="00B22E0D">
            <w:pPr>
              <w:pStyle w:val="ListParagraph"/>
              <w:numPr>
                <w:ilvl w:val="1"/>
                <w:numId w:val="9"/>
              </w:numPr>
              <w:autoSpaceDE w:val="0"/>
              <w:autoSpaceDN w:val="0"/>
              <w:adjustRightInd w:val="0"/>
              <w:snapToGrid w:val="0"/>
              <w:spacing w:after="120"/>
              <w:ind w:leftChars="0"/>
              <w:jc w:val="both"/>
              <w:rPr>
                <w:lang w:eastAsia="zh-CN"/>
              </w:rPr>
            </w:pPr>
            <w:r w:rsidRPr="0052332D">
              <w:rPr>
                <w:lang w:eastAsia="zh-CN"/>
              </w:rPr>
              <w:t>Same as Rel-15</w:t>
            </w:r>
          </w:p>
          <w:p w14:paraId="49AA88A2" w14:textId="77777777" w:rsidR="00B22E0D" w:rsidRDefault="00B22E0D" w:rsidP="006A2742">
            <w:pPr>
              <w:autoSpaceDE w:val="0"/>
              <w:autoSpaceDN w:val="0"/>
              <w:adjustRightInd w:val="0"/>
              <w:snapToGrid w:val="0"/>
              <w:spacing w:after="120"/>
              <w:jc w:val="both"/>
              <w:rPr>
                <w:i/>
                <w:lang w:eastAsia="zh-CN"/>
              </w:rPr>
            </w:pPr>
          </w:p>
          <w:p w14:paraId="2E488984" w14:textId="77777777" w:rsidR="00B22E0D" w:rsidRDefault="00B22E0D" w:rsidP="00B22E0D">
            <w:r w:rsidRPr="00B93152">
              <w:rPr>
                <w:highlight w:val="green"/>
              </w:rPr>
              <w:t>Agreements</w:t>
            </w:r>
            <w:r>
              <w:t>:</w:t>
            </w:r>
          </w:p>
          <w:p w14:paraId="79D18A3B" w14:textId="1136D410" w:rsidR="00B22E0D" w:rsidRDefault="00B22E0D" w:rsidP="009A3991">
            <w:pPr>
              <w:pStyle w:val="maintext"/>
              <w:ind w:firstLineChars="0" w:firstLine="0"/>
            </w:pPr>
            <w:r w:rsidRPr="00AB03AB">
              <w:t>Each SMTC window is provided its own independent configuration (e.g. periodicity, offset, duration)</w:t>
            </w:r>
          </w:p>
          <w:p w14:paraId="04AE2692" w14:textId="2FD05E8D" w:rsidR="00B22E0D" w:rsidRPr="009A3991" w:rsidRDefault="00B22E0D" w:rsidP="006A2742">
            <w:pPr>
              <w:autoSpaceDE w:val="0"/>
              <w:autoSpaceDN w:val="0"/>
              <w:adjustRightInd w:val="0"/>
              <w:snapToGrid w:val="0"/>
              <w:spacing w:after="120"/>
              <w:jc w:val="both"/>
              <w:rPr>
                <w:lang w:eastAsia="zh-CN"/>
              </w:rPr>
            </w:pPr>
          </w:p>
        </w:tc>
      </w:tr>
    </w:tbl>
    <w:p w14:paraId="30F69930" w14:textId="038E79B0" w:rsidR="00B87D8F" w:rsidRDefault="00B87D8F" w:rsidP="00B87D8F"/>
    <w:p w14:paraId="7F5F9136" w14:textId="589F905C" w:rsidR="00B87D8F" w:rsidRDefault="00B87D8F" w:rsidP="00B87D8F">
      <w:r>
        <w:t>The updated number of SMTC configurations and SMTC periodicity needs to be captured in IAB RRM specs.</w:t>
      </w:r>
    </w:p>
    <w:p w14:paraId="4908F7AF" w14:textId="59DC584D" w:rsidR="00BA0400" w:rsidRDefault="00BA0400" w:rsidP="00BA0400">
      <w:r>
        <w:t>Besides, RAN1 has agreed to the following regarding UE’s assumptions about SSB periodicity during initial cell selection.</w:t>
      </w:r>
    </w:p>
    <w:tbl>
      <w:tblPr>
        <w:tblStyle w:val="TableGrid"/>
        <w:tblW w:w="0" w:type="auto"/>
        <w:tblLook w:val="04A0" w:firstRow="1" w:lastRow="0" w:firstColumn="1" w:lastColumn="0" w:noHBand="0" w:noVBand="1"/>
      </w:tblPr>
      <w:tblGrid>
        <w:gridCol w:w="9350"/>
      </w:tblGrid>
      <w:tr w:rsidR="00BA0400" w:rsidRPr="00CC1587" w14:paraId="3555128C" w14:textId="77777777" w:rsidTr="00E06AAD">
        <w:tc>
          <w:tcPr>
            <w:tcW w:w="9350" w:type="dxa"/>
          </w:tcPr>
          <w:p w14:paraId="6AEAEE8B" w14:textId="77777777" w:rsidR="00BA0400" w:rsidRPr="009B2348" w:rsidRDefault="00BA0400" w:rsidP="00BA0400">
            <w:r w:rsidRPr="009B2348">
              <w:rPr>
                <w:highlight w:val="green"/>
              </w:rPr>
              <w:t>Agreements</w:t>
            </w:r>
            <w:r w:rsidRPr="009B2348">
              <w:t>:</w:t>
            </w:r>
          </w:p>
          <w:p w14:paraId="51CE3A5D" w14:textId="77777777" w:rsidR="00BA0400" w:rsidRPr="009B2348" w:rsidRDefault="00BA0400" w:rsidP="00BA0400">
            <w:pPr>
              <w:pStyle w:val="maintext"/>
              <w:numPr>
                <w:ilvl w:val="0"/>
                <w:numId w:val="11"/>
              </w:numPr>
              <w:ind w:firstLineChars="0"/>
            </w:pPr>
            <w:r w:rsidRPr="009B2348">
              <w:lastRenderedPageBreak/>
              <w:t>Existing NR mechanisms are used by the network to signal to IAB MTs the SSB periodicity for cell re-selection.</w:t>
            </w:r>
          </w:p>
          <w:p w14:paraId="6FA1E2F7" w14:textId="77777777" w:rsidR="00BA0400" w:rsidRPr="009B2348" w:rsidRDefault="00BA0400" w:rsidP="00BA0400">
            <w:pPr>
              <w:pStyle w:val="maintext"/>
              <w:numPr>
                <w:ilvl w:val="0"/>
                <w:numId w:val="11"/>
              </w:numPr>
              <w:ind w:firstLineChars="0"/>
            </w:pPr>
            <w:r w:rsidRPr="009B2348">
              <w:t>The IAB-node MT initial access assumption that half frames with SS/PBCH blocks occur with a periodicity of 16 frames does not have an impact on cell re-selection.</w:t>
            </w:r>
          </w:p>
          <w:p w14:paraId="308D0E20" w14:textId="77777777" w:rsidR="00BA0400" w:rsidRPr="00653885" w:rsidRDefault="00BA0400" w:rsidP="00BA0400">
            <w:pPr>
              <w:rPr>
                <w:b/>
                <w:sz w:val="22"/>
                <w:szCs w:val="22"/>
              </w:rPr>
            </w:pPr>
            <w:r w:rsidRPr="00653885">
              <w:rPr>
                <w:sz w:val="22"/>
                <w:szCs w:val="22"/>
                <w:highlight w:val="green"/>
              </w:rPr>
              <w:t>Agreements</w:t>
            </w:r>
            <w:r w:rsidRPr="00653885">
              <w:rPr>
                <w:b/>
                <w:sz w:val="22"/>
                <w:szCs w:val="22"/>
              </w:rPr>
              <w:t>:</w:t>
            </w:r>
          </w:p>
          <w:p w14:paraId="7812C3D8" w14:textId="4254DC3D" w:rsidR="00BA0400" w:rsidRPr="00BA0400" w:rsidRDefault="00BA0400" w:rsidP="00BA0400">
            <w:pPr>
              <w:numPr>
                <w:ilvl w:val="0"/>
                <w:numId w:val="8"/>
              </w:numPr>
              <w:spacing w:after="0"/>
              <w:rPr>
                <w:sz w:val="22"/>
                <w:szCs w:val="22"/>
              </w:rPr>
            </w:pPr>
            <w:r w:rsidRPr="00653885">
              <w:rPr>
                <w:sz w:val="22"/>
                <w:szCs w:val="22"/>
              </w:rPr>
              <w:t xml:space="preserve">The IAB-node MT initial access assumption that half frames with SS/PBCH blocks occur with a periodicity of 16 frames does not have an impact on backhaul link rerouting to a new parent node in response to a failure in the link to the current parent node. </w:t>
            </w:r>
          </w:p>
          <w:p w14:paraId="3A0A39B8" w14:textId="77777777" w:rsidR="00BA0400" w:rsidRPr="009A3991" w:rsidRDefault="00BA0400" w:rsidP="00BA0400">
            <w:pPr>
              <w:pStyle w:val="maintext"/>
              <w:ind w:firstLineChars="0" w:firstLine="0"/>
              <w:rPr>
                <w:lang w:eastAsia="zh-CN"/>
              </w:rPr>
            </w:pPr>
          </w:p>
        </w:tc>
      </w:tr>
    </w:tbl>
    <w:p w14:paraId="05A5E9DA" w14:textId="77777777" w:rsidR="00BA0400" w:rsidRDefault="00BA0400" w:rsidP="00B87D8F"/>
    <w:p w14:paraId="1052CF76" w14:textId="77777777" w:rsidR="00B87D8F" w:rsidRDefault="00B87D8F" w:rsidP="00B87D8F">
      <w:pPr>
        <w:rPr>
          <w:b/>
        </w:rPr>
      </w:pPr>
      <w:r>
        <w:rPr>
          <w:b/>
        </w:rPr>
        <w:t>Observation 2: RAN1 has agreed to allow a different number of SMTC configurations and SMTC periodicities for IAB MT nodes compared to that of UE nodes.</w:t>
      </w:r>
    </w:p>
    <w:p w14:paraId="53EDABAC" w14:textId="77777777" w:rsidR="00B87D8F" w:rsidRPr="00B87D8F" w:rsidRDefault="00B87D8F" w:rsidP="00B87D8F">
      <w:pPr>
        <w:pStyle w:val="ListParagraph"/>
        <w:numPr>
          <w:ilvl w:val="0"/>
          <w:numId w:val="4"/>
        </w:numPr>
        <w:ind w:leftChars="0"/>
        <w:rPr>
          <w:b/>
        </w:rPr>
      </w:pPr>
      <w:r>
        <w:rPr>
          <w:b/>
        </w:rPr>
        <w:t>These updated numbers need to be captured in RAN4 RRM specs.</w:t>
      </w:r>
    </w:p>
    <w:p w14:paraId="5FDFBC1A" w14:textId="77777777" w:rsidR="00B87D8F" w:rsidRPr="00EF25D5" w:rsidRDefault="00B87D8F" w:rsidP="00EF25D5"/>
    <w:p w14:paraId="25400A63" w14:textId="77777777" w:rsidR="00B87D8F" w:rsidRDefault="00B87D8F">
      <w:pPr>
        <w:pStyle w:val="Heading3"/>
      </w:pPr>
      <w:r>
        <w:t xml:space="preserve"> Timing Synchronization in IAB Networks</w:t>
      </w:r>
    </w:p>
    <w:p w14:paraId="3C52226F" w14:textId="77777777" w:rsidR="009A3991" w:rsidRDefault="00B87D8F" w:rsidP="00B87D8F">
      <w:r>
        <w:t xml:space="preserve">RAN1 has agreed to </w:t>
      </w:r>
      <w:r w:rsidR="006A2742">
        <w:t xml:space="preserve">define </w:t>
      </w:r>
      <w:proofErr w:type="spellStart"/>
      <w:r>
        <w:t>T_delta</w:t>
      </w:r>
      <w:proofErr w:type="spellEnd"/>
      <w:r>
        <w:t xml:space="preserve"> </w:t>
      </w:r>
      <w:r w:rsidR="00F10802">
        <w:t xml:space="preserve">to align timing of IAB nodes across multiple hops. RAN1 has sent two </w:t>
      </w:r>
      <w:proofErr w:type="spellStart"/>
      <w:r w:rsidR="00F10802">
        <w:t>LSes</w:t>
      </w:r>
      <w:proofErr w:type="spellEnd"/>
      <w:r w:rsidR="00F10802">
        <w:t xml:space="preserve"> to RAN4 requesting RAN4’s opinions about the range and granularity of the parameter </w:t>
      </w:r>
      <w:proofErr w:type="spellStart"/>
      <w:r w:rsidR="00F10802">
        <w:t>T_delta</w:t>
      </w:r>
      <w:proofErr w:type="spellEnd"/>
      <w:r w:rsidR="00F10802">
        <w:t xml:space="preserve"> and the DL synchronization accuracy requirement and OTA timing alignment across multiple hops. Capturing some of these requirements, e.g., adjustment accuracy of the parameter </w:t>
      </w:r>
      <w:proofErr w:type="spellStart"/>
      <w:r w:rsidR="00F10802">
        <w:t>T_delta</w:t>
      </w:r>
      <w:proofErr w:type="spellEnd"/>
      <w:r w:rsidR="00F10802">
        <w:t xml:space="preserve"> is essential to ensure timing alignment in IAB networks.</w:t>
      </w:r>
      <w:r w:rsidR="009A3991">
        <w:t xml:space="preserve"> </w:t>
      </w:r>
    </w:p>
    <w:p w14:paraId="24DB42BF" w14:textId="7047378C" w:rsidR="00B87D8F" w:rsidRDefault="009A3991" w:rsidP="00B87D8F">
      <w:r>
        <w:t>As mentioned before, RAN plenary has already agreed to “define latency requirements for switching between communication over parent backhaul link (i.e. MT) and child backhaul/access links (i.e. DU) [5]</w:t>
      </w:r>
    </w:p>
    <w:p w14:paraId="0A9C5782" w14:textId="4AFE1B9E" w:rsidR="00F10802" w:rsidRPr="00F10802" w:rsidRDefault="00F10802" w:rsidP="00F10802">
      <w:pPr>
        <w:rPr>
          <w:b/>
        </w:rPr>
      </w:pPr>
      <w:r w:rsidRPr="00F10802">
        <w:rPr>
          <w:b/>
        </w:rPr>
        <w:t xml:space="preserve">Observation 3: Capturing timing related requirements, e.g., adjustment accuracy of the parameter </w:t>
      </w:r>
      <w:proofErr w:type="spellStart"/>
      <w:r w:rsidRPr="00F10802">
        <w:rPr>
          <w:b/>
        </w:rPr>
        <w:t>T_delta</w:t>
      </w:r>
      <w:proofErr w:type="spellEnd"/>
      <w:r w:rsidR="009A3991">
        <w:rPr>
          <w:b/>
        </w:rPr>
        <w:t xml:space="preserve"> and latency for switching between communication over MTs and DUs</w:t>
      </w:r>
      <w:r w:rsidRPr="00F10802">
        <w:rPr>
          <w:b/>
        </w:rPr>
        <w:t xml:space="preserve">, is essential </w:t>
      </w:r>
      <w:r w:rsidR="00EB6C79">
        <w:rPr>
          <w:b/>
        </w:rPr>
        <w:t>in IAB networks.</w:t>
      </w:r>
    </w:p>
    <w:p w14:paraId="2AD5B998" w14:textId="77777777" w:rsidR="00B87D8F" w:rsidRPr="00B87D8F" w:rsidRDefault="00B87D8F" w:rsidP="00B87D8F"/>
    <w:p w14:paraId="643DCBDE" w14:textId="77777777" w:rsidR="007D51D1" w:rsidRDefault="007D51D1">
      <w:pPr>
        <w:pStyle w:val="Heading2"/>
      </w:pPr>
      <w:r>
        <w:t>Interoperability in IAB Networks</w:t>
      </w:r>
    </w:p>
    <w:p w14:paraId="31C2E0B6" w14:textId="77777777" w:rsidR="007D51D1" w:rsidRDefault="007D51D1" w:rsidP="007D51D1">
      <w:r>
        <w:t xml:space="preserve">An IAB network can consist of many IAB nodes. Each IAB node will have a mobile-termination (MT) and </w:t>
      </w:r>
      <w:proofErr w:type="spellStart"/>
      <w:r>
        <w:t>gNB</w:t>
      </w:r>
      <w:proofErr w:type="spellEnd"/>
      <w:r>
        <w:t xml:space="preserve">-DU functionality [1]. The MT part of an IAB node acts as the child of a parent node. The DU part provides </w:t>
      </w:r>
      <w:proofErr w:type="spellStart"/>
      <w:r>
        <w:t>gNB</w:t>
      </w:r>
      <w:proofErr w:type="spellEnd"/>
      <w:r>
        <w:t xml:space="preserve"> functionality to children nodes. Figure 1 shows an example of IAB network. Both IAB node 2 and IAB node 3 are children of IAB node 1. The MTs of these two IAB nodes receive data from the DU of IAB node 1. UE node 1 and UE node 2 are children of IAB node 2 and IAB node 3 respectively. The dotted line between IAB node 2 and IAB node 3 means that the link between IAB node 2 and 3 is good; and IAB node 2 might be able to act as a parent of IAB node 3.</w:t>
      </w:r>
    </w:p>
    <w:p w14:paraId="1C337086" w14:textId="77777777" w:rsidR="007D51D1" w:rsidRDefault="007D51D1" w:rsidP="007D51D1">
      <w:pPr>
        <w:jc w:val="center"/>
      </w:pPr>
      <w:r>
        <w:rPr>
          <w:noProof/>
        </w:rPr>
        <w:lastRenderedPageBreak/>
        <w:drawing>
          <wp:inline distT="0" distB="0" distL="0" distR="0" wp14:anchorId="6758DFA8" wp14:editId="57891914">
            <wp:extent cx="2352675" cy="2948931"/>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B chain.png"/>
                    <pic:cNvPicPr/>
                  </pic:nvPicPr>
                  <pic:blipFill>
                    <a:blip r:embed="rId10">
                      <a:extLst>
                        <a:ext uri="{28A0092B-C50C-407E-A947-70E740481C1C}">
                          <a14:useLocalDpi xmlns:a14="http://schemas.microsoft.com/office/drawing/2010/main" val="0"/>
                        </a:ext>
                      </a:extLst>
                    </a:blip>
                    <a:stretch>
                      <a:fillRect/>
                    </a:stretch>
                  </pic:blipFill>
                  <pic:spPr>
                    <a:xfrm>
                      <a:off x="0" y="0"/>
                      <a:ext cx="2365856" cy="2965453"/>
                    </a:xfrm>
                    <a:prstGeom prst="rect">
                      <a:avLst/>
                    </a:prstGeom>
                  </pic:spPr>
                </pic:pic>
              </a:graphicData>
            </a:graphic>
          </wp:inline>
        </w:drawing>
      </w:r>
    </w:p>
    <w:p w14:paraId="7C708650" w14:textId="77777777" w:rsidR="007D51D1" w:rsidRDefault="007D51D1" w:rsidP="007D51D1">
      <w:pPr>
        <w:jc w:val="center"/>
        <w:rPr>
          <w:b/>
        </w:rPr>
      </w:pPr>
      <w:r w:rsidRPr="00E93AE5">
        <w:rPr>
          <w:b/>
          <w:u w:val="single"/>
        </w:rPr>
        <w:t>Figure 1:</w:t>
      </w:r>
      <w:r w:rsidRPr="00E93AE5">
        <w:rPr>
          <w:b/>
        </w:rPr>
        <w:t xml:space="preserve"> An IAB network </w:t>
      </w:r>
    </w:p>
    <w:p w14:paraId="03DDAFC4" w14:textId="77777777" w:rsidR="007D51D1" w:rsidRDefault="007D51D1" w:rsidP="007D51D1">
      <w:r w:rsidRPr="00653AA5">
        <w:t>Different IAB nodes of an IAB network can be designed by different infra vendors. Inter-operability among different IAB nodes is significant to guarantee the performance of an IAB network</w:t>
      </w:r>
      <w:r>
        <w:t xml:space="preserve">. This inter-operability can be achieved by defining RRM requirements for IAB nodes. </w:t>
      </w:r>
    </w:p>
    <w:p w14:paraId="6AAC99B0" w14:textId="77777777" w:rsidR="007D51D1" w:rsidRDefault="007D51D1" w:rsidP="007D51D1">
      <w:r>
        <w:t xml:space="preserve">However, FR2 is the main use case for Rel-16 IAB networks. Even if the IAB nodes are static, they might </w:t>
      </w:r>
      <w:proofErr w:type="gramStart"/>
      <w:r>
        <w:t>be located in</w:t>
      </w:r>
      <w:proofErr w:type="gramEnd"/>
      <w:r>
        <w:t xml:space="preserve"> a dynamic and mobile FR2 environment. For example, two IAB nodes might be located in two opposite sides of a street. The suitable serving beam between these two IAB nodes may depend </w:t>
      </w:r>
      <w:r w:rsidR="004E2F19">
        <w:t>on a vehicle that is driving in the street. As a result, the serving beam will change from time to time. Hence, defining requirements for beam failure detection, beam failure recovery, radio link monitoring, etc. are essential to guarantee performance in FR2 IAB network.</w:t>
      </w:r>
    </w:p>
    <w:p w14:paraId="7A90EA92" w14:textId="77777777" w:rsidR="004E2F19" w:rsidRDefault="007D51D1" w:rsidP="004E2F19">
      <w:r>
        <w:rPr>
          <w:b/>
        </w:rPr>
        <w:t xml:space="preserve">Observation </w:t>
      </w:r>
      <w:r w:rsidR="00F10802">
        <w:rPr>
          <w:b/>
        </w:rPr>
        <w:t>4</w:t>
      </w:r>
      <w:r>
        <w:rPr>
          <w:b/>
        </w:rPr>
        <w:t>: Ensuring inter-operability among different IAB nodes is very important to guarantee the performance of an IAB network</w:t>
      </w:r>
      <w:r w:rsidRPr="00A1188C">
        <w:rPr>
          <w:b/>
        </w:rPr>
        <w:t>.</w:t>
      </w:r>
      <w:r w:rsidR="004E2F19" w:rsidRPr="00A1188C">
        <w:rPr>
          <w:b/>
        </w:rPr>
        <w:t xml:space="preserve"> Inter-operability can be achieved by defining RRM requirements for IAB nodes. </w:t>
      </w:r>
    </w:p>
    <w:p w14:paraId="2483E9FD" w14:textId="77777777" w:rsidR="007D51D1" w:rsidRPr="00533183" w:rsidRDefault="004E2F19" w:rsidP="007D51D1">
      <w:pPr>
        <w:rPr>
          <w:b/>
        </w:rPr>
      </w:pPr>
      <w:r w:rsidRPr="00533183">
        <w:rPr>
          <w:b/>
        </w:rPr>
        <w:t xml:space="preserve">Observation </w:t>
      </w:r>
      <w:r w:rsidR="00F10802">
        <w:rPr>
          <w:b/>
        </w:rPr>
        <w:t>5</w:t>
      </w:r>
      <w:r w:rsidRPr="00533183">
        <w:rPr>
          <w:b/>
        </w:rPr>
        <w:t xml:space="preserve">: FR2 is the main use case for Rel-16 IAB networks. IAB nodes might be located in a dynamic and mobile FR2 environment. Defining beam management </w:t>
      </w:r>
      <w:r w:rsidR="00533183" w:rsidRPr="00533183">
        <w:rPr>
          <w:b/>
        </w:rPr>
        <w:t>related requirements</w:t>
      </w:r>
      <w:r w:rsidR="00A1188C">
        <w:rPr>
          <w:b/>
        </w:rPr>
        <w:t xml:space="preserve"> is</w:t>
      </w:r>
      <w:r w:rsidR="00533183" w:rsidRPr="00533183">
        <w:rPr>
          <w:b/>
        </w:rPr>
        <w:t xml:space="preserve"> essential to guarantee performance in FR2 IAB network.</w:t>
      </w:r>
    </w:p>
    <w:p w14:paraId="73B447A1" w14:textId="77777777" w:rsidR="005842C1" w:rsidRDefault="005842C1" w:rsidP="00F10802">
      <w:pPr>
        <w:rPr>
          <w:b/>
        </w:rPr>
      </w:pPr>
    </w:p>
    <w:p w14:paraId="662CD895" w14:textId="77777777" w:rsidR="009E450B" w:rsidRDefault="009E450B" w:rsidP="00F10802">
      <w:pPr>
        <w:rPr>
          <w:b/>
        </w:rPr>
      </w:pPr>
      <w:r>
        <w:rPr>
          <w:b/>
        </w:rPr>
        <w:t xml:space="preserve">Proposal </w:t>
      </w:r>
      <w:r w:rsidR="00560555">
        <w:rPr>
          <w:b/>
        </w:rPr>
        <w:t>1</w:t>
      </w:r>
      <w:r>
        <w:rPr>
          <w:b/>
        </w:rPr>
        <w:t>: RAN4 defines</w:t>
      </w:r>
      <w:r w:rsidR="00157BE8">
        <w:rPr>
          <w:b/>
        </w:rPr>
        <w:t>, at least, the</w:t>
      </w:r>
      <w:r>
        <w:rPr>
          <w:b/>
        </w:rPr>
        <w:t xml:space="preserve"> following RRM requirements for IAB nodes.</w:t>
      </w:r>
    </w:p>
    <w:p w14:paraId="617DB7F3" w14:textId="77777777" w:rsidR="009E450B" w:rsidRDefault="009E450B" w:rsidP="009E450B">
      <w:pPr>
        <w:pStyle w:val="ListParagraph"/>
        <w:numPr>
          <w:ilvl w:val="0"/>
          <w:numId w:val="4"/>
        </w:numPr>
        <w:ind w:leftChars="0"/>
        <w:rPr>
          <w:b/>
        </w:rPr>
      </w:pPr>
      <w:r>
        <w:rPr>
          <w:b/>
        </w:rPr>
        <w:t>Intra-frequency/inter-frequency cell measurements</w:t>
      </w:r>
    </w:p>
    <w:p w14:paraId="2F06CDBB" w14:textId="3F0DF3C5" w:rsidR="009E450B" w:rsidRDefault="009E450B" w:rsidP="009E450B">
      <w:pPr>
        <w:pStyle w:val="ListParagraph"/>
        <w:numPr>
          <w:ilvl w:val="0"/>
          <w:numId w:val="4"/>
        </w:numPr>
        <w:ind w:leftChars="0"/>
        <w:rPr>
          <w:b/>
        </w:rPr>
      </w:pPr>
      <w:r>
        <w:rPr>
          <w:b/>
        </w:rPr>
        <w:t>Handover</w:t>
      </w:r>
      <w:r w:rsidR="0011282E">
        <w:rPr>
          <w:b/>
        </w:rPr>
        <w:t>, RRC re-establishment, etc.</w:t>
      </w:r>
    </w:p>
    <w:p w14:paraId="330F3A5A" w14:textId="77777777" w:rsidR="009E450B" w:rsidRDefault="009E450B" w:rsidP="009E450B">
      <w:pPr>
        <w:pStyle w:val="ListParagraph"/>
        <w:numPr>
          <w:ilvl w:val="0"/>
          <w:numId w:val="4"/>
        </w:numPr>
        <w:ind w:leftChars="0"/>
        <w:rPr>
          <w:b/>
        </w:rPr>
      </w:pPr>
      <w:r>
        <w:rPr>
          <w:b/>
        </w:rPr>
        <w:t>Radio link monitoring, beam failure detection and candidate beam detection</w:t>
      </w:r>
    </w:p>
    <w:p w14:paraId="1339D9C0" w14:textId="77777777" w:rsidR="00A13F3A" w:rsidRDefault="00A13F3A" w:rsidP="00A13F3A">
      <w:pPr>
        <w:pStyle w:val="ListParagraph"/>
        <w:numPr>
          <w:ilvl w:val="0"/>
          <w:numId w:val="4"/>
        </w:numPr>
        <w:ind w:leftChars="0"/>
        <w:rPr>
          <w:b/>
        </w:rPr>
      </w:pPr>
      <w:r>
        <w:rPr>
          <w:b/>
        </w:rPr>
        <w:t>Active TCI state switching delay</w:t>
      </w:r>
    </w:p>
    <w:p w14:paraId="77797EB9" w14:textId="24E953CC" w:rsidR="009E450B" w:rsidRDefault="009E450B" w:rsidP="009E450B">
      <w:pPr>
        <w:pStyle w:val="ListParagraph"/>
        <w:numPr>
          <w:ilvl w:val="0"/>
          <w:numId w:val="4"/>
        </w:numPr>
        <w:ind w:leftChars="0"/>
        <w:rPr>
          <w:b/>
        </w:rPr>
      </w:pPr>
      <w:r>
        <w:rPr>
          <w:b/>
        </w:rPr>
        <w:t>Uplink transmission timing of IAB MTs and downlink transmission timing of IAB DUs.</w:t>
      </w:r>
    </w:p>
    <w:p w14:paraId="264091AD" w14:textId="736325C5" w:rsidR="009A3991" w:rsidRDefault="009A3991" w:rsidP="009E450B">
      <w:pPr>
        <w:pStyle w:val="ListParagraph"/>
        <w:numPr>
          <w:ilvl w:val="0"/>
          <w:numId w:val="4"/>
        </w:numPr>
        <w:ind w:leftChars="0"/>
        <w:rPr>
          <w:b/>
        </w:rPr>
      </w:pPr>
      <w:r>
        <w:rPr>
          <w:b/>
        </w:rPr>
        <w:t>Latency of switching between communication over parent backhaul links (i.e. MT) and child backhaul/access links (i.e. DU)</w:t>
      </w:r>
    </w:p>
    <w:p w14:paraId="053DE2B0" w14:textId="77777777" w:rsidR="00F10802" w:rsidRPr="00533183" w:rsidRDefault="00F10802" w:rsidP="007D51D1">
      <w:pPr>
        <w:rPr>
          <w:b/>
        </w:rPr>
      </w:pPr>
    </w:p>
    <w:p w14:paraId="322E3009" w14:textId="77777777" w:rsidR="00B1162D" w:rsidRPr="002A7BC0" w:rsidRDefault="00B1162D" w:rsidP="00B1162D">
      <w:pPr>
        <w:pStyle w:val="Heading1"/>
        <w:jc w:val="both"/>
      </w:pPr>
      <w:r>
        <w:lastRenderedPageBreak/>
        <w:t>Conclusion</w:t>
      </w:r>
    </w:p>
    <w:p w14:paraId="3D79465E" w14:textId="65BBBC47" w:rsidR="009A3991" w:rsidRPr="00A5544F" w:rsidRDefault="009A3991" w:rsidP="00937C3F">
      <w:pPr>
        <w:rPr>
          <w:b/>
        </w:rPr>
      </w:pPr>
      <w:r w:rsidRPr="00A5544F">
        <w:rPr>
          <w:b/>
        </w:rPr>
        <w:t>Observation 1: RAN plenary has already agreed to define RRM core requirements for both backhaul and access links of IAB nodes.</w:t>
      </w:r>
    </w:p>
    <w:p w14:paraId="3E5BE5C5" w14:textId="727995EB" w:rsidR="00937C3F" w:rsidRDefault="00937C3F" w:rsidP="00937C3F">
      <w:pPr>
        <w:rPr>
          <w:b/>
        </w:rPr>
      </w:pPr>
      <w:r>
        <w:rPr>
          <w:b/>
        </w:rPr>
        <w:t>Observation 2: RAN1 has agreed to allow a different number of SMTC configurations and SMTC periodicities for IAB MT nodes compared to that of UE nodes.</w:t>
      </w:r>
    </w:p>
    <w:p w14:paraId="668A7A26" w14:textId="77777777" w:rsidR="00937C3F" w:rsidRPr="00890793" w:rsidRDefault="00937C3F" w:rsidP="00B1162D">
      <w:pPr>
        <w:pStyle w:val="ListParagraph"/>
        <w:numPr>
          <w:ilvl w:val="0"/>
          <w:numId w:val="4"/>
        </w:numPr>
        <w:ind w:leftChars="0"/>
        <w:rPr>
          <w:b/>
        </w:rPr>
      </w:pPr>
      <w:r>
        <w:rPr>
          <w:b/>
        </w:rPr>
        <w:t>These updated numbers need to be captured in RAN4 RRM sp</w:t>
      </w:r>
      <w:bookmarkStart w:id="1" w:name="_GoBack"/>
      <w:bookmarkEnd w:id="1"/>
      <w:r>
        <w:rPr>
          <w:b/>
        </w:rPr>
        <w:t>ecs.</w:t>
      </w:r>
    </w:p>
    <w:p w14:paraId="1E156D03" w14:textId="047A2488" w:rsidR="00EB6C79" w:rsidRDefault="00EB6C79" w:rsidP="00B1162D">
      <w:pPr>
        <w:rPr>
          <w:b/>
        </w:rPr>
      </w:pPr>
    </w:p>
    <w:p w14:paraId="5CD8292E" w14:textId="757327E1" w:rsidR="00EB6C79" w:rsidRDefault="00EB6C79" w:rsidP="00B1162D">
      <w:pPr>
        <w:rPr>
          <w:b/>
        </w:rPr>
      </w:pPr>
      <w:r w:rsidRPr="00F10802">
        <w:rPr>
          <w:b/>
        </w:rPr>
        <w:t xml:space="preserve">Observation 3: Capturing timing related requirements, e.g., adjustment accuracy of the parameter </w:t>
      </w:r>
      <w:proofErr w:type="spellStart"/>
      <w:r w:rsidRPr="00F10802">
        <w:rPr>
          <w:b/>
        </w:rPr>
        <w:t>T_delta</w:t>
      </w:r>
      <w:proofErr w:type="spellEnd"/>
      <w:r>
        <w:rPr>
          <w:b/>
        </w:rPr>
        <w:t xml:space="preserve"> and latency for switching between communication over MTs and DUs</w:t>
      </w:r>
      <w:r w:rsidRPr="00F10802">
        <w:rPr>
          <w:b/>
        </w:rPr>
        <w:t xml:space="preserve">, is essential </w:t>
      </w:r>
      <w:r>
        <w:rPr>
          <w:b/>
        </w:rPr>
        <w:t>in IAB networks.</w:t>
      </w:r>
    </w:p>
    <w:p w14:paraId="7B23DD00" w14:textId="77777777" w:rsidR="005842C1" w:rsidRDefault="005842C1" w:rsidP="005842C1">
      <w:r>
        <w:rPr>
          <w:b/>
        </w:rPr>
        <w:t>Observation 4: Ensuring inter-operability among different IAB nodes is very important to guarantee the performance of an IAB network</w:t>
      </w:r>
      <w:r w:rsidRPr="00A1188C">
        <w:rPr>
          <w:b/>
        </w:rPr>
        <w:t xml:space="preserve">. Inter-operability can be achieved by defining RRM requirements for IAB nodes. </w:t>
      </w:r>
    </w:p>
    <w:p w14:paraId="29E24169" w14:textId="362D9B80" w:rsidR="005842C1" w:rsidRDefault="005842C1" w:rsidP="005842C1">
      <w:pPr>
        <w:rPr>
          <w:b/>
        </w:rPr>
      </w:pPr>
      <w:r w:rsidRPr="00533183">
        <w:rPr>
          <w:b/>
        </w:rPr>
        <w:t xml:space="preserve">Observation </w:t>
      </w:r>
      <w:r>
        <w:rPr>
          <w:b/>
        </w:rPr>
        <w:t>5</w:t>
      </w:r>
      <w:r w:rsidRPr="00533183">
        <w:rPr>
          <w:b/>
        </w:rPr>
        <w:t xml:space="preserve">: FR2 is the main use case for Rel-16 IAB networks. IAB nodes might </w:t>
      </w:r>
      <w:proofErr w:type="gramStart"/>
      <w:r w:rsidRPr="00533183">
        <w:rPr>
          <w:b/>
        </w:rPr>
        <w:t>be located in</w:t>
      </w:r>
      <w:proofErr w:type="gramEnd"/>
      <w:r w:rsidRPr="00533183">
        <w:rPr>
          <w:b/>
        </w:rPr>
        <w:t xml:space="preserve"> a dynamic and mobile FR2 environment. Defining beam management related requirements</w:t>
      </w:r>
      <w:r>
        <w:rPr>
          <w:b/>
        </w:rPr>
        <w:t xml:space="preserve"> is</w:t>
      </w:r>
      <w:r w:rsidRPr="00533183">
        <w:rPr>
          <w:b/>
        </w:rPr>
        <w:t xml:space="preserve"> essential to guarantee performance in FR2 IAB network.</w:t>
      </w:r>
    </w:p>
    <w:p w14:paraId="0EB33C71" w14:textId="77777777" w:rsidR="00CD0A65" w:rsidRDefault="00CD0A65" w:rsidP="005842C1">
      <w:pPr>
        <w:rPr>
          <w:b/>
        </w:rPr>
      </w:pPr>
    </w:p>
    <w:p w14:paraId="4E064733" w14:textId="77777777" w:rsidR="0011282E" w:rsidRDefault="0011282E" w:rsidP="0011282E">
      <w:pPr>
        <w:rPr>
          <w:b/>
        </w:rPr>
      </w:pPr>
      <w:r>
        <w:rPr>
          <w:b/>
        </w:rPr>
        <w:t>Proposal 1: RAN4 defines, at least, the following RRM requirements for IAB nodes.</w:t>
      </w:r>
    </w:p>
    <w:p w14:paraId="61E66011" w14:textId="77777777" w:rsidR="0011282E" w:rsidRDefault="0011282E" w:rsidP="0011282E">
      <w:pPr>
        <w:pStyle w:val="ListParagraph"/>
        <w:numPr>
          <w:ilvl w:val="0"/>
          <w:numId w:val="4"/>
        </w:numPr>
        <w:ind w:leftChars="0"/>
        <w:rPr>
          <w:b/>
        </w:rPr>
      </w:pPr>
      <w:r>
        <w:rPr>
          <w:b/>
        </w:rPr>
        <w:t>Intra-frequency/inter-frequency cell measurements</w:t>
      </w:r>
    </w:p>
    <w:p w14:paraId="5E0065A2" w14:textId="77777777" w:rsidR="0011282E" w:rsidRDefault="0011282E" w:rsidP="0011282E">
      <w:pPr>
        <w:pStyle w:val="ListParagraph"/>
        <w:numPr>
          <w:ilvl w:val="0"/>
          <w:numId w:val="4"/>
        </w:numPr>
        <w:ind w:leftChars="0"/>
        <w:rPr>
          <w:b/>
        </w:rPr>
      </w:pPr>
      <w:r>
        <w:rPr>
          <w:b/>
        </w:rPr>
        <w:t>Handover, RRC re-establishment, etc.</w:t>
      </w:r>
    </w:p>
    <w:p w14:paraId="5047E28C" w14:textId="77777777" w:rsidR="0011282E" w:rsidRDefault="0011282E" w:rsidP="0011282E">
      <w:pPr>
        <w:pStyle w:val="ListParagraph"/>
        <w:numPr>
          <w:ilvl w:val="0"/>
          <w:numId w:val="4"/>
        </w:numPr>
        <w:ind w:leftChars="0"/>
        <w:rPr>
          <w:b/>
        </w:rPr>
      </w:pPr>
      <w:r>
        <w:rPr>
          <w:b/>
        </w:rPr>
        <w:t>Radio link monitoring, beam failure detection and candidate beam detection</w:t>
      </w:r>
    </w:p>
    <w:p w14:paraId="70CB07DF" w14:textId="77777777" w:rsidR="0011282E" w:rsidRDefault="0011282E" w:rsidP="0011282E">
      <w:pPr>
        <w:pStyle w:val="ListParagraph"/>
        <w:numPr>
          <w:ilvl w:val="0"/>
          <w:numId w:val="4"/>
        </w:numPr>
        <w:ind w:leftChars="0"/>
        <w:rPr>
          <w:b/>
        </w:rPr>
      </w:pPr>
      <w:r>
        <w:rPr>
          <w:b/>
        </w:rPr>
        <w:t>Active TCI state switching delay</w:t>
      </w:r>
    </w:p>
    <w:p w14:paraId="37F9EF3F" w14:textId="77777777" w:rsidR="0011282E" w:rsidRDefault="0011282E" w:rsidP="0011282E">
      <w:pPr>
        <w:pStyle w:val="ListParagraph"/>
        <w:numPr>
          <w:ilvl w:val="0"/>
          <w:numId w:val="4"/>
        </w:numPr>
        <w:ind w:leftChars="0"/>
        <w:rPr>
          <w:b/>
        </w:rPr>
      </w:pPr>
      <w:r>
        <w:rPr>
          <w:b/>
        </w:rPr>
        <w:t>Uplink transmission timing of IAB MTs and downlink transmission timing of IAB DUs.</w:t>
      </w:r>
    </w:p>
    <w:p w14:paraId="57850013" w14:textId="30640761" w:rsidR="00937C3F" w:rsidRPr="0011282E" w:rsidRDefault="0011282E" w:rsidP="0011282E">
      <w:pPr>
        <w:pStyle w:val="ListParagraph"/>
        <w:numPr>
          <w:ilvl w:val="0"/>
          <w:numId w:val="4"/>
        </w:numPr>
        <w:ind w:leftChars="0"/>
        <w:rPr>
          <w:b/>
        </w:rPr>
      </w:pPr>
      <w:r>
        <w:rPr>
          <w:b/>
        </w:rPr>
        <w:t>Latency of switching between communication over parent backhaul links (i.e. MT) and child backhaul/access links (i.e. DU)</w:t>
      </w:r>
    </w:p>
    <w:p w14:paraId="2460C76C" w14:textId="77777777" w:rsidR="00B1162D" w:rsidRPr="003628B5" w:rsidRDefault="00B1162D" w:rsidP="00B1162D">
      <w:pPr>
        <w:pStyle w:val="Heading1"/>
        <w:rPr>
          <w:lang w:val="en-US" w:eastAsia="ja-JP"/>
        </w:rPr>
      </w:pPr>
      <w:r>
        <w:rPr>
          <w:lang w:val="en-US" w:eastAsia="ja-JP"/>
        </w:rPr>
        <w:t>References</w:t>
      </w:r>
    </w:p>
    <w:p w14:paraId="2FCF5101" w14:textId="77777777" w:rsidR="00533183" w:rsidRDefault="00533183" w:rsidP="00B1162D">
      <w:pPr>
        <w:numPr>
          <w:ilvl w:val="0"/>
          <w:numId w:val="2"/>
        </w:numPr>
        <w:jc w:val="both"/>
        <w:rPr>
          <w:lang w:eastAsia="zh-CN"/>
        </w:rPr>
      </w:pPr>
      <w:r>
        <w:rPr>
          <w:lang w:eastAsia="zh-CN"/>
        </w:rPr>
        <w:t>Chairman’s notes, 3GPP TSG RAN WG4 Meeting #91.</w:t>
      </w:r>
    </w:p>
    <w:p w14:paraId="3F6353E0" w14:textId="77777777" w:rsidR="00EF25D5" w:rsidRDefault="00EF25D5" w:rsidP="00EF25D5">
      <w:pPr>
        <w:numPr>
          <w:ilvl w:val="0"/>
          <w:numId w:val="2"/>
        </w:numPr>
        <w:jc w:val="both"/>
        <w:rPr>
          <w:lang w:eastAsia="zh-CN"/>
        </w:rPr>
      </w:pPr>
      <w:r>
        <w:rPr>
          <w:lang w:eastAsia="zh-CN"/>
        </w:rPr>
        <w:t>3GPP TS 38.133, V 15.5.0, Requirements for support of radio resource management (Release 15)</w:t>
      </w:r>
    </w:p>
    <w:p w14:paraId="6095A146" w14:textId="50B718AD" w:rsidR="00B705A2" w:rsidRDefault="00533183" w:rsidP="000B54AC">
      <w:pPr>
        <w:numPr>
          <w:ilvl w:val="0"/>
          <w:numId w:val="2"/>
        </w:numPr>
        <w:jc w:val="both"/>
        <w:rPr>
          <w:lang w:eastAsia="zh-CN"/>
        </w:rPr>
      </w:pPr>
      <w:r>
        <w:rPr>
          <w:lang w:eastAsia="zh-CN"/>
        </w:rPr>
        <w:t>3GPP TSG RAN WG1 Meeting #9</w:t>
      </w:r>
      <w:r w:rsidR="00B22E0D">
        <w:rPr>
          <w:lang w:eastAsia="zh-CN"/>
        </w:rPr>
        <w:t>7</w:t>
      </w:r>
      <w:r>
        <w:rPr>
          <w:lang w:eastAsia="zh-CN"/>
        </w:rPr>
        <w:t>, Chairman’s Notes</w:t>
      </w:r>
      <w:r w:rsidR="000B54AC">
        <w:rPr>
          <w:lang w:eastAsia="zh-CN"/>
        </w:rPr>
        <w:t>.</w:t>
      </w:r>
    </w:p>
    <w:p w14:paraId="5E6017D1" w14:textId="5E02C25F" w:rsidR="006A2742" w:rsidRDefault="00B22E0D" w:rsidP="009A3991">
      <w:pPr>
        <w:numPr>
          <w:ilvl w:val="0"/>
          <w:numId w:val="2"/>
        </w:numPr>
        <w:jc w:val="both"/>
        <w:rPr>
          <w:lang w:eastAsia="zh-CN"/>
        </w:rPr>
      </w:pPr>
      <w:r>
        <w:rPr>
          <w:lang w:eastAsia="zh-CN"/>
        </w:rPr>
        <w:t>3GPP TSG RAN WG1 Meeting #96bis, Chairman’s Notes.</w:t>
      </w:r>
    </w:p>
    <w:p w14:paraId="2AE79380" w14:textId="72701A23" w:rsidR="009A3991" w:rsidRDefault="009A3991" w:rsidP="009A3991">
      <w:pPr>
        <w:numPr>
          <w:ilvl w:val="0"/>
          <w:numId w:val="2"/>
        </w:numPr>
        <w:jc w:val="both"/>
        <w:rPr>
          <w:lang w:eastAsia="zh-CN"/>
        </w:rPr>
      </w:pPr>
      <w:r>
        <w:rPr>
          <w:lang w:eastAsia="zh-CN"/>
        </w:rPr>
        <w:t>RP-190712, Revised WID: Integrated Access and Backhaul for NR.</w:t>
      </w:r>
    </w:p>
    <w:sectPr w:rsidR="009A3991" w:rsidSect="006A2742">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51EB4" w14:textId="77777777" w:rsidR="007D2245" w:rsidRDefault="007D2245">
      <w:pPr>
        <w:spacing w:after="0"/>
      </w:pPr>
      <w:r>
        <w:separator/>
      </w:r>
    </w:p>
  </w:endnote>
  <w:endnote w:type="continuationSeparator" w:id="0">
    <w:p w14:paraId="0331EC8A" w14:textId="77777777" w:rsidR="007D2245" w:rsidRDefault="007D22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A7093" w14:textId="77777777" w:rsidR="006A2742" w:rsidRDefault="008907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FD67CE" w14:textId="77777777" w:rsidR="006A2742" w:rsidRDefault="006A27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D9F04" w14:textId="77777777" w:rsidR="006A2742" w:rsidRDefault="008907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1DA41AE" w14:textId="77777777" w:rsidR="006A2742" w:rsidRDefault="006A27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15240" w14:textId="77777777" w:rsidR="007D2245" w:rsidRDefault="007D2245">
      <w:pPr>
        <w:spacing w:after="0"/>
      </w:pPr>
      <w:r>
        <w:separator/>
      </w:r>
    </w:p>
  </w:footnote>
  <w:footnote w:type="continuationSeparator" w:id="0">
    <w:p w14:paraId="719DB20C" w14:textId="77777777" w:rsidR="007D2245" w:rsidRDefault="007D22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AD76C0"/>
    <w:multiLevelType w:val="hybridMultilevel"/>
    <w:tmpl w:val="0BFE5A96"/>
    <w:lvl w:ilvl="0" w:tplc="9418FFE6">
      <w:start w:val="1"/>
      <w:numFmt w:val="bullet"/>
      <w:lvlText w:val="◦"/>
      <w:lvlJc w:val="left"/>
      <w:pPr>
        <w:tabs>
          <w:tab w:val="num" w:pos="720"/>
        </w:tabs>
        <w:ind w:left="720" w:hanging="360"/>
      </w:pPr>
      <w:rPr>
        <w:rFonts w:ascii="Microsoft Sans Serif" w:hAnsi="Microsoft Sans Serif" w:hint="default"/>
      </w:rPr>
    </w:lvl>
    <w:lvl w:ilvl="1" w:tplc="E0B2CB00">
      <w:start w:val="1"/>
      <w:numFmt w:val="bullet"/>
      <w:lvlText w:val="◦"/>
      <w:lvlJc w:val="left"/>
      <w:pPr>
        <w:tabs>
          <w:tab w:val="num" w:pos="1440"/>
        </w:tabs>
        <w:ind w:left="1440" w:hanging="360"/>
      </w:pPr>
      <w:rPr>
        <w:rFonts w:ascii="Microsoft Sans Serif" w:hAnsi="Microsoft Sans Serif" w:hint="default"/>
      </w:rPr>
    </w:lvl>
    <w:lvl w:ilvl="2" w:tplc="7B283F02">
      <w:start w:val="178"/>
      <w:numFmt w:val="bullet"/>
      <w:lvlText w:val="•"/>
      <w:lvlJc w:val="left"/>
      <w:pPr>
        <w:tabs>
          <w:tab w:val="num" w:pos="2160"/>
        </w:tabs>
        <w:ind w:left="2160" w:hanging="360"/>
      </w:pPr>
      <w:rPr>
        <w:rFonts w:ascii="Microsoft Sans Serif" w:hAnsi="Microsoft Sans Serif" w:hint="default"/>
      </w:rPr>
    </w:lvl>
    <w:lvl w:ilvl="3" w:tplc="C22A41E4" w:tentative="1">
      <w:start w:val="1"/>
      <w:numFmt w:val="bullet"/>
      <w:lvlText w:val="◦"/>
      <w:lvlJc w:val="left"/>
      <w:pPr>
        <w:tabs>
          <w:tab w:val="num" w:pos="2880"/>
        </w:tabs>
        <w:ind w:left="2880" w:hanging="360"/>
      </w:pPr>
      <w:rPr>
        <w:rFonts w:ascii="Microsoft Sans Serif" w:hAnsi="Microsoft Sans Serif" w:hint="default"/>
      </w:rPr>
    </w:lvl>
    <w:lvl w:ilvl="4" w:tplc="5CDE1234" w:tentative="1">
      <w:start w:val="1"/>
      <w:numFmt w:val="bullet"/>
      <w:lvlText w:val="◦"/>
      <w:lvlJc w:val="left"/>
      <w:pPr>
        <w:tabs>
          <w:tab w:val="num" w:pos="3600"/>
        </w:tabs>
        <w:ind w:left="3600" w:hanging="360"/>
      </w:pPr>
      <w:rPr>
        <w:rFonts w:ascii="Microsoft Sans Serif" w:hAnsi="Microsoft Sans Serif" w:hint="default"/>
      </w:rPr>
    </w:lvl>
    <w:lvl w:ilvl="5" w:tplc="CB726E64" w:tentative="1">
      <w:start w:val="1"/>
      <w:numFmt w:val="bullet"/>
      <w:lvlText w:val="◦"/>
      <w:lvlJc w:val="left"/>
      <w:pPr>
        <w:tabs>
          <w:tab w:val="num" w:pos="4320"/>
        </w:tabs>
        <w:ind w:left="4320" w:hanging="360"/>
      </w:pPr>
      <w:rPr>
        <w:rFonts w:ascii="Microsoft Sans Serif" w:hAnsi="Microsoft Sans Serif" w:hint="default"/>
      </w:rPr>
    </w:lvl>
    <w:lvl w:ilvl="6" w:tplc="8102C902" w:tentative="1">
      <w:start w:val="1"/>
      <w:numFmt w:val="bullet"/>
      <w:lvlText w:val="◦"/>
      <w:lvlJc w:val="left"/>
      <w:pPr>
        <w:tabs>
          <w:tab w:val="num" w:pos="5040"/>
        </w:tabs>
        <w:ind w:left="5040" w:hanging="360"/>
      </w:pPr>
      <w:rPr>
        <w:rFonts w:ascii="Microsoft Sans Serif" w:hAnsi="Microsoft Sans Serif" w:hint="default"/>
      </w:rPr>
    </w:lvl>
    <w:lvl w:ilvl="7" w:tplc="CDC6D4F4" w:tentative="1">
      <w:start w:val="1"/>
      <w:numFmt w:val="bullet"/>
      <w:lvlText w:val="◦"/>
      <w:lvlJc w:val="left"/>
      <w:pPr>
        <w:tabs>
          <w:tab w:val="num" w:pos="5760"/>
        </w:tabs>
        <w:ind w:left="5760" w:hanging="360"/>
      </w:pPr>
      <w:rPr>
        <w:rFonts w:ascii="Microsoft Sans Serif" w:hAnsi="Microsoft Sans Serif" w:hint="default"/>
      </w:rPr>
    </w:lvl>
    <w:lvl w:ilvl="8" w:tplc="539ABFC4"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BB7EA8"/>
    <w:multiLevelType w:val="hybridMultilevel"/>
    <w:tmpl w:val="B6D8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955DB7"/>
    <w:multiLevelType w:val="hybridMultilevel"/>
    <w:tmpl w:val="20E0A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7"/>
  </w:num>
  <w:num w:numId="5">
    <w:abstractNumId w:val="6"/>
  </w:num>
  <w:num w:numId="6">
    <w:abstractNumId w:val="2"/>
  </w:num>
  <w:num w:numId="7">
    <w:abstractNumId w:val="10"/>
  </w:num>
  <w:num w:numId="8">
    <w:abstractNumId w:val="9"/>
  </w:num>
  <w:num w:numId="9">
    <w:abstractNumId w:val="1"/>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62D"/>
    <w:rsid w:val="000B54AC"/>
    <w:rsid w:val="000F72C7"/>
    <w:rsid w:val="0011282E"/>
    <w:rsid w:val="00157BE8"/>
    <w:rsid w:val="0029436B"/>
    <w:rsid w:val="004B64A6"/>
    <w:rsid w:val="004E2F19"/>
    <w:rsid w:val="005133E3"/>
    <w:rsid w:val="00533183"/>
    <w:rsid w:val="00560555"/>
    <w:rsid w:val="005842C1"/>
    <w:rsid w:val="005E45C8"/>
    <w:rsid w:val="006474A5"/>
    <w:rsid w:val="006A2742"/>
    <w:rsid w:val="00740AAB"/>
    <w:rsid w:val="007D2245"/>
    <w:rsid w:val="007D51D1"/>
    <w:rsid w:val="00857E0F"/>
    <w:rsid w:val="00863D39"/>
    <w:rsid w:val="00890793"/>
    <w:rsid w:val="008E51B4"/>
    <w:rsid w:val="009204A0"/>
    <w:rsid w:val="00937C3F"/>
    <w:rsid w:val="00987316"/>
    <w:rsid w:val="009A3991"/>
    <w:rsid w:val="009E450B"/>
    <w:rsid w:val="00A1188C"/>
    <w:rsid w:val="00A13F3A"/>
    <w:rsid w:val="00A5544F"/>
    <w:rsid w:val="00AD5B46"/>
    <w:rsid w:val="00B1162D"/>
    <w:rsid w:val="00B22E0D"/>
    <w:rsid w:val="00B2695C"/>
    <w:rsid w:val="00B54F64"/>
    <w:rsid w:val="00B705A2"/>
    <w:rsid w:val="00B87D8F"/>
    <w:rsid w:val="00BA0400"/>
    <w:rsid w:val="00CD0A65"/>
    <w:rsid w:val="00D07FFA"/>
    <w:rsid w:val="00EB6C79"/>
    <w:rsid w:val="00EC2D49"/>
    <w:rsid w:val="00EF2278"/>
    <w:rsid w:val="00EF25D5"/>
    <w:rsid w:val="00F10802"/>
    <w:rsid w:val="00F1579B"/>
    <w:rsid w:val="00FE52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58EE4"/>
  <w15:chartTrackingRefBased/>
  <w15:docId w15:val="{48F0AC49-6771-41A8-9B82-3C5BC4180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7D8F"/>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1162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1162D"/>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1162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B1162D"/>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B1162D"/>
    <w:pPr>
      <w:numPr>
        <w:ilvl w:val="5"/>
      </w:numPr>
      <w:outlineLvl w:val="4"/>
    </w:pPr>
    <w:rPr>
      <w:sz w:val="22"/>
    </w:rPr>
  </w:style>
  <w:style w:type="paragraph" w:styleId="Heading7">
    <w:name w:val="heading 7"/>
    <w:basedOn w:val="Normal"/>
    <w:next w:val="Normal"/>
    <w:link w:val="Heading7Char"/>
    <w:qFormat/>
    <w:rsid w:val="00B1162D"/>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B1162D"/>
    <w:pPr>
      <w:numPr>
        <w:ilvl w:val="7"/>
      </w:numPr>
      <w:outlineLvl w:val="7"/>
    </w:pPr>
  </w:style>
  <w:style w:type="paragraph" w:styleId="Heading9">
    <w:name w:val="heading 9"/>
    <w:basedOn w:val="Heading8"/>
    <w:next w:val="Normal"/>
    <w:link w:val="Heading9Char"/>
    <w:qFormat/>
    <w:rsid w:val="00B1162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1162D"/>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1162D"/>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1162D"/>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162D"/>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B1162D"/>
    <w:rPr>
      <w:rFonts w:ascii="Arial" w:eastAsia="MS Mincho" w:hAnsi="Arial" w:cs="Times New Roman"/>
      <w:szCs w:val="20"/>
      <w:lang w:val="en-GB"/>
    </w:rPr>
  </w:style>
  <w:style w:type="character" w:customStyle="1" w:styleId="Heading7Char">
    <w:name w:val="Heading 7 Char"/>
    <w:basedOn w:val="DefaultParagraphFont"/>
    <w:link w:val="Heading7"/>
    <w:rsid w:val="00B1162D"/>
    <w:rPr>
      <w:rFonts w:ascii="Arial" w:eastAsia="MS Mincho" w:hAnsi="Arial" w:cs="Times New Roman"/>
      <w:sz w:val="20"/>
      <w:szCs w:val="20"/>
      <w:lang w:val="en-GB"/>
    </w:rPr>
  </w:style>
  <w:style w:type="character" w:customStyle="1" w:styleId="Heading8Char">
    <w:name w:val="Heading 8 Char"/>
    <w:basedOn w:val="DefaultParagraphFont"/>
    <w:link w:val="Heading8"/>
    <w:rsid w:val="00B1162D"/>
    <w:rPr>
      <w:rFonts w:ascii="Arial" w:eastAsia="MS Mincho" w:hAnsi="Arial" w:cs="Times New Roman"/>
      <w:sz w:val="36"/>
      <w:szCs w:val="20"/>
      <w:lang w:val="en-GB"/>
    </w:rPr>
  </w:style>
  <w:style w:type="character" w:customStyle="1" w:styleId="Heading9Char">
    <w:name w:val="Heading 9 Char"/>
    <w:basedOn w:val="DefaultParagraphFont"/>
    <w:link w:val="Heading9"/>
    <w:rsid w:val="00B1162D"/>
    <w:rPr>
      <w:rFonts w:ascii="Arial" w:eastAsia="MS Mincho" w:hAnsi="Arial" w:cs="Times New Roman"/>
      <w:sz w:val="36"/>
      <w:szCs w:val="20"/>
      <w:lang w:val="en-GB"/>
    </w:rPr>
  </w:style>
  <w:style w:type="paragraph" w:styleId="Footer">
    <w:name w:val="footer"/>
    <w:basedOn w:val="Header"/>
    <w:link w:val="FooterChar"/>
    <w:uiPriority w:val="99"/>
    <w:rsid w:val="00B1162D"/>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B1162D"/>
    <w:rPr>
      <w:rFonts w:ascii="Arial" w:eastAsia="MS Mincho" w:hAnsi="Arial" w:cs="Times New Roman"/>
      <w:b/>
      <w:i/>
      <w:noProof/>
      <w:sz w:val="18"/>
      <w:szCs w:val="20"/>
    </w:rPr>
  </w:style>
  <w:style w:type="character" w:styleId="PageNumber">
    <w:name w:val="page number"/>
    <w:basedOn w:val="DefaultParagraphFont"/>
    <w:rsid w:val="00B1162D"/>
  </w:style>
  <w:style w:type="paragraph" w:styleId="ListParagraph">
    <w:name w:val="List Paragraph"/>
    <w:aliases w:val="- Bullets,リスト段落,?? ??,?????,????,Lista1,목록 단락,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B1162D"/>
    <w:pPr>
      <w:ind w:leftChars="400" w:left="800"/>
    </w:pPr>
    <w:rPr>
      <w:rFonts w:eastAsia="Malgun Gothic"/>
      <w:lang w:eastAsia="ko-KR"/>
    </w:rPr>
  </w:style>
  <w:style w:type="character" w:customStyle="1" w:styleId="ListParagraphChar">
    <w:name w:val="List Paragraph Char"/>
    <w:aliases w:val="- Bullets Char,リスト段落 Char,?? ?? Char,????? Char,???? Char,Lista1 Char,목록 단락 Char,列出段落1 Char,中等深浅网格 1 - 着色 21 Char,列出段落 Char,列表段落 Char,¥¡¡¡¡ì¬º¥¹¥È¶ÎÂä Char,ÁÐ³ö¶ÎÂä Char,列表段落1 Char,—ño’i—Ž Char,¥ê¥¹¥È¶ÎÂä Char,Paragrafo elenco Char"/>
    <w:link w:val="ListParagraph"/>
    <w:uiPriority w:val="34"/>
    <w:qFormat/>
    <w:locked/>
    <w:rsid w:val="00B1162D"/>
    <w:rPr>
      <w:rFonts w:ascii="Times New Roman" w:eastAsia="Malgun Gothic" w:hAnsi="Times New Roman" w:cs="Times New Roman"/>
      <w:sz w:val="20"/>
      <w:szCs w:val="20"/>
      <w:lang w:val="en-GB" w:eastAsia="ko-KR"/>
    </w:rPr>
  </w:style>
  <w:style w:type="table" w:styleId="TableGrid">
    <w:name w:val="Table Grid"/>
    <w:basedOn w:val="TableNormal"/>
    <w:rsid w:val="00B11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B1162D"/>
    <w:pPr>
      <w:ind w:left="1135" w:hanging="284"/>
    </w:pPr>
    <w:rPr>
      <w:rFonts w:eastAsia="SimSun"/>
    </w:rPr>
  </w:style>
  <w:style w:type="paragraph" w:styleId="Header">
    <w:name w:val="header"/>
    <w:basedOn w:val="Normal"/>
    <w:link w:val="HeaderChar"/>
    <w:uiPriority w:val="99"/>
    <w:semiHidden/>
    <w:unhideWhenUsed/>
    <w:rsid w:val="00B1162D"/>
    <w:pPr>
      <w:tabs>
        <w:tab w:val="center" w:pos="4680"/>
        <w:tab w:val="right" w:pos="9360"/>
      </w:tabs>
      <w:spacing w:after="0"/>
    </w:pPr>
  </w:style>
  <w:style w:type="character" w:customStyle="1" w:styleId="HeaderChar">
    <w:name w:val="Header Char"/>
    <w:basedOn w:val="DefaultParagraphFont"/>
    <w:link w:val="Header"/>
    <w:uiPriority w:val="99"/>
    <w:semiHidden/>
    <w:rsid w:val="00B1162D"/>
    <w:rPr>
      <w:rFonts w:ascii="Times New Roman" w:eastAsia="MS Mincho" w:hAnsi="Times New Roman" w:cs="Times New Roman"/>
      <w:sz w:val="20"/>
      <w:szCs w:val="20"/>
      <w:lang w:val="en-GB"/>
    </w:rPr>
  </w:style>
  <w:style w:type="paragraph" w:styleId="BalloonText">
    <w:name w:val="Balloon Text"/>
    <w:basedOn w:val="Normal"/>
    <w:link w:val="BalloonTextChar"/>
    <w:uiPriority w:val="99"/>
    <w:semiHidden/>
    <w:unhideWhenUsed/>
    <w:rsid w:val="00B116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62D"/>
    <w:rPr>
      <w:rFonts w:ascii="Segoe UI" w:eastAsia="MS Mincho" w:hAnsi="Segoe UI" w:cs="Segoe UI"/>
      <w:sz w:val="18"/>
      <w:szCs w:val="18"/>
      <w:lang w:val="en-GB"/>
    </w:rPr>
  </w:style>
  <w:style w:type="character" w:styleId="CommentReference">
    <w:name w:val="annotation reference"/>
    <w:basedOn w:val="DefaultParagraphFont"/>
    <w:uiPriority w:val="99"/>
    <w:semiHidden/>
    <w:unhideWhenUsed/>
    <w:rsid w:val="00B2695C"/>
    <w:rPr>
      <w:sz w:val="16"/>
      <w:szCs w:val="16"/>
    </w:rPr>
  </w:style>
  <w:style w:type="paragraph" w:styleId="CommentText">
    <w:name w:val="annotation text"/>
    <w:basedOn w:val="Normal"/>
    <w:link w:val="CommentTextChar"/>
    <w:uiPriority w:val="99"/>
    <w:semiHidden/>
    <w:unhideWhenUsed/>
    <w:rsid w:val="00B2695C"/>
  </w:style>
  <w:style w:type="character" w:customStyle="1" w:styleId="CommentTextChar">
    <w:name w:val="Comment Text Char"/>
    <w:basedOn w:val="DefaultParagraphFont"/>
    <w:link w:val="CommentText"/>
    <w:uiPriority w:val="99"/>
    <w:semiHidden/>
    <w:rsid w:val="00B2695C"/>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695C"/>
    <w:rPr>
      <w:b/>
      <w:bCs/>
    </w:rPr>
  </w:style>
  <w:style w:type="character" w:customStyle="1" w:styleId="CommentSubjectChar">
    <w:name w:val="Comment Subject Char"/>
    <w:basedOn w:val="CommentTextChar"/>
    <w:link w:val="CommentSubject"/>
    <w:uiPriority w:val="99"/>
    <w:semiHidden/>
    <w:rsid w:val="00B2695C"/>
    <w:rPr>
      <w:rFonts w:ascii="Times New Roman" w:eastAsia="MS Mincho" w:hAnsi="Times New Roman" w:cs="Times New Roman"/>
      <w:b/>
      <w:bCs/>
      <w:sz w:val="20"/>
      <w:szCs w:val="20"/>
      <w:lang w:val="en-GB"/>
    </w:rPr>
  </w:style>
  <w:style w:type="paragraph" w:customStyle="1" w:styleId="maintext">
    <w:name w:val="main text"/>
    <w:basedOn w:val="Normal"/>
    <w:link w:val="maintextChar"/>
    <w:qFormat/>
    <w:rsid w:val="000F72C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F72C7"/>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317107">
      <w:bodyDiv w:val="1"/>
      <w:marLeft w:val="0"/>
      <w:marRight w:val="0"/>
      <w:marTop w:val="0"/>
      <w:marBottom w:val="0"/>
      <w:divBdr>
        <w:top w:val="none" w:sz="0" w:space="0" w:color="auto"/>
        <w:left w:val="none" w:sz="0" w:space="0" w:color="auto"/>
        <w:bottom w:val="none" w:sz="0" w:space="0" w:color="auto"/>
        <w:right w:val="none" w:sz="0" w:space="0" w:color="auto"/>
      </w:divBdr>
      <w:divsChild>
        <w:div w:id="200173529">
          <w:marLeft w:val="533"/>
          <w:marRight w:val="0"/>
          <w:marTop w:val="0"/>
          <w:marBottom w:val="0"/>
          <w:divBdr>
            <w:top w:val="none" w:sz="0" w:space="0" w:color="auto"/>
            <w:left w:val="none" w:sz="0" w:space="0" w:color="auto"/>
            <w:bottom w:val="none" w:sz="0" w:space="0" w:color="auto"/>
            <w:right w:val="none" w:sz="0" w:space="0" w:color="auto"/>
          </w:divBdr>
        </w:div>
        <w:div w:id="812255702">
          <w:marLeft w:val="806"/>
          <w:marRight w:val="0"/>
          <w:marTop w:val="0"/>
          <w:marBottom w:val="0"/>
          <w:divBdr>
            <w:top w:val="none" w:sz="0" w:space="0" w:color="auto"/>
            <w:left w:val="none" w:sz="0" w:space="0" w:color="auto"/>
            <w:bottom w:val="none" w:sz="0" w:space="0" w:color="auto"/>
            <w:right w:val="none" w:sz="0" w:space="0" w:color="auto"/>
          </w:divBdr>
        </w:div>
        <w:div w:id="1192231245">
          <w:marLeft w:val="806"/>
          <w:marRight w:val="0"/>
          <w:marTop w:val="0"/>
          <w:marBottom w:val="0"/>
          <w:divBdr>
            <w:top w:val="none" w:sz="0" w:space="0" w:color="auto"/>
            <w:left w:val="none" w:sz="0" w:space="0" w:color="auto"/>
            <w:bottom w:val="none" w:sz="0" w:space="0" w:color="auto"/>
            <w:right w:val="none" w:sz="0" w:space="0" w:color="auto"/>
          </w:divBdr>
        </w:div>
        <w:div w:id="1611467934">
          <w:marLeft w:val="533"/>
          <w:marRight w:val="0"/>
          <w:marTop w:val="0"/>
          <w:marBottom w:val="0"/>
          <w:divBdr>
            <w:top w:val="none" w:sz="0" w:space="0" w:color="auto"/>
            <w:left w:val="none" w:sz="0" w:space="0" w:color="auto"/>
            <w:bottom w:val="none" w:sz="0" w:space="0" w:color="auto"/>
            <w:right w:val="none" w:sz="0" w:space="0" w:color="auto"/>
          </w:divBdr>
        </w:div>
        <w:div w:id="1937246893">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1" ma:contentTypeDescription="Create a new document." ma:contentTypeScope="" ma:versionID="a495359ee092a7a9de3b7f00bf77a94d">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b8b819e331aab251d6b0a5b9d064a1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9A340C-FDE8-4F86-9609-D4F13B7241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4E167-9650-4FDA-A585-1AC8C3E6137D}">
  <ds:schemaRefs>
    <ds:schemaRef ds:uri="http://schemas.microsoft.com/sharepoint/v3/contenttype/forms"/>
  </ds:schemaRefs>
</ds:datastoreItem>
</file>

<file path=customXml/itemProps3.xml><?xml version="1.0" encoding="utf-8"?>
<ds:datastoreItem xmlns:ds="http://schemas.openxmlformats.org/officeDocument/2006/customXml" ds:itemID="{E8D824AC-1599-400A-8189-789C3D28E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1450</Words>
  <Characters>8269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3</cp:revision>
  <dcterms:created xsi:type="dcterms:W3CDTF">2019-08-16T20:17:00Z</dcterms:created>
  <dcterms:modified xsi:type="dcterms:W3CDTF">2019-08-16T21:49:00Z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AdHocReviewCycleID">
    <vt:i4>480505546</vt:i4>
  </property>
  <property fmtid="{D5CDD505-2E9C-101B-9397-08002B2CF9AE}" pid="4" name="_NewReviewCycle">
    <vt:lpwstr/>
  </property>
  <property fmtid="{D5CDD505-2E9C-101B-9397-08002B2CF9AE}" pid="5" name="_EmailSubject">
    <vt:lpwstr>IAB RAN4 draft contributions</vt:lpwstr>
  </property>
  <property fmtid="{D5CDD505-2E9C-101B-9397-08002B2CF9AE}" pid="6" name="_AuthorEmail">
    <vt:lpwstr>navida@qti.qualcomm.com</vt:lpwstr>
  </property>
  <property fmtid="{D5CDD505-2E9C-101B-9397-08002B2CF9AE}" pid="7" name="_AuthorEmailDisplayName">
    <vt:lpwstr>Navid Abedini</vt:lpwstr>
  </property>
  <property fmtid="{D5CDD505-2E9C-101B-9397-08002B2CF9AE}" pid="8" name="_ReviewingToolsShownOnce">
    <vt:lpwstr/>
  </property>
</Properties>
</file>