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18540F0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B965CB">
        <w:rPr>
          <w:rFonts w:ascii="Arial" w:hAnsi="Arial" w:cs="Arial"/>
          <w:b/>
          <w:kern w:val="2"/>
          <w:lang w:eastAsia="zh-CN"/>
        </w:rPr>
        <w:t>2</w:t>
      </w:r>
      <w:r w:rsidR="00972929" w:rsidRPr="00D74B92">
        <w:rPr>
          <w:rFonts w:ascii="Arial" w:hAnsi="Arial" w:cs="Arial"/>
          <w:b/>
          <w:kern w:val="2"/>
          <w:lang w:eastAsia="zh-CN"/>
        </w:rPr>
        <w:tab/>
      </w:r>
      <w:r w:rsidR="00121E8D" w:rsidRPr="00121E8D">
        <w:rPr>
          <w:rFonts w:ascii="Arial" w:hAnsi="Arial" w:cs="Arial"/>
          <w:b/>
          <w:kern w:val="2"/>
          <w:lang w:eastAsia="zh-CN"/>
        </w:rPr>
        <w:t>R4-1908460</w:t>
      </w:r>
    </w:p>
    <w:p w14:paraId="2A9D85E6" w14:textId="349D1E74" w:rsidR="009C0564" w:rsidRPr="007F5EC6" w:rsidRDefault="00B965CB" w:rsidP="00DA0712">
      <w:pPr>
        <w:jc w:val="left"/>
        <w:rPr>
          <w:rFonts w:ascii="Arial" w:hAnsi="Arial" w:cs="Arial"/>
          <w:b/>
          <w:kern w:val="2"/>
          <w:lang w:eastAsia="zh-CN"/>
        </w:rPr>
      </w:pPr>
      <w:r w:rsidRPr="00B965CB">
        <w:rPr>
          <w:rFonts w:ascii="Arial" w:hAnsi="Arial" w:cs="Arial"/>
          <w:b/>
          <w:kern w:val="2"/>
          <w:lang w:eastAsia="zh-CN"/>
        </w:rPr>
        <w:t>Ljubljana, Slovenia, August 26-30, 2019</w:t>
      </w:r>
    </w:p>
    <w:p w14:paraId="7826937B" w14:textId="279F4EB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45243">
        <w:rPr>
          <w:rFonts w:ascii="Arial" w:hAnsi="Arial" w:cs="Arial"/>
          <w:b/>
          <w:lang w:eastAsia="zh-CN"/>
        </w:rPr>
        <w:t>7.8.3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5440F9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C119B" w:rsidRPr="002C119B">
        <w:rPr>
          <w:rFonts w:ascii="Arial" w:hAnsi="Arial" w:cs="Arial"/>
          <w:b/>
          <w:lang w:eastAsia="zh-CN"/>
        </w:rPr>
        <w:t>EVM annex corrections in 38.141-1 and 38.141-2</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666078C" w14:textId="67666F0B" w:rsidR="00E53F03" w:rsidRDefault="002C119B" w:rsidP="00E53F03">
      <w:r w:rsidRPr="002C119B">
        <w:t xml:space="preserve">In RAN4#91, Annex F </w:t>
      </w:r>
      <w:r w:rsidR="00D45243">
        <w:t xml:space="preserve">of 38.141-1 </w:t>
      </w:r>
      <w:r w:rsidRPr="002C119B">
        <w:t xml:space="preserve">was revised significantly to capture agreements in </w:t>
      </w:r>
      <w:r>
        <w:fldChar w:fldCharType="begin"/>
      </w:r>
      <w:r>
        <w:instrText xml:space="preserve"> REF _Ref10541915 \r \h </w:instrText>
      </w:r>
      <w:r>
        <w:fldChar w:fldCharType="separate"/>
      </w:r>
      <w:r>
        <w:t>[1]</w:t>
      </w:r>
      <w:r>
        <w:fldChar w:fldCharType="end"/>
      </w:r>
      <w:r w:rsidRPr="002C119B">
        <w:t xml:space="preserve"> regarding windowing, ideal reference signals, examples, number of slots, use of flexible slots in measurements, using OFDM Symbol TX power (OSTP), and general cleanup. Given the extent of changes made, some </w:t>
      </w:r>
      <w:r>
        <w:t>additions</w:t>
      </w:r>
      <w:r w:rsidRPr="002C119B">
        <w:t xml:space="preserve"> and clarifications are needed.</w:t>
      </w:r>
      <w:r>
        <w:t xml:space="preserve"> This document summarizes the ideas captured in the draft CRs.</w:t>
      </w:r>
      <w:r w:rsidR="00D45243">
        <w:t xml:space="preserve"> The EVM annexes in 38.141-2 and 38.104 also need </w:t>
      </w:r>
      <w:r w:rsidR="00456D69">
        <w:t xml:space="preserve">equivalent </w:t>
      </w:r>
      <w:r w:rsidR="00D45243">
        <w:t>revisions.</w:t>
      </w:r>
    </w:p>
    <w:p w14:paraId="35954F20" w14:textId="6FC8C642" w:rsidR="00816E9B" w:rsidRDefault="00B965CB" w:rsidP="00A26C0A">
      <w:pPr>
        <w:pStyle w:val="Heading1"/>
      </w:pPr>
      <w:r w:rsidRPr="00B965CB">
        <w:t>Discussion</w:t>
      </w:r>
    </w:p>
    <w:p w14:paraId="2EA78FBA" w14:textId="77777777" w:rsidR="002C119B" w:rsidRPr="002C119B" w:rsidRDefault="002C119B" w:rsidP="002C119B">
      <w:pPr>
        <w:pStyle w:val="Heading2"/>
        <w:rPr>
          <w:szCs w:val="26"/>
        </w:rPr>
      </w:pPr>
      <w:r>
        <w:t>Number of slots / symbols / samples</w:t>
      </w:r>
    </w:p>
    <w:p w14:paraId="6D419674" w14:textId="34AA6B43" w:rsidR="002C119B" w:rsidRDefault="002C119B" w:rsidP="002C119B">
      <w:r>
        <w:t>With the agreement to use downlink symbols in slots with flexible symbols for TDD</w:t>
      </w:r>
      <w:r w:rsidR="000144AE">
        <w:t xml:space="preserve"> for EVM measurements</w:t>
      </w:r>
      <w:r>
        <w:t xml:space="preserve">, the examples and general formulas need additional clarification. </w:t>
      </w:r>
      <w:r w:rsidR="00456D69">
        <w:fldChar w:fldCharType="begin"/>
      </w:r>
      <w:r w:rsidR="00456D69">
        <w:instrText xml:space="preserve"> REF _Ref10623720 \h </w:instrText>
      </w:r>
      <w:r w:rsidR="00456D69">
        <w:fldChar w:fldCharType="separate"/>
      </w:r>
      <w:r w:rsidR="00456D69">
        <w:t xml:space="preserve">Table </w:t>
      </w:r>
      <w:r w:rsidR="00456D69">
        <w:rPr>
          <w:noProof/>
        </w:rPr>
        <w:t>1</w:t>
      </w:r>
      <w:r w:rsidR="00456D69">
        <w:fldChar w:fldCharType="end"/>
      </w:r>
      <w:r w:rsidR="00456D69">
        <w:t xml:space="preserve"> captures the general formulas for the number of slots with downlink symbols and the number of downlink symbols. </w:t>
      </w:r>
      <w:r>
        <w:t xml:space="preserve">In </w:t>
      </w:r>
      <w:r>
        <w:fldChar w:fldCharType="begin"/>
      </w:r>
      <w:r>
        <w:instrText xml:space="preserve"> REF _Ref10623720 \h </w:instrText>
      </w:r>
      <w:r>
        <w:fldChar w:fldCharType="separate"/>
      </w:r>
      <w:r>
        <w:t xml:space="preserve">Table </w:t>
      </w:r>
      <w:r>
        <w:rPr>
          <w:noProof/>
        </w:rPr>
        <w:t>1</w:t>
      </w:r>
      <w:r>
        <w:fldChar w:fldCharType="end"/>
      </w:r>
      <w:r>
        <w:t xml:space="preserve">, </w:t>
      </w:r>
      <m:oMath>
        <m:sSubSup>
          <m:sSubSupPr>
            <m:ctrlPr>
              <w:rPr>
                <w:rFonts w:ascii="Cambria Math" w:eastAsiaTheme="minorHAnsi"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=14</m:t>
        </m:r>
      </m:oMath>
      <w:r w:rsidR="00456D69">
        <w:t xml:space="preserve">, and </w:t>
      </w:r>
      <w:r w:rsidR="00456D69">
        <w:rPr>
          <w:rFonts w:eastAsiaTheme="minorEastAsia"/>
        </w:rPr>
        <w:t xml:space="preserve">a 10 </w:t>
      </w:r>
      <w:proofErr w:type="spellStart"/>
      <w:r w:rsidR="00456D69">
        <w:rPr>
          <w:rFonts w:eastAsiaTheme="minorEastAsia"/>
        </w:rPr>
        <w:t>ms</w:t>
      </w:r>
      <w:proofErr w:type="spellEnd"/>
      <w:r w:rsidR="00456D69">
        <w:rPr>
          <w:rFonts w:eastAsiaTheme="minorEastAsia"/>
        </w:rPr>
        <w:t xml:space="preserve"> measurement interval is assumed</w:t>
      </w:r>
      <w:r>
        <w:rPr>
          <w:rFonts w:eastAsiaTheme="minorEastAsia"/>
        </w:rPr>
        <w:t>.</w:t>
      </w:r>
      <w:r w:rsidR="000144AE">
        <w:rPr>
          <w:rFonts w:eastAsiaTheme="minorEastAsia"/>
        </w:rPr>
        <w:t xml:space="preserve"> The variables </w:t>
      </w:r>
      <w:r w:rsidR="00456D69">
        <w:rPr>
          <w:rFonts w:eastAsiaTheme="minorEastAsia"/>
        </w:rPr>
        <w:t xml:space="preserve">in table </w:t>
      </w:r>
      <w:r w:rsidR="000144AE">
        <w:rPr>
          <w:rFonts w:eastAsiaTheme="minorEastAsia"/>
        </w:rPr>
        <w:t>are from the TDD configuration listed in table 4.9.2.2-1 of both 38.141-1 and 38.141-2.</w:t>
      </w:r>
    </w:p>
    <w:p w14:paraId="0835DB37" w14:textId="77777777" w:rsidR="002C119B" w:rsidRDefault="002C119B" w:rsidP="002C119B">
      <w:pPr>
        <w:pStyle w:val="Caption"/>
        <w:keepNext/>
      </w:pPr>
      <w:bookmarkStart w:id="2" w:name="_Ref10623720"/>
      <w:bookmarkStart w:id="3" w:name="_Ref10623715"/>
      <w:r>
        <w:t xml:space="preserve">Table </w:t>
      </w:r>
      <w:r>
        <w:fldChar w:fldCharType="begin"/>
      </w:r>
      <w:r>
        <w:rPr>
          <w:noProof/>
        </w:rPr>
        <w:instrText xml:space="preserve"> SEQ Table \* ARABIC </w:instrText>
      </w:r>
      <w:r>
        <w:fldChar w:fldCharType="separate"/>
      </w:r>
      <w:r>
        <w:rPr>
          <w:noProof/>
        </w:rPr>
        <w:t>1</w:t>
      </w:r>
      <w:r>
        <w:fldChar w:fldCharType="end"/>
      </w:r>
      <w:bookmarkEnd w:id="2"/>
      <w:r>
        <w:t>. Number of slots / symbols considered from EVM measurements</w:t>
      </w:r>
      <w:bookmarkEnd w:id="3"/>
    </w:p>
    <w:tbl>
      <w:tblPr>
        <w:tblStyle w:val="TableGrid"/>
        <w:tblW w:w="5000" w:type="pct"/>
        <w:tblLook w:val="04A0" w:firstRow="1" w:lastRow="0" w:firstColumn="1" w:lastColumn="0" w:noHBand="0" w:noVBand="1"/>
      </w:tblPr>
      <w:tblGrid>
        <w:gridCol w:w="2482"/>
        <w:gridCol w:w="1755"/>
        <w:gridCol w:w="5070"/>
      </w:tblGrid>
      <w:tr w:rsidR="002C119B" w14:paraId="777CB611"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15277A9D" w14:textId="49E583E1" w:rsidR="002C119B" w:rsidRPr="000144AE" w:rsidRDefault="002C119B">
            <w:pPr>
              <w:pStyle w:val="TableCell0"/>
              <w:spacing w:line="256" w:lineRule="auto"/>
              <w:rPr>
                <w:b/>
                <w:bCs/>
              </w:rPr>
            </w:pPr>
            <w:r w:rsidRPr="000144AE">
              <w:rPr>
                <w:b/>
                <w:bCs/>
              </w:rPr>
              <w:t xml:space="preserve">10 </w:t>
            </w:r>
            <w:proofErr w:type="spellStart"/>
            <w:r w:rsidRPr="000144AE">
              <w:rPr>
                <w:b/>
                <w:bCs/>
              </w:rPr>
              <w:t>ms</w:t>
            </w:r>
            <w:proofErr w:type="spellEnd"/>
            <w:r w:rsidRPr="000144AE">
              <w:rPr>
                <w:b/>
                <w:bCs/>
              </w:rPr>
              <w:t xml:space="preserve"> measurement interval</w:t>
            </w:r>
          </w:p>
        </w:tc>
        <w:tc>
          <w:tcPr>
            <w:tcW w:w="981" w:type="pct"/>
            <w:tcBorders>
              <w:top w:val="single" w:sz="4" w:space="0" w:color="auto"/>
              <w:left w:val="single" w:sz="4" w:space="0" w:color="auto"/>
              <w:bottom w:val="single" w:sz="4" w:space="0" w:color="auto"/>
              <w:right w:val="single" w:sz="4" w:space="0" w:color="auto"/>
            </w:tcBorders>
            <w:hideMark/>
          </w:tcPr>
          <w:p w14:paraId="2697A444" w14:textId="77777777" w:rsidR="002C119B" w:rsidRPr="000144AE" w:rsidRDefault="002C119B">
            <w:pPr>
              <w:pStyle w:val="TableCell0"/>
              <w:spacing w:line="256" w:lineRule="auto"/>
              <w:rPr>
                <w:b/>
                <w:bCs/>
              </w:rPr>
            </w:pPr>
            <w:r w:rsidRPr="000144AE">
              <w:rPr>
                <w:b/>
                <w:bCs/>
              </w:rPr>
              <w:t>FDD</w:t>
            </w:r>
          </w:p>
        </w:tc>
        <w:tc>
          <w:tcPr>
            <w:tcW w:w="2647" w:type="pct"/>
            <w:tcBorders>
              <w:top w:val="single" w:sz="4" w:space="0" w:color="auto"/>
              <w:left w:val="single" w:sz="4" w:space="0" w:color="auto"/>
              <w:bottom w:val="single" w:sz="4" w:space="0" w:color="auto"/>
              <w:right w:val="single" w:sz="4" w:space="0" w:color="auto"/>
            </w:tcBorders>
            <w:hideMark/>
          </w:tcPr>
          <w:p w14:paraId="22858644" w14:textId="77777777" w:rsidR="002C119B" w:rsidRPr="000144AE" w:rsidRDefault="002C119B">
            <w:pPr>
              <w:pStyle w:val="TableCell0"/>
              <w:spacing w:line="256" w:lineRule="auto"/>
              <w:rPr>
                <w:b/>
                <w:bCs/>
              </w:rPr>
            </w:pPr>
            <w:r w:rsidRPr="000144AE">
              <w:rPr>
                <w:b/>
                <w:bCs/>
              </w:rPr>
              <w:t>TDD</w:t>
            </w:r>
          </w:p>
        </w:tc>
      </w:tr>
      <w:tr w:rsidR="002C119B" w14:paraId="4D86F77E"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0661A271" w14:textId="77777777" w:rsidR="002C119B" w:rsidRDefault="002C119B">
            <w:pPr>
              <w:pStyle w:val="TableCell0"/>
              <w:spacing w:line="256" w:lineRule="auto"/>
            </w:pPr>
            <w:r>
              <w:t xml:space="preserve">Total #slots </w:t>
            </w:r>
          </w:p>
        </w:tc>
        <w:tc>
          <w:tcPr>
            <w:tcW w:w="3628" w:type="pct"/>
            <w:gridSpan w:val="2"/>
            <w:tcBorders>
              <w:top w:val="single" w:sz="4" w:space="0" w:color="auto"/>
              <w:left w:val="single" w:sz="4" w:space="0" w:color="auto"/>
              <w:bottom w:val="single" w:sz="4" w:space="0" w:color="auto"/>
              <w:right w:val="single" w:sz="4" w:space="0" w:color="auto"/>
            </w:tcBorders>
            <w:hideMark/>
          </w:tcPr>
          <w:p w14:paraId="6AA16AB1" w14:textId="77777777" w:rsidR="002C119B" w:rsidRDefault="002C119B">
            <w:pPr>
              <w:pStyle w:val="TableCell0"/>
              <w:spacing w:line="256" w:lineRule="auto"/>
            </w:pPr>
            <w:r>
              <w:t>10</w:t>
            </w:r>
            <w:r>
              <w:sym w:font="Symbol" w:char="F0B4"/>
            </w:r>
            <w:r>
              <w:t>2</w:t>
            </w:r>
            <w:r>
              <w:rPr>
                <w:vertAlign w:val="superscript"/>
              </w:rPr>
              <w:t>µ</w:t>
            </w:r>
            <w:r>
              <w:t>; µ=0 for 15 kHz SCS, µ=1 for 30 kHz SCS, µ=2 for 60 kHz SCS, µ=3 for 120 kHz SCS</w:t>
            </w:r>
          </w:p>
        </w:tc>
      </w:tr>
      <w:tr w:rsidR="002C119B" w14:paraId="47FF2E54"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4DD18BE4" w14:textId="77777777" w:rsidR="002C119B" w:rsidRDefault="002C119B">
            <w:pPr>
              <w:pStyle w:val="TableCell0"/>
              <w:spacing w:line="256" w:lineRule="auto"/>
            </w:pPr>
            <w:r>
              <w:t>#downlink slots (slots with only downlink symbols)</w:t>
            </w:r>
          </w:p>
        </w:tc>
        <w:tc>
          <w:tcPr>
            <w:tcW w:w="981" w:type="pct"/>
            <w:tcBorders>
              <w:top w:val="single" w:sz="4" w:space="0" w:color="auto"/>
              <w:left w:val="single" w:sz="4" w:space="0" w:color="auto"/>
              <w:bottom w:val="single" w:sz="4" w:space="0" w:color="auto"/>
              <w:right w:val="single" w:sz="4" w:space="0" w:color="auto"/>
            </w:tcBorders>
            <w:hideMark/>
          </w:tcPr>
          <w:p w14:paraId="7AF091FA" w14:textId="77777777" w:rsidR="002C119B" w:rsidRDefault="002C119B">
            <w:pPr>
              <w:pStyle w:val="TableCell0"/>
              <w:spacing w:line="256" w:lineRule="auto"/>
            </w:pPr>
            <w:r>
              <w:t>10</w:t>
            </w:r>
            <w:r>
              <w:sym w:font="Symbol" w:char="F0B4"/>
            </w:r>
            <w:r>
              <w:t>2</w:t>
            </w:r>
            <w:r>
              <w:rPr>
                <w:vertAlign w:val="superscript"/>
              </w:rPr>
              <w:t>µ</w:t>
            </w:r>
          </w:p>
        </w:tc>
        <w:tc>
          <w:tcPr>
            <w:tcW w:w="2647" w:type="pct"/>
            <w:tcBorders>
              <w:top w:val="single" w:sz="4" w:space="0" w:color="auto"/>
              <w:left w:val="single" w:sz="4" w:space="0" w:color="auto"/>
              <w:bottom w:val="single" w:sz="4" w:space="0" w:color="auto"/>
              <w:right w:val="single" w:sz="4" w:space="0" w:color="auto"/>
            </w:tcBorders>
            <w:hideMark/>
          </w:tcPr>
          <w:p w14:paraId="7A1D1017" w14:textId="77777777" w:rsidR="002C119B" w:rsidRDefault="008C3CEA">
            <w:pPr>
              <w:pStyle w:val="TableCell0"/>
              <w:spacing w:line="256" w:lineRule="auto"/>
            </w:pPr>
            <m:oMathPara>
              <m:oMath>
                <m:f>
                  <m:fPr>
                    <m:ctrlPr>
                      <w:rPr>
                        <w:rFonts w:ascii="Cambria Math" w:hAnsi="Cambria Math"/>
                        <w:i/>
                      </w:rPr>
                    </m:ctrlPr>
                  </m:fPr>
                  <m:num>
                    <m:r>
                      <w:rPr>
                        <w:rFonts w:ascii="Cambria Math" w:hAnsi="Cambria Math"/>
                      </w:rPr>
                      <m:t>10×</m:t>
                    </m:r>
                    <m:r>
                      <m:rPr>
                        <m:nor/>
                      </m:rPr>
                      <w:rPr>
                        <w:rFonts w:ascii="Cambria Math" w:hAnsi="Cambria Math"/>
                      </w:rPr>
                      <m:t>nrofDownlinkSlots</m:t>
                    </m:r>
                  </m:num>
                  <m:den>
                    <m:r>
                      <m:rPr>
                        <m:nor/>
                      </m:rPr>
                      <w:rPr>
                        <w:rFonts w:ascii="Cambria Math" w:hAnsi="Cambria Math"/>
                      </w:rPr>
                      <m:t>dl-UL-transmissionPeriodicity</m:t>
                    </m:r>
                  </m:den>
                </m:f>
              </m:oMath>
            </m:oMathPara>
          </w:p>
        </w:tc>
      </w:tr>
      <w:tr w:rsidR="002C119B" w14:paraId="228A5918"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23A11C9E" w14:textId="77777777" w:rsidR="002C119B" w:rsidRDefault="002C119B">
            <w:pPr>
              <w:pStyle w:val="TableCell0"/>
              <w:spacing w:line="256" w:lineRule="auto"/>
            </w:pPr>
            <w:r>
              <w:t>#special slots (slots with downlink symbols and some flexible symbols). Note the result of the ceiling function is either 0 or 1</w:t>
            </w:r>
          </w:p>
        </w:tc>
        <w:tc>
          <w:tcPr>
            <w:tcW w:w="981" w:type="pct"/>
            <w:tcBorders>
              <w:top w:val="single" w:sz="4" w:space="0" w:color="auto"/>
              <w:left w:val="single" w:sz="4" w:space="0" w:color="auto"/>
              <w:bottom w:val="single" w:sz="4" w:space="0" w:color="auto"/>
              <w:right w:val="single" w:sz="4" w:space="0" w:color="auto"/>
            </w:tcBorders>
            <w:hideMark/>
          </w:tcPr>
          <w:p w14:paraId="76D3938A" w14:textId="77777777" w:rsidR="002C119B" w:rsidRDefault="002C119B">
            <w:pPr>
              <w:pStyle w:val="TableCell0"/>
              <w:spacing w:line="256" w:lineRule="auto"/>
            </w:pPr>
            <w:r>
              <w:t>0</w:t>
            </w:r>
          </w:p>
        </w:tc>
        <w:tc>
          <w:tcPr>
            <w:tcW w:w="2647" w:type="pct"/>
            <w:tcBorders>
              <w:top w:val="single" w:sz="4" w:space="0" w:color="auto"/>
              <w:left w:val="single" w:sz="4" w:space="0" w:color="auto"/>
              <w:bottom w:val="single" w:sz="4" w:space="0" w:color="auto"/>
              <w:right w:val="single" w:sz="4" w:space="0" w:color="auto"/>
            </w:tcBorders>
            <w:hideMark/>
          </w:tcPr>
          <w:p w14:paraId="2DD0138A" w14:textId="77777777" w:rsidR="002C119B" w:rsidRDefault="008C3CEA">
            <w:pPr>
              <w:pStyle w:val="TableCell0"/>
              <w:spacing w:line="256" w:lineRule="auto"/>
            </w:pPr>
            <m:oMathPara>
              <m:oMath>
                <m:f>
                  <m:fPr>
                    <m:ctrlPr>
                      <w:rPr>
                        <w:rFonts w:ascii="Cambria Math" w:hAnsi="Cambria Math"/>
                        <w:i/>
                      </w:rPr>
                    </m:ctrlPr>
                  </m:fPr>
                  <m:num>
                    <m:r>
                      <w:rPr>
                        <w:rFonts w:ascii="Cambria Math" w:hAnsi="Cambria Math"/>
                      </w:rPr>
                      <m:t>10×</m:t>
                    </m:r>
                    <m:d>
                      <m:dPr>
                        <m:begChr m:val="⌈"/>
                        <m:endChr m:val="⌉"/>
                        <m:ctrlPr>
                          <w:rPr>
                            <w:rFonts w:ascii="Cambria Math" w:hAnsi="Cambria Math"/>
                            <w:i/>
                          </w:rPr>
                        </m:ctrlPr>
                      </m:dPr>
                      <m:e>
                        <m:f>
                          <m:fPr>
                            <m:ctrlPr>
                              <w:rPr>
                                <w:rFonts w:ascii="Cambria Math" w:hAnsi="Cambria Math"/>
                                <w:i/>
                              </w:rPr>
                            </m:ctrlPr>
                          </m:fPr>
                          <m:num>
                            <m:r>
                              <m:rPr>
                                <m:nor/>
                              </m:rPr>
                              <w:rPr>
                                <w:rFonts w:ascii="Cambria Math" w:hAnsi="Cambria Math"/>
                              </w:rPr>
                              <m:t>nrofDownlinkSymbols</m:t>
                            </m:r>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e>
                    </m:d>
                  </m:num>
                  <m:den>
                    <m:r>
                      <m:rPr>
                        <m:nor/>
                      </m:rPr>
                      <w:rPr>
                        <w:rFonts w:ascii="Cambria Math" w:hAnsi="Cambria Math"/>
                      </w:rPr>
                      <m:t>dl-UL-TransmissionPeriodicity</m:t>
                    </m:r>
                  </m:den>
                </m:f>
              </m:oMath>
            </m:oMathPara>
          </w:p>
        </w:tc>
      </w:tr>
      <w:tr w:rsidR="002C119B" w14:paraId="2A296F3D"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3088BDE5" w14:textId="77777777" w:rsidR="002C119B" w:rsidRDefault="002C119B">
            <w:pPr>
              <w:pStyle w:val="TableCell0"/>
              <w:spacing w:line="256" w:lineRule="auto"/>
            </w:pPr>
            <w:r>
              <w:t>#slots with downlink symbols</w:t>
            </w:r>
          </w:p>
        </w:tc>
        <w:tc>
          <w:tcPr>
            <w:tcW w:w="981" w:type="pct"/>
            <w:tcBorders>
              <w:top w:val="single" w:sz="4" w:space="0" w:color="auto"/>
              <w:left w:val="single" w:sz="4" w:space="0" w:color="auto"/>
              <w:bottom w:val="single" w:sz="4" w:space="0" w:color="auto"/>
              <w:right w:val="single" w:sz="4" w:space="0" w:color="auto"/>
            </w:tcBorders>
            <w:hideMark/>
          </w:tcPr>
          <w:p w14:paraId="08E9BB4F" w14:textId="77777777" w:rsidR="002C119B" w:rsidRDefault="002C119B">
            <w:pPr>
              <w:pStyle w:val="TableCell0"/>
              <w:spacing w:line="256" w:lineRule="auto"/>
            </w:pPr>
            <w:r>
              <w:t>10</w:t>
            </w:r>
            <w:r>
              <w:sym w:font="Symbol" w:char="F0B4"/>
            </w:r>
            <w:r>
              <w:t>2</w:t>
            </w:r>
            <w:r>
              <w:rPr>
                <w:vertAlign w:val="superscript"/>
              </w:rPr>
              <w:t>µ</w:t>
            </w:r>
          </w:p>
        </w:tc>
        <w:tc>
          <w:tcPr>
            <w:tcW w:w="2647" w:type="pct"/>
            <w:tcBorders>
              <w:top w:val="single" w:sz="4" w:space="0" w:color="auto"/>
              <w:left w:val="single" w:sz="4" w:space="0" w:color="auto"/>
              <w:bottom w:val="single" w:sz="4" w:space="0" w:color="auto"/>
              <w:right w:val="single" w:sz="4" w:space="0" w:color="auto"/>
            </w:tcBorders>
            <w:hideMark/>
          </w:tcPr>
          <w:p w14:paraId="09C37342" w14:textId="77777777" w:rsidR="002C119B" w:rsidRDefault="008C3CEA">
            <w:pPr>
              <w:pStyle w:val="TableCell0"/>
              <w:spacing w:line="256" w:lineRule="auto"/>
              <w:rPr>
                <w:rFonts w:eastAsia="Calibri"/>
              </w:rPr>
            </w:pPr>
            <m:oMathPara>
              <m:oMath>
                <m:f>
                  <m:fPr>
                    <m:ctrlPr>
                      <w:rPr>
                        <w:rFonts w:ascii="Cambria Math" w:hAnsi="Cambria Math"/>
                        <w:i/>
                      </w:rPr>
                    </m:ctrlPr>
                  </m:fPr>
                  <m:num>
                    <m:r>
                      <w:rPr>
                        <w:rFonts w:ascii="Cambria Math" w:hAnsi="Cambria Math"/>
                      </w:rPr>
                      <m:t>10</m:t>
                    </m:r>
                    <m:d>
                      <m:dPr>
                        <m:ctrlPr>
                          <w:rPr>
                            <w:rFonts w:ascii="Cambria Math" w:hAnsi="Cambria Math"/>
                            <w:i/>
                          </w:rPr>
                        </m:ctrlPr>
                      </m:dPr>
                      <m:e>
                        <m:r>
                          <m:rPr>
                            <m:nor/>
                          </m:rPr>
                          <w:rPr>
                            <w:rFonts w:ascii="Cambria Math" w:hAnsi="Cambria Math"/>
                          </w:rPr>
                          <m:t>nrofDownlinkSlots</m:t>
                        </m:r>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nor/>
                                  </m:rPr>
                                  <w:rPr>
                                    <w:rFonts w:ascii="Cambria Math" w:hAnsi="Cambria Math"/>
                                  </w:rPr>
                                  <m:t>nrofDownlinkSymbols</m:t>
                                </m:r>
                              </m:num>
                              <m:den>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den>
                            </m:f>
                          </m:e>
                        </m:d>
                      </m:e>
                    </m:d>
                  </m:num>
                  <m:den>
                    <m:r>
                      <m:rPr>
                        <m:nor/>
                      </m:rPr>
                      <w:rPr>
                        <w:rFonts w:ascii="Cambria Math" w:hAnsi="Cambria Math"/>
                      </w:rPr>
                      <m:t>dl-UL-TransmissionPeriodicity</m:t>
                    </m:r>
                  </m:den>
                </m:f>
              </m:oMath>
            </m:oMathPara>
          </w:p>
        </w:tc>
      </w:tr>
      <w:tr w:rsidR="002C119B" w14:paraId="66578A0E" w14:textId="77777777" w:rsidTr="002C119B">
        <w:tc>
          <w:tcPr>
            <w:tcW w:w="1372" w:type="pct"/>
            <w:tcBorders>
              <w:top w:val="single" w:sz="4" w:space="0" w:color="auto"/>
              <w:left w:val="single" w:sz="4" w:space="0" w:color="auto"/>
              <w:bottom w:val="single" w:sz="4" w:space="0" w:color="auto"/>
              <w:right w:val="single" w:sz="4" w:space="0" w:color="auto"/>
            </w:tcBorders>
            <w:hideMark/>
          </w:tcPr>
          <w:p w14:paraId="129D3CD9" w14:textId="77777777" w:rsidR="002C119B" w:rsidRDefault="002C119B">
            <w:pPr>
              <w:pStyle w:val="TableCell0"/>
              <w:spacing w:line="256" w:lineRule="auto"/>
            </w:pPr>
            <w:r>
              <w:t>#downlink symbols</w:t>
            </w:r>
          </w:p>
        </w:tc>
        <w:tc>
          <w:tcPr>
            <w:tcW w:w="981" w:type="pct"/>
            <w:tcBorders>
              <w:top w:val="single" w:sz="4" w:space="0" w:color="auto"/>
              <w:left w:val="single" w:sz="4" w:space="0" w:color="auto"/>
              <w:bottom w:val="single" w:sz="4" w:space="0" w:color="auto"/>
              <w:right w:val="single" w:sz="4" w:space="0" w:color="auto"/>
            </w:tcBorders>
            <w:hideMark/>
          </w:tcPr>
          <w:p w14:paraId="35340176" w14:textId="77777777" w:rsidR="002C119B" w:rsidRDefault="008C3CEA">
            <w:pPr>
              <w:pStyle w:val="TableCell0"/>
              <w:spacing w:line="256" w:lineRule="auto"/>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m:t>
                </m:r>
                <m:r>
                  <m:rPr>
                    <m:sty m:val="p"/>
                  </m:rPr>
                  <w:rPr>
                    <w:rFonts w:ascii="Cambria Math" w:hAnsi="Cambria Math"/>
                  </w:rPr>
                  <m:t>10</m:t>
                </m:r>
                <m:r>
                  <m:rPr>
                    <m:sty m:val="p"/>
                  </m:rPr>
                  <w:rPr>
                    <w:rFonts w:ascii="Cambria Math" w:hAnsi="Cambria Math"/>
                  </w:rPr>
                  <w:sym w:font="Symbol" w:char="F0B4"/>
                </m:r>
                <m:sSup>
                  <m:sSupPr>
                    <m:ctrlPr>
                      <w:rPr>
                        <w:rFonts w:ascii="Cambria Math" w:hAnsi="Cambria Math"/>
                      </w:rPr>
                    </m:ctrlPr>
                  </m:sSupPr>
                  <m:e>
                    <m:r>
                      <w:rPr>
                        <w:rFonts w:ascii="Cambria Math" w:hAnsi="Cambria Math"/>
                      </w:rPr>
                      <m:t>2</m:t>
                    </m:r>
                  </m:e>
                  <m:sup>
                    <m:r>
                      <w:rPr>
                        <w:rFonts w:ascii="Cambria Math" w:hAnsi="Cambria Math"/>
                      </w:rPr>
                      <m:t>μ</m:t>
                    </m:r>
                  </m:sup>
                </m:sSup>
              </m:oMath>
            </m:oMathPara>
          </w:p>
        </w:tc>
        <w:tc>
          <w:tcPr>
            <w:tcW w:w="2647" w:type="pct"/>
            <w:tcBorders>
              <w:top w:val="single" w:sz="4" w:space="0" w:color="auto"/>
              <w:left w:val="single" w:sz="4" w:space="0" w:color="auto"/>
              <w:bottom w:val="single" w:sz="4" w:space="0" w:color="auto"/>
              <w:right w:val="single" w:sz="4" w:space="0" w:color="auto"/>
            </w:tcBorders>
            <w:hideMark/>
          </w:tcPr>
          <w:p w14:paraId="2728E14A" w14:textId="77777777" w:rsidR="002C119B" w:rsidRDefault="008C3CEA">
            <w:pPr>
              <w:pStyle w:val="TableCell0"/>
              <w:spacing w:line="256" w:lineRule="auto"/>
            </w:pPr>
            <m:oMathPara>
              <m:oMath>
                <m:f>
                  <m:fPr>
                    <m:ctrlPr>
                      <w:rPr>
                        <w:rFonts w:ascii="Cambria Math" w:hAnsi="Cambria Math"/>
                        <w:i/>
                      </w:rPr>
                    </m:ctrlPr>
                  </m:fPr>
                  <m:num>
                    <m:r>
                      <w:rPr>
                        <w:rFonts w:ascii="Cambria Math" w:hAnsi="Cambria Math"/>
                      </w:rPr>
                      <m:t>10</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m:t>
                        </m:r>
                        <m:r>
                          <m:rPr>
                            <m:nor/>
                          </m:rPr>
                          <w:rPr>
                            <w:rFonts w:ascii="Cambria Math" w:hAnsi="Cambria Math"/>
                          </w:rPr>
                          <m:t>nrofDownlinkSlots</m:t>
                        </m:r>
                        <m:r>
                          <w:rPr>
                            <w:rFonts w:ascii="Cambria Math" w:hAnsi="Cambria Math"/>
                          </w:rPr>
                          <m:t>+</m:t>
                        </m:r>
                        <m:r>
                          <m:rPr>
                            <m:nor/>
                          </m:rPr>
                          <w:rPr>
                            <w:rFonts w:ascii="Cambria Math" w:hAnsi="Cambria Math"/>
                          </w:rPr>
                          <m:t>nrofDownlinkSymbols</m:t>
                        </m:r>
                      </m:e>
                    </m:d>
                  </m:num>
                  <m:den>
                    <m:r>
                      <m:rPr>
                        <m:nor/>
                      </m:rPr>
                      <w:rPr>
                        <w:rFonts w:ascii="Cambria Math" w:hAnsi="Cambria Math"/>
                      </w:rPr>
                      <m:t>dl-UL-TransmissionPeriodicity</m:t>
                    </m:r>
                  </m:den>
                </m:f>
              </m:oMath>
            </m:oMathPara>
          </w:p>
        </w:tc>
      </w:tr>
    </w:tbl>
    <w:p w14:paraId="47582170" w14:textId="37AC4D1C" w:rsidR="002C119B" w:rsidRDefault="002C119B" w:rsidP="002C119B">
      <w:pPr>
        <w:rPr>
          <w:rFonts w:eastAsiaTheme="minorHAnsi"/>
        </w:rPr>
      </w:pPr>
    </w:p>
    <w:p w14:paraId="6816F426" w14:textId="7C055A4A" w:rsidR="00D45243" w:rsidRDefault="00D45243" w:rsidP="002C119B">
      <w:pPr>
        <w:rPr>
          <w:rFonts w:eastAsiaTheme="minorHAnsi"/>
        </w:rPr>
      </w:pPr>
      <w:r>
        <w:rPr>
          <w:rFonts w:eastAsiaTheme="minorHAnsi"/>
        </w:rPr>
        <w:t xml:space="preserve">A possible place to insert this information is annex H.2.4 in 38.141-1 and </w:t>
      </w:r>
      <w:r w:rsidR="00BD5C1B">
        <w:rPr>
          <w:rFonts w:eastAsiaTheme="minorHAnsi"/>
        </w:rPr>
        <w:t>L.2.4 in 38.141-2.</w:t>
      </w:r>
      <w:r w:rsidR="00073B34">
        <w:rPr>
          <w:rFonts w:eastAsiaTheme="minorHAnsi"/>
        </w:rPr>
        <w:t xml:space="preserve"> These formulas are used for examples in the text and for reference.</w:t>
      </w:r>
    </w:p>
    <w:p w14:paraId="5CD46A10" w14:textId="195CDD6D" w:rsidR="002A256A" w:rsidRPr="002A256A" w:rsidRDefault="002A256A" w:rsidP="002A256A">
      <w:pPr>
        <w:rPr>
          <w:b/>
          <w:iCs/>
          <w:u w:val="single"/>
        </w:rPr>
      </w:pPr>
      <w:r w:rsidRPr="002A256A">
        <w:rPr>
          <w:b/>
          <w:iCs/>
          <w:u w:val="single"/>
        </w:rPr>
        <w:t>Proposal 1</w:t>
      </w:r>
      <w:r w:rsidRPr="002A256A">
        <w:rPr>
          <w:b/>
          <w:iCs/>
        </w:rPr>
        <w:t xml:space="preserve">: Capture appropriate formulas for the number of </w:t>
      </w:r>
      <w:r w:rsidR="00073B34">
        <w:rPr>
          <w:b/>
          <w:iCs/>
        </w:rPr>
        <w:t>symbols</w:t>
      </w:r>
      <w:r w:rsidRPr="002A256A">
        <w:rPr>
          <w:b/>
          <w:iCs/>
        </w:rPr>
        <w:t xml:space="preserve"> in annex </w:t>
      </w:r>
      <w:r w:rsidR="000144AE">
        <w:rPr>
          <w:b/>
          <w:iCs/>
        </w:rPr>
        <w:t>H</w:t>
      </w:r>
      <w:r w:rsidRPr="002A256A">
        <w:rPr>
          <w:b/>
          <w:iCs/>
        </w:rPr>
        <w:t>.</w:t>
      </w:r>
      <w:r w:rsidR="00BD5C1B">
        <w:rPr>
          <w:b/>
          <w:iCs/>
        </w:rPr>
        <w:t>2.</w:t>
      </w:r>
      <w:r w:rsidRPr="002A256A">
        <w:rPr>
          <w:b/>
          <w:iCs/>
        </w:rPr>
        <w:t>4</w:t>
      </w:r>
      <w:r w:rsidR="000144AE">
        <w:rPr>
          <w:b/>
          <w:iCs/>
        </w:rPr>
        <w:t xml:space="preserve"> (38.141-1) and L.</w:t>
      </w:r>
      <w:r w:rsidR="00BD5C1B">
        <w:rPr>
          <w:b/>
          <w:iCs/>
        </w:rPr>
        <w:t>2.</w:t>
      </w:r>
      <w:r w:rsidR="000144AE">
        <w:rPr>
          <w:b/>
          <w:iCs/>
        </w:rPr>
        <w:t>4 (38.141-2)</w:t>
      </w:r>
    </w:p>
    <w:p w14:paraId="1B07A42D" w14:textId="4904B45D" w:rsidR="002C119B" w:rsidRDefault="002C119B" w:rsidP="002C119B">
      <w:r>
        <w:t xml:space="preserve">The number of samples among the downlink symbols is </w:t>
      </w:r>
      <w:r w:rsidR="000144AE">
        <w:t xml:space="preserve">a function of </w:t>
      </w:r>
      <w:r>
        <w:t xml:space="preserve">the longer CP on certain symbols and slots and the </w:t>
      </w:r>
      <w:r w:rsidR="002A256A">
        <w:t xml:space="preserve">periodicity of the </w:t>
      </w:r>
      <w:r>
        <w:t>TDD</w:t>
      </w:r>
      <w:r w:rsidR="002A256A">
        <w:t xml:space="preserve"> pattern</w:t>
      </w:r>
      <w:r>
        <w:t xml:space="preserve">. The number of longer CPs transmitted on the downlink in a 10 </w:t>
      </w:r>
      <w:proofErr w:type="spellStart"/>
      <w:r>
        <w:t>ms</w:t>
      </w:r>
      <w:proofErr w:type="spellEnd"/>
      <w:r>
        <w:t xml:space="preserve"> interval is </w:t>
      </w:r>
    </w:p>
    <w:p w14:paraId="0F3207B3" w14:textId="77777777" w:rsidR="002C119B" w:rsidRDefault="008C3CEA" w:rsidP="002C119B">
      <m:oMathPara>
        <m:oMath>
          <m:f>
            <m:fPr>
              <m:ctrlPr>
                <w:rPr>
                  <w:rFonts w:ascii="Cambria Math" w:eastAsiaTheme="minorHAnsi" w:hAnsi="Cambria Math"/>
                  <w:i/>
                </w:rPr>
              </m:ctrlPr>
            </m:fPr>
            <m:num>
              <m:r>
                <w:rPr>
                  <w:rFonts w:ascii="Cambria Math" w:hAnsi="Cambria Math"/>
                </w:rPr>
                <m:t>10</m:t>
              </m:r>
              <m:d>
                <m:dPr>
                  <m:begChr m:val="⌈"/>
                  <m:endChr m:val="⌉"/>
                  <m:ctrlPr>
                    <w:rPr>
                      <w:rFonts w:ascii="Cambria Math" w:eastAsiaTheme="minorHAnsi" w:hAnsi="Cambria Math"/>
                      <w:i/>
                    </w:rPr>
                  </m:ctrlPr>
                </m:dPr>
                <m:e>
                  <m:f>
                    <m:fPr>
                      <m:ctrlPr>
                        <w:rPr>
                          <w:rFonts w:ascii="Cambria Math" w:eastAsiaTheme="minorHAnsi" w:hAnsi="Cambria Math"/>
                          <w:i/>
                        </w:rPr>
                      </m:ctrlPr>
                    </m:fPr>
                    <m:num>
                      <m:sSubSup>
                        <m:sSubSupPr>
                          <m:ctrlPr>
                            <w:rPr>
                              <w:rFonts w:ascii="Cambria Math" w:eastAsiaTheme="minorHAnsi"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m:t>
                      </m:r>
                      <m:r>
                        <m:rPr>
                          <m:nor/>
                        </m:rPr>
                        <w:rPr>
                          <w:rFonts w:ascii="Cambria Math" w:hAnsi="Cambria Math"/>
                        </w:rPr>
                        <m:t>nrofDownlinkSlots</m:t>
                      </m:r>
                      <m:r>
                        <w:rPr>
                          <w:rFonts w:ascii="Cambria Math" w:hAnsi="Cambria Math"/>
                        </w:rPr>
                        <m:t>+</m:t>
                      </m:r>
                      <m:r>
                        <m:rPr>
                          <m:nor/>
                        </m:rPr>
                        <w:rPr>
                          <w:rFonts w:ascii="Cambria Math" w:hAnsi="Cambria Math"/>
                        </w:rPr>
                        <m:t>nrofDownlinkSymbols</m:t>
                      </m:r>
                    </m:num>
                    <m:den>
                      <m:r>
                        <m:rPr>
                          <m:sty m:val="p"/>
                        </m:rPr>
                        <w:rPr>
                          <w:rFonts w:ascii="Cambria Math" w:hAnsi="Cambria Math"/>
                        </w:rPr>
                        <m:t>7</m:t>
                      </m:r>
                      <m:r>
                        <m:rPr>
                          <m:sty m:val="p"/>
                        </m:rPr>
                        <w:rPr>
                          <w:rFonts w:ascii="Cambria Math" w:hAnsi="Cambria Math"/>
                        </w:rPr>
                        <w:sym w:font="Symbol" w:char="F0B4"/>
                      </m:r>
                      <m:sSup>
                        <m:sSupPr>
                          <m:ctrlPr>
                            <w:rPr>
                              <w:rFonts w:ascii="Cambria Math" w:eastAsiaTheme="minorHAnsi" w:hAnsi="Cambria Math"/>
                            </w:rPr>
                          </m:ctrlPr>
                        </m:sSupPr>
                        <m:e>
                          <m:r>
                            <w:rPr>
                              <w:rFonts w:ascii="Cambria Math" w:hAnsi="Cambria Math"/>
                            </w:rPr>
                            <m:t>2</m:t>
                          </m:r>
                        </m:e>
                        <m:sup>
                          <m:r>
                            <w:rPr>
                              <w:rFonts w:ascii="Cambria Math" w:hAnsi="Cambria Math"/>
                            </w:rPr>
                            <m:t>μ</m:t>
                          </m:r>
                        </m:sup>
                      </m:sSup>
                    </m:den>
                  </m:f>
                </m:e>
              </m:d>
            </m:num>
            <m:den>
              <m:r>
                <m:rPr>
                  <m:nor/>
                </m:rPr>
                <w:rPr>
                  <w:rFonts w:ascii="Cambria Math" w:hAnsi="Cambria Math"/>
                </w:rPr>
                <m:t>dl-UL-TransmissionPeriodicity</m:t>
              </m:r>
            </m:den>
          </m:f>
        </m:oMath>
      </m:oMathPara>
    </w:p>
    <w:p w14:paraId="2056EC5D" w14:textId="018C1522" w:rsidR="002A256A" w:rsidRDefault="002A256A" w:rsidP="002A256A">
      <w:r>
        <w:t>It was noted that some of the values in the FR2 example were incorrect for FR2. The above formula produces the correct values</w:t>
      </w:r>
      <w:r w:rsidR="002C119B">
        <w:t>.</w:t>
      </w:r>
      <w:r w:rsidRPr="002A256A">
        <w:t xml:space="preserve"> </w:t>
      </w:r>
      <w:r w:rsidR="000144AE">
        <w:t>In the example:</w:t>
      </w:r>
    </w:p>
    <w:p w14:paraId="4C338219" w14:textId="6AB6DC02" w:rsidR="002A256A" w:rsidRDefault="002A256A" w:rsidP="002A256A">
      <w:r>
        <w:t>The number of FFTs is 832. The number of stored values is 832</w:t>
      </w:r>
      <w:r>
        <w:sym w:font="Symbol" w:char="F0B4"/>
      </w:r>
      <w:r>
        <w:t>4096=3,407,872. The number of samples to process is 832</w:t>
      </w:r>
      <w:r>
        <w:sym w:font="Symbol" w:char="F0B4"/>
      </w:r>
      <w:r>
        <w:t>4384+16</w:t>
      </w:r>
      <w:r>
        <w:sym w:font="Symbol" w:char="F0B4"/>
      </w:r>
      <w:r>
        <w:t>256=3,651,584.</w:t>
      </w:r>
      <w:r w:rsidR="003954E0">
        <w:t xml:space="preserve"> The first term is due to the number of downlink symbols in 10 </w:t>
      </w:r>
      <w:proofErr w:type="spellStart"/>
      <w:r w:rsidR="003954E0">
        <w:t>ms</w:t>
      </w:r>
      <w:proofErr w:type="spellEnd"/>
      <w:r w:rsidR="000144AE">
        <w:t xml:space="preserve"> while</w:t>
      </w:r>
      <w:r w:rsidR="003954E0">
        <w:t xml:space="preserve"> </w:t>
      </w:r>
      <w:r w:rsidR="000144AE">
        <w:t>t</w:t>
      </w:r>
      <w:r w:rsidR="003954E0">
        <w:t xml:space="preserve">he second term is due to the number of symbols with a longer CP in 10 </w:t>
      </w:r>
      <w:proofErr w:type="spellStart"/>
      <w:r w:rsidR="003954E0">
        <w:t>ms.</w:t>
      </w:r>
      <w:proofErr w:type="spellEnd"/>
    </w:p>
    <w:p w14:paraId="75C6F18C" w14:textId="54658C8F" w:rsidR="002A256A" w:rsidRPr="002A256A" w:rsidRDefault="002A256A" w:rsidP="002A256A">
      <w:pPr>
        <w:rPr>
          <w:b/>
          <w:iCs/>
          <w:u w:val="single"/>
        </w:rPr>
      </w:pPr>
      <w:r w:rsidRPr="002A256A">
        <w:rPr>
          <w:b/>
          <w:iCs/>
          <w:u w:val="single"/>
        </w:rPr>
        <w:t xml:space="preserve">Proposal </w:t>
      </w:r>
      <w:r w:rsidR="003954E0">
        <w:rPr>
          <w:b/>
          <w:iCs/>
          <w:u w:val="single"/>
        </w:rPr>
        <w:t>2</w:t>
      </w:r>
      <w:r w:rsidRPr="002A256A">
        <w:rPr>
          <w:b/>
          <w:iCs/>
        </w:rPr>
        <w:t xml:space="preserve">: </w:t>
      </w:r>
      <w:r w:rsidR="000144AE">
        <w:rPr>
          <w:b/>
          <w:iCs/>
        </w:rPr>
        <w:t>Update the example in 38.141-</w:t>
      </w:r>
      <w:r w:rsidR="00BD5C1B">
        <w:rPr>
          <w:b/>
          <w:iCs/>
        </w:rPr>
        <w:t>2 annex L.4 with the correct values</w:t>
      </w:r>
      <w:r>
        <w:rPr>
          <w:b/>
          <w:iCs/>
        </w:rPr>
        <w:t>.</w:t>
      </w:r>
    </w:p>
    <w:p w14:paraId="3A17FD43" w14:textId="6055146B" w:rsidR="002C119B" w:rsidRDefault="002C119B" w:rsidP="002C119B">
      <w:pPr>
        <w:pStyle w:val="Heading2"/>
        <w:autoSpaceDE/>
        <w:autoSpaceDN/>
        <w:adjustRightInd/>
        <w:spacing w:line="256" w:lineRule="auto"/>
      </w:pPr>
      <w:r>
        <w:t>OSTP</w:t>
      </w:r>
    </w:p>
    <w:p w14:paraId="3AFD2BCE" w14:textId="1A880E26" w:rsidR="003954E0" w:rsidRDefault="003954E0" w:rsidP="003954E0">
      <w:r>
        <w:t xml:space="preserve">The </w:t>
      </w:r>
      <w:r w:rsidR="00BD5C1B">
        <w:t xml:space="preserve">OSTP in clause H.5 and L.5 is discussed in </w:t>
      </w:r>
      <w:r w:rsidR="00E877DA">
        <w:fldChar w:fldCharType="begin"/>
      </w:r>
      <w:r w:rsidR="00E877DA">
        <w:instrText xml:space="preserve"> REF _Ref16582338 \r \h </w:instrText>
      </w:r>
      <w:r w:rsidR="00E877DA">
        <w:fldChar w:fldCharType="separate"/>
      </w:r>
      <w:r w:rsidR="00E877DA">
        <w:t>[2]</w:t>
      </w:r>
      <w:r w:rsidR="00E877DA">
        <w:fldChar w:fldCharType="end"/>
      </w:r>
      <w:r w:rsidR="00E877DA">
        <w:t>. The issues are symbol number to measure.</w:t>
      </w:r>
    </w:p>
    <w:p w14:paraId="709381B9" w14:textId="429CD64E" w:rsidR="00E877DA" w:rsidRPr="003954E0" w:rsidRDefault="00E877DA" w:rsidP="003954E0">
      <w:r>
        <w:t>Another point is the use of the symbol “</w:t>
      </w:r>
      <w:r>
        <w:sym w:font="Symbol" w:char="F044"/>
      </w:r>
      <w:r w:rsidRPr="00E877DA">
        <w:rPr>
          <w:i/>
          <w:iCs/>
        </w:rPr>
        <w:t>f</w:t>
      </w:r>
      <w:r>
        <w:t>”. Since this symbol is defined at the beginning of the standard and refers to “</w:t>
      </w:r>
      <w:r w:rsidRPr="00E877DA">
        <w:t>Separation between the channel edge frequency and the nominal -3 dB point of the measuring filter closest to the carrier frequency</w:t>
      </w:r>
      <w:r>
        <w:t>”, its use as subcarrier spacing can be misinterpreted. To clarify, it is proposed to replace “</w:t>
      </w:r>
      <w:r>
        <w:sym w:font="Symbol" w:char="F044"/>
      </w:r>
      <w:r w:rsidRPr="00E877DA">
        <w:rPr>
          <w:i/>
          <w:iCs/>
        </w:rPr>
        <w:t>f</w:t>
      </w:r>
      <w:r>
        <w:t>” with “SCS”.</w:t>
      </w:r>
    </w:p>
    <w:p w14:paraId="455BB5E0" w14:textId="77777777" w:rsidR="002C119B" w:rsidRDefault="002C119B" w:rsidP="002C119B">
      <w:pPr>
        <w:pStyle w:val="Heading2"/>
        <w:autoSpaceDE/>
        <w:autoSpaceDN/>
        <w:adjustRightInd/>
        <w:spacing w:line="256" w:lineRule="auto"/>
      </w:pPr>
      <w:r>
        <w:t>Number of frames</w:t>
      </w:r>
    </w:p>
    <w:p w14:paraId="046ABAE1" w14:textId="4F60E0F4" w:rsidR="002C119B" w:rsidRDefault="002546DD" w:rsidP="002C119B">
      <w:r>
        <w:t xml:space="preserve">The agreement in </w:t>
      </w:r>
      <w:r>
        <w:fldChar w:fldCharType="begin"/>
      </w:r>
      <w:r>
        <w:instrText xml:space="preserve"> REF _Ref10541915 \r \h </w:instrText>
      </w:r>
      <w:r>
        <w:fldChar w:fldCharType="separate"/>
      </w:r>
      <w:r>
        <w:t>[1]</w:t>
      </w:r>
      <w:r>
        <w:fldChar w:fldCharType="end"/>
      </w:r>
      <w:r>
        <w:t xml:space="preserve"> was to modify the formula</w:t>
      </w:r>
    </w:p>
    <w:p w14:paraId="4CB42608" w14:textId="16E1BB38" w:rsidR="002546DD" w:rsidRPr="002E5CC4" w:rsidRDefault="008C3CEA" w:rsidP="002546DD">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10</m:t>
                  </m:r>
                </m:num>
                <m:den>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den>
              </m:f>
            </m:e>
          </m:d>
        </m:oMath>
      </m:oMathPara>
    </w:p>
    <w:p w14:paraId="3081F6EC" w14:textId="77777777" w:rsidR="002546DD" w:rsidRDefault="002546DD" w:rsidP="002C119B">
      <w:r>
        <w:t>Due to an oversight, the modification was not captured.</w:t>
      </w:r>
    </w:p>
    <w:p w14:paraId="673864E3" w14:textId="77777777" w:rsidR="002546DD" w:rsidRDefault="002546DD" w:rsidP="002C119B">
      <w:r>
        <w:t>The modification is captured in the draft CRs based on the tables introduced in H.2.4 and L.2.4.</w:t>
      </w:r>
    </w:p>
    <w:p w14:paraId="03C2F460" w14:textId="2EE237E1" w:rsidR="002546DD" w:rsidRPr="002A256A" w:rsidRDefault="002546DD" w:rsidP="002546DD">
      <w:pPr>
        <w:rPr>
          <w:b/>
          <w:iCs/>
          <w:u w:val="single"/>
        </w:rPr>
      </w:pPr>
      <w:bookmarkStart w:id="4" w:name="_Hlk16584597"/>
      <w:r w:rsidRPr="002A256A">
        <w:rPr>
          <w:b/>
          <w:iCs/>
          <w:u w:val="single"/>
        </w:rPr>
        <w:t xml:space="preserve">Proposal </w:t>
      </w:r>
      <w:r>
        <w:rPr>
          <w:b/>
          <w:iCs/>
          <w:u w:val="single"/>
        </w:rPr>
        <w:t>3</w:t>
      </w:r>
      <w:r w:rsidRPr="002A256A">
        <w:rPr>
          <w:b/>
          <w:iCs/>
        </w:rPr>
        <w:t xml:space="preserve">: </w:t>
      </w:r>
      <w:r>
        <w:rPr>
          <w:b/>
          <w:iCs/>
        </w:rPr>
        <w:t>Update</w:t>
      </w:r>
      <w:r w:rsidR="00185191">
        <w:rPr>
          <w:b/>
          <w:iCs/>
        </w:rPr>
        <w:t xml:space="preserve"> clause H</w:t>
      </w:r>
      <w:r w:rsidR="00185191" w:rsidRPr="002A256A">
        <w:rPr>
          <w:b/>
          <w:iCs/>
        </w:rPr>
        <w:t>.</w:t>
      </w:r>
      <w:r w:rsidR="00185191">
        <w:rPr>
          <w:b/>
          <w:iCs/>
        </w:rPr>
        <w:t>7 (38.141-1) and L.7 (38.141-2) to capture the number of frames for averaging.</w:t>
      </w:r>
    </w:p>
    <w:bookmarkEnd w:id="4"/>
    <w:p w14:paraId="263BC538" w14:textId="77777777" w:rsidR="002546DD" w:rsidRPr="002C119B" w:rsidRDefault="002546DD" w:rsidP="002C119B"/>
    <w:p w14:paraId="18B94AA5" w14:textId="0D90089B" w:rsidR="00157FC3" w:rsidRDefault="00747F48" w:rsidP="00493C77">
      <w:pPr>
        <w:pStyle w:val="Heading1"/>
      </w:pPr>
      <w:bookmarkStart w:id="5" w:name="_Ref129681832"/>
      <w:r w:rsidRPr="00493C77">
        <w:t>Conclusion</w:t>
      </w:r>
      <w:r w:rsidR="006B1FD5" w:rsidRPr="00493C77">
        <w:t>s</w:t>
      </w:r>
    </w:p>
    <w:p w14:paraId="7400B6FF" w14:textId="5D3DDA07" w:rsidR="002C119B" w:rsidRDefault="002C119B" w:rsidP="002C119B">
      <w:r>
        <w:t xml:space="preserve">This contribution examined </w:t>
      </w:r>
      <w:r w:rsidR="002546DD">
        <w:t>the</w:t>
      </w:r>
      <w:r w:rsidR="00E877DA">
        <w:t xml:space="preserve"> EVM </w:t>
      </w:r>
      <w:r w:rsidR="002546DD">
        <w:t>annex to ensure the modifications were correct. Several examples needed to be updated.</w:t>
      </w:r>
    </w:p>
    <w:p w14:paraId="347AED7C" w14:textId="77777777" w:rsidR="00073B34" w:rsidRPr="002A256A" w:rsidRDefault="00073B34" w:rsidP="00073B34">
      <w:pPr>
        <w:rPr>
          <w:b/>
          <w:iCs/>
          <w:u w:val="single"/>
        </w:rPr>
      </w:pPr>
      <w:bookmarkStart w:id="6" w:name="_Ref124589665"/>
      <w:bookmarkStart w:id="7" w:name="_Ref71620620"/>
      <w:bookmarkStart w:id="8" w:name="_Ref124671424"/>
      <w:r w:rsidRPr="002A256A">
        <w:rPr>
          <w:b/>
          <w:iCs/>
          <w:u w:val="single"/>
        </w:rPr>
        <w:t>Proposal 1</w:t>
      </w:r>
      <w:r w:rsidRPr="002A256A">
        <w:rPr>
          <w:b/>
          <w:iCs/>
        </w:rPr>
        <w:t xml:space="preserve">: Capture appropriate formulas for the number of </w:t>
      </w:r>
      <w:r>
        <w:rPr>
          <w:b/>
          <w:iCs/>
        </w:rPr>
        <w:t>symbols</w:t>
      </w:r>
      <w:r w:rsidRPr="002A256A">
        <w:rPr>
          <w:b/>
          <w:iCs/>
        </w:rPr>
        <w:t xml:space="preserve"> in annex </w:t>
      </w:r>
      <w:r>
        <w:rPr>
          <w:b/>
          <w:iCs/>
        </w:rPr>
        <w:t>H</w:t>
      </w:r>
      <w:r w:rsidRPr="002A256A">
        <w:rPr>
          <w:b/>
          <w:iCs/>
        </w:rPr>
        <w:t>.</w:t>
      </w:r>
      <w:r>
        <w:rPr>
          <w:b/>
          <w:iCs/>
        </w:rPr>
        <w:t>2.</w:t>
      </w:r>
      <w:r w:rsidRPr="002A256A">
        <w:rPr>
          <w:b/>
          <w:iCs/>
        </w:rPr>
        <w:t>4</w:t>
      </w:r>
      <w:r>
        <w:rPr>
          <w:b/>
          <w:iCs/>
        </w:rPr>
        <w:t xml:space="preserve"> (38.141-1) and L.2.4 (38.141-2)</w:t>
      </w:r>
    </w:p>
    <w:p w14:paraId="06FEC00F" w14:textId="225AAD98" w:rsidR="002546DD" w:rsidRDefault="002546DD" w:rsidP="002546DD">
      <w:pPr>
        <w:rPr>
          <w:b/>
          <w:iCs/>
        </w:rPr>
      </w:pPr>
      <w:r w:rsidRPr="002A256A">
        <w:rPr>
          <w:b/>
          <w:iCs/>
          <w:u w:val="single"/>
        </w:rPr>
        <w:t xml:space="preserve">Proposal </w:t>
      </w:r>
      <w:r>
        <w:rPr>
          <w:b/>
          <w:iCs/>
          <w:u w:val="single"/>
        </w:rPr>
        <w:t>2</w:t>
      </w:r>
      <w:r w:rsidRPr="002A256A">
        <w:rPr>
          <w:b/>
          <w:iCs/>
        </w:rPr>
        <w:t xml:space="preserve">: </w:t>
      </w:r>
      <w:r>
        <w:rPr>
          <w:b/>
          <w:iCs/>
        </w:rPr>
        <w:t>Update the example in 38.141-2 annex L.4 with the correct values.</w:t>
      </w:r>
    </w:p>
    <w:p w14:paraId="3BC9460A" w14:textId="1B98E41F" w:rsidR="00185191" w:rsidRDefault="00185191" w:rsidP="00185191">
      <w:r>
        <w:t>A correction is needed to the frame averaging formula.</w:t>
      </w:r>
    </w:p>
    <w:p w14:paraId="5435BF25" w14:textId="77777777" w:rsidR="00185191" w:rsidRPr="002A256A" w:rsidRDefault="00185191" w:rsidP="00185191">
      <w:pPr>
        <w:rPr>
          <w:b/>
          <w:iCs/>
          <w:u w:val="single"/>
        </w:rPr>
      </w:pPr>
      <w:r w:rsidRPr="002A256A">
        <w:rPr>
          <w:b/>
          <w:iCs/>
          <w:u w:val="single"/>
        </w:rPr>
        <w:t xml:space="preserve">Proposal </w:t>
      </w:r>
      <w:r>
        <w:rPr>
          <w:b/>
          <w:iCs/>
          <w:u w:val="single"/>
        </w:rPr>
        <w:t>3</w:t>
      </w:r>
      <w:r w:rsidRPr="002A256A">
        <w:rPr>
          <w:b/>
          <w:iCs/>
        </w:rPr>
        <w:t xml:space="preserve">: </w:t>
      </w:r>
      <w:r>
        <w:rPr>
          <w:b/>
          <w:iCs/>
        </w:rPr>
        <w:t>Update clause H</w:t>
      </w:r>
      <w:r w:rsidRPr="002A256A">
        <w:rPr>
          <w:b/>
          <w:iCs/>
        </w:rPr>
        <w:t>.</w:t>
      </w:r>
      <w:r>
        <w:rPr>
          <w:b/>
          <w:iCs/>
        </w:rPr>
        <w:t>7 (38.141-1) and L.7 (38.141-2) to capture the number of frames for averaging.</w:t>
      </w:r>
    </w:p>
    <w:p w14:paraId="0BC265D5" w14:textId="77777777" w:rsidR="00185191" w:rsidRPr="002A256A" w:rsidRDefault="00185191" w:rsidP="00185191"/>
    <w:p w14:paraId="410E44E3" w14:textId="77777777" w:rsidR="001D780E" w:rsidRPr="00D74B92" w:rsidRDefault="001D780E" w:rsidP="007F5EC6">
      <w:pPr>
        <w:pStyle w:val="Heading1"/>
        <w:numPr>
          <w:ilvl w:val="0"/>
          <w:numId w:val="0"/>
        </w:numPr>
        <w:ind w:left="432" w:hanging="432"/>
      </w:pPr>
      <w:r w:rsidRPr="00D74B92">
        <w:t>References</w:t>
      </w:r>
    </w:p>
    <w:p w14:paraId="1022D54A" w14:textId="40494A34" w:rsidR="002C119B" w:rsidRDefault="002C119B" w:rsidP="002C119B">
      <w:pPr>
        <w:pStyle w:val="references0"/>
        <w:numPr>
          <w:ilvl w:val="0"/>
          <w:numId w:val="8"/>
        </w:numPr>
        <w:spacing w:line="256" w:lineRule="auto"/>
        <w:ind w:left="432" w:hanging="432"/>
      </w:pPr>
      <w:bookmarkStart w:id="9" w:name="_Ref10541915"/>
      <w:bookmarkStart w:id="10" w:name="_Ref6990393"/>
      <w:bookmarkEnd w:id="5"/>
      <w:bookmarkEnd w:id="6"/>
      <w:bookmarkEnd w:id="7"/>
      <w:bookmarkEnd w:id="8"/>
      <w:r>
        <w:t>R4-1907622, “AH minutes on NR BS conformance testing”, Huawei, RAN4#91, May 13-17, 2019</w:t>
      </w:r>
      <w:bookmarkEnd w:id="9"/>
      <w:bookmarkEnd w:id="10"/>
    </w:p>
    <w:p w14:paraId="56B08023" w14:textId="6E061C09" w:rsidR="00E877DA" w:rsidRDefault="00121E8D" w:rsidP="002C119B">
      <w:pPr>
        <w:pStyle w:val="references0"/>
        <w:numPr>
          <w:ilvl w:val="0"/>
          <w:numId w:val="8"/>
        </w:numPr>
        <w:spacing w:line="256" w:lineRule="auto"/>
        <w:ind w:left="432" w:hanging="432"/>
      </w:pPr>
      <w:bookmarkStart w:id="11" w:name="_Ref16582338"/>
      <w:r w:rsidRPr="00121E8D">
        <w:t>R4-1908468</w:t>
      </w:r>
      <w:r w:rsidR="00E877DA">
        <w:t>, “</w:t>
      </w:r>
      <w:r w:rsidR="00E877DA" w:rsidRPr="00E877DA">
        <w:t>Clarification of test procedure for RE power control dynamic range</w:t>
      </w:r>
      <w:r w:rsidR="00E877DA">
        <w:t>”, Futurewei, RAN4#92, Aug. 26-30, 2019</w:t>
      </w:r>
      <w:bookmarkEnd w:id="11"/>
    </w:p>
    <w:p w14:paraId="54BA644F" w14:textId="6535B628" w:rsidR="00560045" w:rsidRDefault="00560045" w:rsidP="00560045">
      <w:bookmarkStart w:id="12" w:name="_GoBack"/>
      <w:bookmarkEnd w:id="12"/>
    </w:p>
    <w:sectPr w:rsidR="005600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FD707" w14:textId="77777777" w:rsidR="008C3CEA" w:rsidRDefault="008C3CEA">
      <w:r>
        <w:separator/>
      </w:r>
    </w:p>
  </w:endnote>
  <w:endnote w:type="continuationSeparator" w:id="0">
    <w:p w14:paraId="431E599E" w14:textId="77777777" w:rsidR="008C3CEA" w:rsidRDefault="008C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00D2A" w14:textId="77777777" w:rsidR="008C3CEA" w:rsidRDefault="008C3CEA">
      <w:r>
        <w:separator/>
      </w:r>
    </w:p>
  </w:footnote>
  <w:footnote w:type="continuationSeparator" w:id="0">
    <w:p w14:paraId="51DE8BA6" w14:textId="77777777" w:rsidR="008C3CEA" w:rsidRDefault="008C3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6"/>
  </w:num>
  <w:num w:numId="6">
    <w:abstractNumId w:val="0"/>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B95"/>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E8D"/>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191"/>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19B"/>
    <w:rsid w:val="002C1201"/>
    <w:rsid w:val="002C1460"/>
    <w:rsid w:val="002C20F2"/>
    <w:rsid w:val="002C30EA"/>
    <w:rsid w:val="002C38B2"/>
    <w:rsid w:val="002C3DC2"/>
    <w:rsid w:val="002C3F54"/>
    <w:rsid w:val="002C3F9C"/>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50B"/>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3D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27A"/>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CB"/>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243"/>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B965CB"/>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E47B-3B5E-498B-9C45-D3594735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5</cp:revision>
  <cp:lastPrinted>2007-06-18T22:08:00Z</cp:lastPrinted>
  <dcterms:created xsi:type="dcterms:W3CDTF">2019-08-13T14:47:00Z</dcterms:created>
  <dcterms:modified xsi:type="dcterms:W3CDTF">2019-08-15T20:11:00Z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