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085CF517" w:rsidR="006D6B31"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9F38E6">
        <w:rPr>
          <w:rFonts w:ascii="Arial" w:hAnsi="Arial"/>
          <w:b/>
          <w:noProof/>
          <w:sz w:val="24"/>
          <w:lang w:eastAsia="en-US"/>
        </w:rPr>
        <w:t>92</w:t>
      </w:r>
      <w:r w:rsidR="006D6B31" w:rsidRPr="00CB5B5E">
        <w:rPr>
          <w:rFonts w:ascii="Arial" w:hAnsi="Arial"/>
          <w:b/>
          <w:noProof/>
          <w:sz w:val="24"/>
          <w:lang w:eastAsia="en-US"/>
        </w:rPr>
        <w:tab/>
      </w:r>
      <w:r w:rsidR="00270939">
        <w:rPr>
          <w:rFonts w:ascii="Arial" w:hAnsi="Arial"/>
          <w:b/>
          <w:noProof/>
          <w:sz w:val="24"/>
          <w:lang w:eastAsia="en-US"/>
        </w:rPr>
        <w:t>R4-1</w:t>
      </w:r>
      <w:r w:rsidR="001D78C1">
        <w:rPr>
          <w:rFonts w:ascii="Arial" w:hAnsi="Arial"/>
          <w:b/>
          <w:noProof/>
          <w:sz w:val="24"/>
          <w:lang w:eastAsia="en-US"/>
        </w:rPr>
        <w:t>90</w:t>
      </w:r>
      <w:r w:rsidR="00CF49D1">
        <w:rPr>
          <w:rFonts w:ascii="Arial" w:hAnsi="Arial"/>
          <w:b/>
          <w:noProof/>
          <w:sz w:val="24"/>
          <w:lang w:eastAsia="en-US"/>
        </w:rPr>
        <w:t>8003</w:t>
      </w:r>
    </w:p>
    <w:p w14:paraId="4CC39F66" w14:textId="2795A9B0" w:rsidR="006D6B31" w:rsidRPr="00CB5B5E" w:rsidRDefault="009F38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Ljubljana</w:t>
      </w:r>
      <w:r w:rsidR="005A591E" w:rsidRPr="00CB5B5E">
        <w:rPr>
          <w:rFonts w:ascii="Arial" w:hAnsi="Arial"/>
          <w:b/>
          <w:noProof/>
          <w:sz w:val="24"/>
          <w:lang w:eastAsia="en-US"/>
        </w:rPr>
        <w:t xml:space="preserve">, </w:t>
      </w:r>
      <w:r>
        <w:rPr>
          <w:rFonts w:ascii="Arial" w:hAnsi="Arial"/>
          <w:b/>
          <w:noProof/>
          <w:sz w:val="24"/>
          <w:lang w:eastAsia="en-US"/>
        </w:rPr>
        <w:t>Slovenia</w:t>
      </w:r>
      <w:r w:rsidR="00180397">
        <w:rPr>
          <w:rFonts w:ascii="Arial" w:hAnsi="Arial"/>
          <w:b/>
          <w:noProof/>
          <w:sz w:val="24"/>
          <w:lang w:eastAsia="en-US"/>
        </w:rPr>
        <w:t xml:space="preserve">, </w:t>
      </w:r>
      <w:r>
        <w:rPr>
          <w:rFonts w:ascii="Arial" w:hAnsi="Arial"/>
          <w:b/>
          <w:noProof/>
          <w:sz w:val="24"/>
          <w:lang w:eastAsia="en-US"/>
        </w:rPr>
        <w:t>26</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Pr>
          <w:rFonts w:ascii="Arial" w:hAnsi="Arial"/>
          <w:b/>
          <w:noProof/>
          <w:sz w:val="24"/>
          <w:lang w:eastAsia="en-US"/>
        </w:rPr>
        <w:t>30</w:t>
      </w:r>
      <w:r w:rsidR="005A591E" w:rsidRPr="00CB5B5E">
        <w:rPr>
          <w:rFonts w:ascii="Arial" w:hAnsi="Arial"/>
          <w:b/>
          <w:noProof/>
          <w:sz w:val="24"/>
          <w:lang w:eastAsia="en-US"/>
        </w:rPr>
        <w:t xml:space="preserve"> </w:t>
      </w:r>
      <w:r>
        <w:rPr>
          <w:rFonts w:ascii="Arial" w:hAnsi="Arial"/>
          <w:b/>
          <w:noProof/>
          <w:sz w:val="24"/>
          <w:lang w:eastAsia="en-US"/>
        </w:rPr>
        <w:t>August</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72ECE119"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2150DB">
        <w:rPr>
          <w:rFonts w:cs="Arial"/>
          <w:b/>
          <w:bCs/>
          <w:sz w:val="24"/>
          <w:lang w:val="en-US"/>
        </w:rPr>
        <w:t>7.3.1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2DAFC944"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82166C">
        <w:rPr>
          <w:rFonts w:ascii="Arial" w:hAnsi="Arial" w:cs="Arial"/>
          <w:b/>
          <w:bCs/>
          <w:sz w:val="24"/>
        </w:rPr>
        <w:t xml:space="preserve">On UE CBW </w:t>
      </w:r>
      <w:r w:rsidR="0050659A">
        <w:rPr>
          <w:rFonts w:ascii="Arial" w:hAnsi="Arial" w:cs="Arial"/>
          <w:b/>
          <w:bCs/>
          <w:sz w:val="24"/>
        </w:rPr>
        <w:t>determination for initial B</w:t>
      </w:r>
      <w:r w:rsidR="002C6EC3">
        <w:rPr>
          <w:rFonts w:ascii="Arial" w:hAnsi="Arial" w:cs="Arial"/>
          <w:b/>
          <w:bCs/>
          <w:sz w:val="24"/>
        </w:rPr>
        <w:t>WP</w:t>
      </w:r>
    </w:p>
    <w:p w14:paraId="2C59A04F" w14:textId="1D4752B1"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A609A">
        <w:rPr>
          <w:rFonts w:ascii="Arial" w:hAnsi="Arial" w:cs="Arial"/>
          <w:b/>
          <w:bCs/>
          <w:sz w:val="24"/>
          <w:lang w:eastAsia="zh-CN"/>
        </w:rPr>
        <w:t>discussion</w:t>
      </w:r>
    </w:p>
    <w:p w14:paraId="0567C29B" w14:textId="033F154F" w:rsidR="006D6B31" w:rsidRDefault="00653FF6" w:rsidP="006D6B31">
      <w:pPr>
        <w:pStyle w:val="1"/>
      </w:pPr>
      <w:r>
        <w:rPr>
          <w:rFonts w:hint="eastAsia"/>
        </w:rPr>
        <w:t>1</w:t>
      </w:r>
      <w:r w:rsidR="00687D9A">
        <w:tab/>
      </w:r>
      <w:r w:rsidR="00EE1731">
        <w:t>Introduction</w:t>
      </w:r>
    </w:p>
    <w:p w14:paraId="77D4D9E5" w14:textId="528E5DDD" w:rsidR="006A65ED" w:rsidRDefault="009E40EC" w:rsidP="001420DB">
      <w:r>
        <w:t>Determination of</w:t>
      </w:r>
      <w:r w:rsidR="008B3F9C">
        <w:t xml:space="preserve"> </w:t>
      </w:r>
      <w:r w:rsidR="009B4EE8">
        <w:t xml:space="preserve">UE </w:t>
      </w:r>
      <w:r w:rsidR="00201A99">
        <w:t>CBW</w:t>
      </w:r>
      <w:r w:rsidR="00B2125D">
        <w:t xml:space="preserve"> </w:t>
      </w:r>
      <w:r w:rsidR="00201A99">
        <w:t>(Channel B</w:t>
      </w:r>
      <w:r w:rsidR="006C1761">
        <w:t>andwidth</w:t>
      </w:r>
      <w:r w:rsidR="00A62266">
        <w:t xml:space="preserve"> in RAN4</w:t>
      </w:r>
      <w:r w:rsidR="00201A99">
        <w:t>) in</w:t>
      </w:r>
      <w:r w:rsidR="008B3F9C">
        <w:t xml:space="preserve"> </w:t>
      </w:r>
      <w:proofErr w:type="spellStart"/>
      <w:r w:rsidR="008B3F9C">
        <w:t>RRC_idle</w:t>
      </w:r>
      <w:proofErr w:type="spellEnd"/>
      <w:r w:rsidR="008B3F9C">
        <w:t xml:space="preserve">, typically </w:t>
      </w:r>
      <w:r w:rsidR="007D484F">
        <w:t>needed for</w:t>
      </w:r>
      <w:r w:rsidR="008B3F9C">
        <w:t xml:space="preserve"> </w:t>
      </w:r>
      <w:r w:rsidR="009B4EE8">
        <w:t>Random access</w:t>
      </w:r>
      <w:r w:rsidR="008B3F9C">
        <w:t xml:space="preserve"> MSG1/3</w:t>
      </w:r>
      <w:r w:rsidR="00201A99">
        <w:t xml:space="preserve"> transmission</w:t>
      </w:r>
      <w:r w:rsidR="008B3F9C">
        <w:t xml:space="preserve">, </w:t>
      </w:r>
      <w:r w:rsidR="009B4EE8">
        <w:t xml:space="preserve">still </w:t>
      </w:r>
      <w:r w:rsidR="008B3F9C">
        <w:t xml:space="preserve">seems </w:t>
      </w:r>
      <w:r w:rsidR="009B4EE8">
        <w:t>outstanding</w:t>
      </w:r>
      <w:r w:rsidR="008B3F9C">
        <w:t xml:space="preserve"> </w:t>
      </w:r>
      <w:r w:rsidR="007D484F">
        <w:t>in</w:t>
      </w:r>
      <w:r w:rsidR="008B3F9C">
        <w:t xml:space="preserve"> REL-15</w:t>
      </w:r>
      <w:r w:rsidR="00201A99">
        <w:t xml:space="preserve">. </w:t>
      </w:r>
      <w:r w:rsidR="007D484F">
        <w:t>Without clear definition, regulatory compliance such as SEM/ACLR could be at risk</w:t>
      </w:r>
      <w:r>
        <w:t xml:space="preserve"> in Stand-alone operation</w:t>
      </w:r>
      <w:r w:rsidR="004324AE">
        <w:t xml:space="preserve"> [1]</w:t>
      </w:r>
      <w:r w:rsidR="007D484F">
        <w:t>.</w:t>
      </w:r>
      <w:r w:rsidR="00A24DDF">
        <w:rPr>
          <w:lang w:val="en-US"/>
        </w:rPr>
        <w:t xml:space="preserve"> </w:t>
      </w:r>
      <w:r w:rsidR="00201A99">
        <w:t>Discussion was mainly conducted</w:t>
      </w:r>
      <w:r w:rsidR="009B4EE8">
        <w:t xml:space="preserve"> in RAN2</w:t>
      </w:r>
      <w:r w:rsidR="008B3F9C">
        <w:t xml:space="preserve"> and RAN4 received </w:t>
      </w:r>
      <w:proofErr w:type="gramStart"/>
      <w:r w:rsidR="008B3F9C">
        <w:t>an</w:t>
      </w:r>
      <w:proofErr w:type="gramEnd"/>
      <w:r w:rsidR="008B3F9C">
        <w:t xml:space="preserve"> LS on the subject </w:t>
      </w:r>
      <w:r w:rsidR="000206D0">
        <w:t>[</w:t>
      </w:r>
      <w:r w:rsidR="004324AE">
        <w:t>2</w:t>
      </w:r>
      <w:r w:rsidR="000206D0">
        <w:t>]</w:t>
      </w:r>
      <w:r w:rsidR="008B3F9C">
        <w:t xml:space="preserve">. </w:t>
      </w:r>
      <w:r w:rsidR="007D484F">
        <w:t xml:space="preserve">This paper considers </w:t>
      </w:r>
      <w:r w:rsidR="006D3454">
        <w:t>issue</w:t>
      </w:r>
      <w:r w:rsidR="007D484F">
        <w:t>s raised by RAN2.</w:t>
      </w:r>
    </w:p>
    <w:p w14:paraId="7447F2A3" w14:textId="3CE05053" w:rsidR="00A62266" w:rsidRPr="00B73EFD" w:rsidRDefault="00A62266" w:rsidP="001420DB">
      <w:r>
        <w:rPr>
          <w:rFonts w:hint="eastAsia"/>
        </w:rPr>
        <w:t>A</w:t>
      </w:r>
      <w:r>
        <w:t xml:space="preserve">s RAN2 LS uses </w:t>
      </w:r>
      <w:r w:rsidR="00F4461E">
        <w:t xml:space="preserve">a term </w:t>
      </w:r>
      <w:r>
        <w:t xml:space="preserve">“channel bandwidth” for </w:t>
      </w:r>
      <w:proofErr w:type="spellStart"/>
      <w:r>
        <w:t>carrierBandwidth</w:t>
      </w:r>
      <w:proofErr w:type="spellEnd"/>
      <w:r>
        <w:t xml:space="preserve"> IE</w:t>
      </w:r>
      <w:r w:rsidR="0041215C">
        <w:t xml:space="preserve"> [TS38.331]</w:t>
      </w:r>
      <w:r w:rsidR="002C6EC3">
        <w:t xml:space="preserve">, </w:t>
      </w:r>
      <w:r>
        <w:t>Channel Bandwidth in RAN4 context is expressed as CBW</w:t>
      </w:r>
      <w:r w:rsidR="00F4461E">
        <w:t xml:space="preserve"> in this pape</w:t>
      </w:r>
      <w:r w:rsidR="00FD1BEF">
        <w:t>r.</w:t>
      </w:r>
      <w:r>
        <w:t xml:space="preserve"> </w:t>
      </w:r>
    </w:p>
    <w:p w14:paraId="678A32FC" w14:textId="1D04FD29" w:rsidR="001B771C" w:rsidRPr="001E4E68" w:rsidRDefault="00653FF6" w:rsidP="009F38E6">
      <w:pPr>
        <w:pStyle w:val="1"/>
        <w:rPr>
          <w:lang w:val="en-US" w:eastAsia="ja-JP"/>
        </w:rPr>
      </w:pPr>
      <w:proofErr w:type="gramStart"/>
      <w:r>
        <w:rPr>
          <w:rFonts w:hint="eastAsia"/>
        </w:rPr>
        <w:t>2</w:t>
      </w:r>
      <w:r w:rsidR="001A609A">
        <w:t xml:space="preserve">  </w:t>
      </w:r>
      <w:r w:rsidR="00482C95">
        <w:rPr>
          <w:lang w:val="en-US" w:eastAsia="ja-JP"/>
        </w:rPr>
        <w:t>Summary</w:t>
      </w:r>
      <w:proofErr w:type="gramEnd"/>
      <w:r w:rsidR="00290080">
        <w:rPr>
          <w:rFonts w:hint="eastAsia"/>
          <w:lang w:val="en-US" w:eastAsia="ja-JP"/>
        </w:rPr>
        <w:t xml:space="preserve"> </w:t>
      </w:r>
      <w:r w:rsidR="00290080">
        <w:rPr>
          <w:lang w:val="en-US" w:eastAsia="ja-JP"/>
        </w:rPr>
        <w:t>o</w:t>
      </w:r>
      <w:r w:rsidR="00482C95">
        <w:rPr>
          <w:lang w:val="en-US" w:eastAsia="ja-JP"/>
        </w:rPr>
        <w:t>f</w:t>
      </w:r>
      <w:r w:rsidR="00290080">
        <w:rPr>
          <w:lang w:val="en-US" w:eastAsia="ja-JP"/>
        </w:rPr>
        <w:t xml:space="preserve"> the LS</w:t>
      </w:r>
    </w:p>
    <w:p w14:paraId="6C822B53" w14:textId="5651386D" w:rsidR="0050659A" w:rsidRDefault="0050659A" w:rsidP="009B4EE8">
      <w:r>
        <w:rPr>
          <w:rFonts w:hint="eastAsia"/>
        </w:rPr>
        <w:t>T</w:t>
      </w:r>
      <w:r>
        <w:t>he LS raised three items relevant to bandwidth</w:t>
      </w:r>
      <w:r w:rsidR="00BF680B">
        <w:t>s</w:t>
      </w:r>
      <w:r>
        <w:t xml:space="preserve"> and in RAN2’s understanding</w:t>
      </w:r>
      <w:r w:rsidR="00C42252">
        <w:t xml:space="preserve"> as below.</w:t>
      </w:r>
    </w:p>
    <w:tbl>
      <w:tblPr>
        <w:tblStyle w:val="afd"/>
        <w:tblW w:w="0" w:type="auto"/>
        <w:tblLook w:val="04A0" w:firstRow="1" w:lastRow="0" w:firstColumn="1" w:lastColumn="0" w:noHBand="0" w:noVBand="1"/>
      </w:tblPr>
      <w:tblGrid>
        <w:gridCol w:w="9837"/>
      </w:tblGrid>
      <w:tr w:rsidR="0050659A" w:rsidRPr="00F14DFA" w14:paraId="4BB2122D" w14:textId="77777777" w:rsidTr="005338C8">
        <w:tc>
          <w:tcPr>
            <w:tcW w:w="9837" w:type="dxa"/>
          </w:tcPr>
          <w:p w14:paraId="7D19A7BB" w14:textId="77777777" w:rsidR="0050659A" w:rsidRPr="0050659A" w:rsidRDefault="0050659A" w:rsidP="0050659A">
            <w:pPr>
              <w:keepNext/>
              <w:overflowPunct/>
              <w:autoSpaceDE/>
              <w:autoSpaceDN/>
              <w:adjustRightInd/>
              <w:spacing w:before="240" w:after="0"/>
              <w:textAlignment w:val="auto"/>
              <w:outlineLvl w:val="2"/>
              <w:rPr>
                <w:rFonts w:ascii="Arial" w:eastAsia="游明朝" w:hAnsi="Arial" w:cs="Arial"/>
                <w:b/>
                <w:u w:val="single"/>
                <w:lang w:eastAsia="en-US"/>
              </w:rPr>
            </w:pPr>
            <w:r w:rsidRPr="0050659A">
              <w:rPr>
                <w:rFonts w:ascii="Arial" w:eastAsia="游明朝" w:hAnsi="Arial" w:cs="Arial"/>
                <w:b/>
                <w:u w:val="single"/>
                <w:lang w:eastAsia="en-US"/>
              </w:rPr>
              <w:t>Background and Terminology</w:t>
            </w:r>
          </w:p>
          <w:p w14:paraId="5C44B5C8" w14:textId="77777777" w:rsidR="0050659A" w:rsidRPr="0050659A" w:rsidRDefault="0050659A" w:rsidP="0050659A">
            <w:pPr>
              <w:overflowPunct/>
              <w:autoSpaceDE/>
              <w:autoSpaceDN/>
              <w:adjustRightInd/>
              <w:spacing w:before="120" w:after="0"/>
              <w:textAlignment w:val="auto"/>
              <w:rPr>
                <w:rFonts w:ascii="Arial" w:eastAsia="游明朝" w:hAnsi="Arial" w:cs="Arial"/>
                <w:lang w:eastAsia="en-US"/>
              </w:rPr>
            </w:pPr>
            <w:r w:rsidRPr="0050659A">
              <w:rPr>
                <w:rFonts w:ascii="Arial" w:eastAsia="游明朝" w:hAnsi="Arial" w:cs="Arial"/>
                <w:lang w:eastAsia="en-US"/>
              </w:rPr>
              <w:t xml:space="preserve">For each of its serving cells the UE is configured with parameters defining three </w:t>
            </w:r>
            <w:r w:rsidRPr="0050659A">
              <w:rPr>
                <w:rFonts w:ascii="Arial" w:eastAsia="游明朝" w:hAnsi="Arial" w:cs="Arial"/>
                <w:b/>
                <w:lang w:eastAsia="en-US"/>
              </w:rPr>
              <w:t>types</w:t>
            </w:r>
            <w:r w:rsidRPr="0050659A">
              <w:rPr>
                <w:rFonts w:ascii="Arial" w:eastAsia="游明朝" w:hAnsi="Arial" w:cs="Arial"/>
                <w:lang w:eastAsia="en-US"/>
              </w:rPr>
              <w:t xml:space="preserve"> of bandwidths:</w:t>
            </w:r>
          </w:p>
          <w:p w14:paraId="52FE9571" w14:textId="77777777" w:rsidR="0050659A" w:rsidRPr="0050659A" w:rsidRDefault="0050659A" w:rsidP="0050659A">
            <w:pPr>
              <w:overflowPunct/>
              <w:autoSpaceDE/>
              <w:autoSpaceDN/>
              <w:adjustRightInd/>
              <w:spacing w:before="120" w:after="0"/>
              <w:textAlignment w:val="auto"/>
              <w:rPr>
                <w:rFonts w:ascii="Arial" w:eastAsia="游明朝" w:hAnsi="Arial" w:cs="Arial"/>
                <w:lang w:eastAsia="en-US"/>
              </w:rPr>
            </w:pPr>
            <w:r w:rsidRPr="0050659A">
              <w:rPr>
                <w:rFonts w:ascii="Arial" w:eastAsia="游明朝" w:hAnsi="Arial" w:cs="Arial"/>
                <w:lang w:eastAsia="en-US"/>
              </w:rPr>
              <w:t>1) The “</w:t>
            </w:r>
            <w:r w:rsidRPr="0050659A">
              <w:rPr>
                <w:rFonts w:ascii="Arial" w:eastAsia="游明朝" w:hAnsi="Arial" w:cs="Arial"/>
                <w:b/>
                <w:lang w:eastAsia="en-US"/>
              </w:rPr>
              <w:t>channel bandwidth</w:t>
            </w:r>
            <w:r w:rsidRPr="0050659A">
              <w:rPr>
                <w:rFonts w:ascii="Arial" w:eastAsia="游明朝" w:hAnsi="Arial" w:cs="Arial"/>
                <w:lang w:eastAsia="en-US"/>
              </w:rPr>
              <w:t>”, which is conveyed in SIB1 and can be optionally overridden by dedicated signalling, and is applicable to all BWPs in the serving cell</w:t>
            </w:r>
          </w:p>
          <w:p w14:paraId="0BB7FD73" w14:textId="77777777" w:rsidR="0050659A" w:rsidRPr="0050659A" w:rsidRDefault="0050659A" w:rsidP="0050659A">
            <w:pPr>
              <w:overflowPunct/>
              <w:autoSpaceDE/>
              <w:autoSpaceDN/>
              <w:adjustRightInd/>
              <w:spacing w:before="120" w:after="0"/>
              <w:textAlignment w:val="auto"/>
              <w:rPr>
                <w:rFonts w:ascii="Arial" w:eastAsia="游明朝" w:hAnsi="Arial" w:cs="Arial"/>
                <w:lang w:eastAsia="en-US"/>
              </w:rPr>
            </w:pPr>
            <w:r w:rsidRPr="0050659A">
              <w:rPr>
                <w:rFonts w:ascii="Arial" w:eastAsia="游明朝" w:hAnsi="Arial" w:cs="Arial"/>
                <w:lang w:eastAsia="en-US"/>
              </w:rPr>
              <w:t>2) The “</w:t>
            </w:r>
            <w:r w:rsidRPr="0050659A">
              <w:rPr>
                <w:rFonts w:ascii="Arial" w:eastAsia="游明朝" w:hAnsi="Arial" w:cs="Arial"/>
                <w:b/>
                <w:lang w:eastAsia="en-US"/>
              </w:rPr>
              <w:t>BWP bandwidth</w:t>
            </w:r>
            <w:r w:rsidRPr="0050659A">
              <w:rPr>
                <w:rFonts w:ascii="Arial" w:eastAsia="游明朝" w:hAnsi="Arial" w:cs="Arial"/>
                <w:lang w:eastAsia="en-US"/>
              </w:rPr>
              <w:t>”, which is conveyed in SIB1 for the initial BWP and in dedicated signalling for dedicatedly configured BWPs.</w:t>
            </w:r>
          </w:p>
          <w:p w14:paraId="2C82DFBF" w14:textId="77777777" w:rsidR="0050659A" w:rsidRPr="0050659A" w:rsidRDefault="0050659A" w:rsidP="0050659A">
            <w:pPr>
              <w:overflowPunct/>
              <w:autoSpaceDE/>
              <w:autoSpaceDN/>
              <w:adjustRightInd/>
              <w:spacing w:before="120" w:after="0"/>
              <w:textAlignment w:val="auto"/>
              <w:rPr>
                <w:rFonts w:ascii="Arial" w:eastAsia="游明朝" w:hAnsi="Arial" w:cs="Arial"/>
                <w:lang w:eastAsia="en-US"/>
              </w:rPr>
            </w:pPr>
            <w:r w:rsidRPr="0050659A">
              <w:rPr>
                <w:rFonts w:ascii="Arial" w:eastAsia="游明朝" w:hAnsi="Arial" w:cs="Arial"/>
                <w:lang w:eastAsia="en-US"/>
              </w:rPr>
              <w:t>3) The “</w:t>
            </w:r>
            <w:r w:rsidRPr="0050659A">
              <w:rPr>
                <w:rFonts w:ascii="Arial" w:eastAsia="游明朝" w:hAnsi="Arial" w:cs="Arial"/>
                <w:b/>
                <w:lang w:eastAsia="en-US"/>
              </w:rPr>
              <w:t>CORESET#0 bandwidth</w:t>
            </w:r>
            <w:r w:rsidRPr="0050659A">
              <w:rPr>
                <w:rFonts w:ascii="Arial" w:eastAsia="游明朝" w:hAnsi="Arial" w:cs="Arial"/>
                <w:lang w:eastAsia="en-US"/>
              </w:rPr>
              <w:t>” which is conveyed in MIB</w:t>
            </w:r>
          </w:p>
          <w:p w14:paraId="314553F1" w14:textId="6E6E07D3" w:rsidR="0050659A" w:rsidRPr="0050659A" w:rsidRDefault="0050659A" w:rsidP="0050659A">
            <w:pPr>
              <w:overflowPunct/>
              <w:autoSpaceDE/>
              <w:autoSpaceDN/>
              <w:adjustRightInd/>
              <w:spacing w:before="120" w:after="0"/>
              <w:textAlignment w:val="auto"/>
              <w:rPr>
                <w:rFonts w:ascii="Arial" w:eastAsia="游明朝" w:hAnsi="Arial" w:cs="Arial"/>
                <w:lang w:eastAsia="en-US"/>
              </w:rPr>
            </w:pPr>
            <w:r w:rsidRPr="00290080">
              <w:rPr>
                <w:rFonts w:ascii="Arial" w:eastAsia="游明朝" w:hAnsi="Arial" w:cs="Arial"/>
                <w:lang w:eastAsia="en-US"/>
              </w:rPr>
              <w:t>RAN2 understands that the “channel bandwidth” is used for determining the RF characteristics of transmission and reception of serving cell</w:t>
            </w:r>
            <w:r w:rsidRPr="0050659A">
              <w:rPr>
                <w:rFonts w:ascii="Arial" w:eastAsia="游明朝" w:hAnsi="Arial" w:cs="Arial"/>
                <w:lang w:eastAsia="en-US"/>
              </w:rPr>
              <w:t>, whereas the “BWP bandwidth” is used by the scheduler to determine which PRBs UE uses (e.g. when scheduled) in the active BWP, and the “CORESET#0 bandwidth” is used to denote the CORESET size in MIB.</w:t>
            </w:r>
            <w:r>
              <w:rPr>
                <w:rFonts w:ascii="Arial" w:eastAsia="游明朝" w:hAnsi="Arial" w:cs="Arial"/>
                <w:lang w:eastAsia="en-US"/>
              </w:rPr>
              <w:br/>
            </w:r>
          </w:p>
        </w:tc>
      </w:tr>
    </w:tbl>
    <w:p w14:paraId="40E2DD81" w14:textId="1EA6693B" w:rsidR="0063135C" w:rsidRDefault="0063135C" w:rsidP="009B4EE8"/>
    <w:p w14:paraId="711FBB72" w14:textId="4DEA84AC" w:rsidR="00290080" w:rsidRDefault="00290080" w:rsidP="009B4EE8">
      <w:r>
        <w:rPr>
          <w:rFonts w:hint="eastAsia"/>
        </w:rPr>
        <w:t>A</w:t>
      </w:r>
      <w:r>
        <w:t xml:space="preserve">nd </w:t>
      </w:r>
      <w:r w:rsidR="00E45D34">
        <w:t>RAN2</w:t>
      </w:r>
      <w:r>
        <w:t xml:space="preserve"> agreed: </w:t>
      </w:r>
    </w:p>
    <w:p w14:paraId="38F0A82E" w14:textId="196B9874" w:rsidR="00DD1E19" w:rsidRPr="009B47DD" w:rsidRDefault="00DD1E19" w:rsidP="00DD1E19">
      <w:pPr>
        <w:jc w:val="center"/>
        <w:rPr>
          <w:rFonts w:ascii="Arial" w:hAnsi="Arial" w:cs="Arial"/>
          <w:b/>
          <w:bCs/>
        </w:rPr>
      </w:pPr>
      <w:r w:rsidRPr="009B47DD">
        <w:rPr>
          <w:rFonts w:ascii="Arial" w:hAnsi="Arial" w:cs="Arial"/>
          <w:b/>
          <w:bCs/>
        </w:rPr>
        <w:t>Table. 1 Summary of RAN2 agreements in LS</w:t>
      </w:r>
    </w:p>
    <w:tbl>
      <w:tblPr>
        <w:tblStyle w:val="afd"/>
        <w:tblW w:w="0" w:type="auto"/>
        <w:tblLook w:val="04A0" w:firstRow="1" w:lastRow="0" w:firstColumn="1" w:lastColumn="0" w:noHBand="0" w:noVBand="1"/>
      </w:tblPr>
      <w:tblGrid>
        <w:gridCol w:w="2220"/>
        <w:gridCol w:w="2425"/>
        <w:gridCol w:w="2497"/>
        <w:gridCol w:w="2713"/>
      </w:tblGrid>
      <w:tr w:rsidR="00290080" w14:paraId="262DE815" w14:textId="77777777" w:rsidTr="00290080">
        <w:tc>
          <w:tcPr>
            <w:tcW w:w="2459" w:type="dxa"/>
          </w:tcPr>
          <w:p w14:paraId="0A8BF096" w14:textId="77777777" w:rsidR="00290080" w:rsidRPr="00E45D34" w:rsidRDefault="00290080" w:rsidP="00290080">
            <w:pPr>
              <w:jc w:val="center"/>
              <w:rPr>
                <w:rFonts w:ascii="Arial" w:hAnsi="Arial" w:cs="Arial"/>
                <w:sz w:val="18"/>
                <w:szCs w:val="18"/>
              </w:rPr>
            </w:pPr>
          </w:p>
        </w:tc>
        <w:tc>
          <w:tcPr>
            <w:tcW w:w="2459" w:type="dxa"/>
          </w:tcPr>
          <w:p w14:paraId="35994EAF" w14:textId="4C60FD01" w:rsidR="00290080" w:rsidRPr="00E45D34" w:rsidRDefault="00290080" w:rsidP="00290080">
            <w:pPr>
              <w:jc w:val="center"/>
              <w:rPr>
                <w:rFonts w:ascii="Arial" w:hAnsi="Arial" w:cs="Arial"/>
                <w:sz w:val="18"/>
                <w:szCs w:val="18"/>
              </w:rPr>
            </w:pPr>
            <w:r w:rsidRPr="00E45D34">
              <w:rPr>
                <w:rFonts w:ascii="Arial" w:hAnsi="Arial" w:cs="Arial"/>
                <w:sz w:val="18"/>
                <w:szCs w:val="18"/>
              </w:rPr>
              <w:t>Channel bandwidth</w:t>
            </w:r>
            <w:r w:rsidR="00B111CA">
              <w:rPr>
                <w:rFonts w:ascii="Arial" w:hAnsi="Arial" w:cs="Arial"/>
                <w:sz w:val="18"/>
                <w:szCs w:val="18"/>
              </w:rPr>
              <w:br/>
              <w:t>(</w:t>
            </w:r>
            <w:proofErr w:type="spellStart"/>
            <w:r w:rsidR="00B111CA" w:rsidRPr="00B111CA">
              <w:rPr>
                <w:rFonts w:ascii="Courier" w:hAnsi="Courier" w:cs="Arial"/>
              </w:rPr>
              <w:t>carrierBandwidth</w:t>
            </w:r>
            <w:proofErr w:type="spellEnd"/>
            <w:r w:rsidR="00B111CA">
              <w:rPr>
                <w:rFonts w:ascii="Arial" w:hAnsi="Arial" w:cs="Arial"/>
                <w:sz w:val="18"/>
                <w:szCs w:val="18"/>
              </w:rPr>
              <w:t>)</w:t>
            </w:r>
          </w:p>
        </w:tc>
        <w:tc>
          <w:tcPr>
            <w:tcW w:w="2459" w:type="dxa"/>
          </w:tcPr>
          <w:p w14:paraId="556C5F26" w14:textId="75B585CA" w:rsidR="00290080" w:rsidRPr="00E45D34" w:rsidRDefault="00290080" w:rsidP="00290080">
            <w:pPr>
              <w:jc w:val="center"/>
              <w:rPr>
                <w:rFonts w:ascii="Arial" w:hAnsi="Arial" w:cs="Arial"/>
                <w:sz w:val="18"/>
                <w:szCs w:val="18"/>
              </w:rPr>
            </w:pPr>
            <w:r w:rsidRPr="00E45D34">
              <w:rPr>
                <w:rFonts w:ascii="Arial" w:hAnsi="Arial" w:cs="Arial"/>
                <w:sz w:val="18"/>
                <w:szCs w:val="18"/>
              </w:rPr>
              <w:t>Initial BWP Bandwidth</w:t>
            </w:r>
            <w:r w:rsidR="00B111CA">
              <w:rPr>
                <w:rFonts w:ascii="Arial" w:hAnsi="Arial" w:cs="Arial"/>
                <w:sz w:val="18"/>
                <w:szCs w:val="18"/>
              </w:rPr>
              <w:br/>
              <w:t>(</w:t>
            </w:r>
            <w:proofErr w:type="spellStart"/>
            <w:r w:rsidR="00B111CA" w:rsidRPr="00B111CA">
              <w:rPr>
                <w:rFonts w:ascii="Courier" w:hAnsi="Courier" w:cs="Arial"/>
                <w:sz w:val="18"/>
                <w:szCs w:val="18"/>
              </w:rPr>
              <w:t>locationAndBandwidth</w:t>
            </w:r>
            <w:proofErr w:type="spellEnd"/>
            <w:r w:rsidR="00B111CA">
              <w:rPr>
                <w:rFonts w:ascii="Arial" w:hAnsi="Arial" w:cs="Arial"/>
                <w:sz w:val="18"/>
                <w:szCs w:val="18"/>
              </w:rPr>
              <w:t>)</w:t>
            </w:r>
            <w:r w:rsidR="00B111CA">
              <w:rPr>
                <w:rFonts w:ascii="Arial" w:hAnsi="Arial" w:cs="Arial"/>
                <w:sz w:val="18"/>
                <w:szCs w:val="18"/>
              </w:rPr>
              <w:br/>
            </w:r>
          </w:p>
        </w:tc>
        <w:tc>
          <w:tcPr>
            <w:tcW w:w="2460" w:type="dxa"/>
          </w:tcPr>
          <w:p w14:paraId="398B0AE6" w14:textId="2373DD9A" w:rsidR="00290080" w:rsidRPr="00E45D34" w:rsidRDefault="00290080" w:rsidP="00290080">
            <w:pPr>
              <w:jc w:val="center"/>
              <w:rPr>
                <w:rFonts w:ascii="Arial" w:hAnsi="Arial" w:cs="Arial"/>
                <w:sz w:val="18"/>
                <w:szCs w:val="18"/>
              </w:rPr>
            </w:pPr>
            <w:r w:rsidRPr="00E45D34">
              <w:rPr>
                <w:rFonts w:ascii="Arial" w:hAnsi="Arial" w:cs="Arial"/>
                <w:sz w:val="18"/>
                <w:szCs w:val="18"/>
              </w:rPr>
              <w:t>CORESET#0 Bandwidth</w:t>
            </w:r>
            <w:r w:rsidR="00B111CA">
              <w:rPr>
                <w:rFonts w:ascii="Arial" w:hAnsi="Arial" w:cs="Arial"/>
                <w:sz w:val="18"/>
                <w:szCs w:val="18"/>
              </w:rPr>
              <w:br/>
              <w:t>(</w:t>
            </w:r>
            <w:proofErr w:type="spellStart"/>
            <w:r w:rsidR="00B111CA" w:rsidRPr="00B111CA">
              <w:rPr>
                <w:rFonts w:ascii="Courier" w:hAnsi="Courier" w:cs="Arial"/>
                <w:sz w:val="18"/>
                <w:szCs w:val="18"/>
              </w:rPr>
              <w:t>ControlResourceSetZero</w:t>
            </w:r>
            <w:proofErr w:type="spellEnd"/>
            <w:r w:rsidR="00B111CA">
              <w:rPr>
                <w:rFonts w:ascii="Arial" w:hAnsi="Arial" w:cs="Arial"/>
                <w:sz w:val="18"/>
                <w:szCs w:val="18"/>
              </w:rPr>
              <w:t>)</w:t>
            </w:r>
          </w:p>
        </w:tc>
      </w:tr>
      <w:tr w:rsidR="00290080" w:rsidRPr="006C1761" w14:paraId="53F8FEA3" w14:textId="77777777" w:rsidTr="00290080">
        <w:tc>
          <w:tcPr>
            <w:tcW w:w="2459" w:type="dxa"/>
          </w:tcPr>
          <w:p w14:paraId="4A2D2EE4" w14:textId="125D7A5E" w:rsidR="00290080" w:rsidRPr="00E45D34" w:rsidRDefault="00290080" w:rsidP="009B4EE8">
            <w:pPr>
              <w:rPr>
                <w:rFonts w:ascii="Arial" w:hAnsi="Arial" w:cs="Arial"/>
                <w:sz w:val="18"/>
                <w:szCs w:val="18"/>
              </w:rPr>
            </w:pPr>
            <w:r w:rsidRPr="00E45D34">
              <w:rPr>
                <w:rFonts w:ascii="Arial" w:hAnsi="Arial" w:cs="Arial"/>
                <w:sz w:val="18"/>
                <w:szCs w:val="18"/>
              </w:rPr>
              <w:t xml:space="preserve">UE to verify </w:t>
            </w:r>
            <w:r w:rsidR="00E45D34">
              <w:rPr>
                <w:rFonts w:ascii="Arial" w:hAnsi="Arial" w:cs="Arial"/>
                <w:sz w:val="18"/>
                <w:szCs w:val="18"/>
              </w:rPr>
              <w:t>when</w:t>
            </w:r>
            <w:r w:rsidRPr="00E45D34">
              <w:rPr>
                <w:rFonts w:ascii="Arial" w:hAnsi="Arial" w:cs="Arial"/>
                <w:sz w:val="18"/>
                <w:szCs w:val="18"/>
              </w:rPr>
              <w:t xml:space="preserve"> </w:t>
            </w:r>
            <w:r w:rsidRPr="00E45D34">
              <w:rPr>
                <w:rFonts w:ascii="Arial" w:hAnsi="Arial" w:cs="Arial"/>
                <w:sz w:val="18"/>
                <w:szCs w:val="18"/>
              </w:rPr>
              <w:br/>
              <w:t>camp</w:t>
            </w:r>
            <w:r w:rsidR="009D1693">
              <w:rPr>
                <w:rFonts w:ascii="Arial" w:hAnsi="Arial" w:cs="Arial"/>
                <w:sz w:val="18"/>
                <w:szCs w:val="18"/>
              </w:rPr>
              <w:t>ing</w:t>
            </w:r>
            <w:r w:rsidRPr="00E45D34">
              <w:rPr>
                <w:rFonts w:ascii="Arial" w:hAnsi="Arial" w:cs="Arial"/>
                <w:sz w:val="18"/>
                <w:szCs w:val="18"/>
              </w:rPr>
              <w:t xml:space="preserve"> on?</w:t>
            </w:r>
          </w:p>
        </w:tc>
        <w:tc>
          <w:tcPr>
            <w:tcW w:w="2459" w:type="dxa"/>
          </w:tcPr>
          <w:p w14:paraId="426CC2AF" w14:textId="25E84090" w:rsidR="00290080" w:rsidRPr="00E45D34" w:rsidRDefault="00290080" w:rsidP="00290080">
            <w:pPr>
              <w:jc w:val="center"/>
              <w:rPr>
                <w:rFonts w:ascii="Arial" w:hAnsi="Arial" w:cs="Arial"/>
                <w:sz w:val="18"/>
                <w:szCs w:val="18"/>
              </w:rPr>
            </w:pPr>
            <w:r w:rsidRPr="00E45D34">
              <w:rPr>
                <w:rFonts w:ascii="Arial" w:hAnsi="Arial" w:cs="Arial"/>
                <w:sz w:val="18"/>
                <w:szCs w:val="18"/>
              </w:rPr>
              <w:t>N</w:t>
            </w:r>
          </w:p>
        </w:tc>
        <w:tc>
          <w:tcPr>
            <w:tcW w:w="2459" w:type="dxa"/>
          </w:tcPr>
          <w:p w14:paraId="617595F4" w14:textId="5A019B32" w:rsidR="00290080" w:rsidRPr="00E45D34" w:rsidRDefault="00290080" w:rsidP="00290080">
            <w:pPr>
              <w:jc w:val="center"/>
              <w:rPr>
                <w:rFonts w:ascii="Arial" w:hAnsi="Arial" w:cs="Arial"/>
                <w:sz w:val="18"/>
                <w:szCs w:val="18"/>
              </w:rPr>
            </w:pPr>
            <w:r w:rsidRPr="00E45D34">
              <w:rPr>
                <w:rFonts w:ascii="Arial" w:hAnsi="Arial" w:cs="Arial"/>
                <w:sz w:val="18"/>
                <w:szCs w:val="18"/>
              </w:rPr>
              <w:t>Y</w:t>
            </w:r>
          </w:p>
        </w:tc>
        <w:tc>
          <w:tcPr>
            <w:tcW w:w="2460" w:type="dxa"/>
          </w:tcPr>
          <w:p w14:paraId="77069E6F" w14:textId="70CB821A" w:rsidR="00290080" w:rsidRPr="00E45D34" w:rsidRDefault="00290080" w:rsidP="00290080">
            <w:pPr>
              <w:jc w:val="center"/>
              <w:rPr>
                <w:rFonts w:ascii="Arial" w:hAnsi="Arial" w:cs="Arial"/>
                <w:sz w:val="18"/>
                <w:szCs w:val="18"/>
              </w:rPr>
            </w:pPr>
            <w:r w:rsidRPr="00E45D34">
              <w:rPr>
                <w:rFonts w:ascii="Arial" w:hAnsi="Arial" w:cs="Arial"/>
                <w:sz w:val="18"/>
                <w:szCs w:val="18"/>
              </w:rPr>
              <w:t>N (all the values</w:t>
            </w:r>
            <w:r w:rsidR="00E45D34">
              <w:rPr>
                <w:rFonts w:ascii="Arial" w:hAnsi="Arial" w:cs="Arial"/>
                <w:sz w:val="18"/>
                <w:szCs w:val="18"/>
              </w:rPr>
              <w:t xml:space="preserve"> </w:t>
            </w:r>
            <w:r w:rsidR="009D1693">
              <w:rPr>
                <w:rFonts w:ascii="Arial" w:hAnsi="Arial" w:cs="Arial"/>
                <w:sz w:val="18"/>
                <w:szCs w:val="18"/>
              </w:rPr>
              <w:t>are</w:t>
            </w:r>
            <w:r w:rsidR="00E45D34">
              <w:rPr>
                <w:rFonts w:ascii="Arial" w:hAnsi="Arial" w:cs="Arial"/>
                <w:sz w:val="18"/>
                <w:szCs w:val="18"/>
              </w:rPr>
              <w:t xml:space="preserve"> supported in UE</w:t>
            </w:r>
            <w:r w:rsidR="006C1761">
              <w:rPr>
                <w:rFonts w:ascii="Arial" w:hAnsi="Arial" w:cs="Arial"/>
                <w:sz w:val="18"/>
                <w:szCs w:val="18"/>
              </w:rPr>
              <w:t xml:space="preserve"> as below</w:t>
            </w:r>
            <w:r w:rsidRPr="00E45D34">
              <w:rPr>
                <w:rFonts w:ascii="Arial" w:hAnsi="Arial" w:cs="Arial"/>
                <w:sz w:val="18"/>
                <w:szCs w:val="18"/>
              </w:rPr>
              <w:t>)</w:t>
            </w:r>
          </w:p>
        </w:tc>
      </w:tr>
      <w:tr w:rsidR="00290080" w:rsidRPr="001D6D00" w14:paraId="41D455B4" w14:textId="77777777" w:rsidTr="00290080">
        <w:tc>
          <w:tcPr>
            <w:tcW w:w="2459" w:type="dxa"/>
          </w:tcPr>
          <w:p w14:paraId="124D85DD" w14:textId="59D670A6" w:rsidR="00290080" w:rsidRPr="00E45D34" w:rsidRDefault="00290080" w:rsidP="009B4EE8">
            <w:pPr>
              <w:rPr>
                <w:rFonts w:ascii="Arial" w:hAnsi="Arial" w:cs="Arial"/>
                <w:sz w:val="18"/>
                <w:szCs w:val="18"/>
              </w:rPr>
            </w:pPr>
            <w:r w:rsidRPr="00E45D34">
              <w:rPr>
                <w:rFonts w:ascii="Arial" w:hAnsi="Arial" w:cs="Arial"/>
                <w:sz w:val="18"/>
                <w:szCs w:val="18"/>
              </w:rPr>
              <w:t>Supported values</w:t>
            </w:r>
            <w:r w:rsidR="00E45D34">
              <w:rPr>
                <w:rFonts w:ascii="Arial" w:hAnsi="Arial" w:cs="Arial"/>
                <w:sz w:val="18"/>
                <w:szCs w:val="18"/>
              </w:rPr>
              <w:t xml:space="preserve"> (both UL/DL</w:t>
            </w:r>
            <w:proofErr w:type="gramStart"/>
            <w:r w:rsidR="00E45D34">
              <w:rPr>
                <w:rFonts w:ascii="Arial" w:hAnsi="Arial" w:cs="Arial"/>
                <w:sz w:val="18"/>
                <w:szCs w:val="18"/>
              </w:rPr>
              <w:t>)</w:t>
            </w:r>
            <w:r w:rsidR="00F51755">
              <w:rPr>
                <w:rFonts w:ascii="Arial" w:hAnsi="Arial" w:cs="Arial"/>
                <w:sz w:val="18"/>
                <w:szCs w:val="18"/>
              </w:rPr>
              <w:t xml:space="preserve"> :</w:t>
            </w:r>
            <w:proofErr w:type="gramEnd"/>
            <w:r w:rsidR="00F51755">
              <w:rPr>
                <w:rFonts w:ascii="Arial" w:hAnsi="Arial" w:cs="Arial"/>
                <w:sz w:val="18"/>
                <w:szCs w:val="18"/>
              </w:rPr>
              <w:t xml:space="preserve"> Unit in [RB]</w:t>
            </w:r>
          </w:p>
        </w:tc>
        <w:tc>
          <w:tcPr>
            <w:tcW w:w="2459" w:type="dxa"/>
          </w:tcPr>
          <w:p w14:paraId="4315302C" w14:textId="4E6ED04B" w:rsidR="00290080" w:rsidRPr="00E45D34" w:rsidRDefault="00E601D8" w:rsidP="00E45D34">
            <w:pPr>
              <w:jc w:val="center"/>
              <w:rPr>
                <w:rFonts w:ascii="Arial" w:hAnsi="Arial" w:cs="Arial"/>
                <w:sz w:val="18"/>
                <w:szCs w:val="18"/>
              </w:rPr>
            </w:pPr>
            <w:r>
              <w:rPr>
                <w:rFonts w:ascii="Arial" w:hAnsi="Arial" w:cs="Arial" w:hint="eastAsia"/>
                <w:sz w:val="18"/>
                <w:szCs w:val="18"/>
              </w:rPr>
              <w:t>N</w:t>
            </w:r>
            <w:r w:rsidR="0015211A">
              <w:rPr>
                <w:rFonts w:ascii="Arial" w:hAnsi="Arial" w:cs="Arial"/>
                <w:sz w:val="18"/>
                <w:szCs w:val="18"/>
              </w:rPr>
              <w:t>o agreement mentioned</w:t>
            </w:r>
          </w:p>
        </w:tc>
        <w:tc>
          <w:tcPr>
            <w:tcW w:w="2459" w:type="dxa"/>
          </w:tcPr>
          <w:p w14:paraId="1EE5ED5D" w14:textId="5535D724" w:rsidR="00290080" w:rsidRPr="00E45D34" w:rsidRDefault="00E45D34" w:rsidP="00E45D34">
            <w:pPr>
              <w:rPr>
                <w:rFonts w:ascii="Arial" w:hAnsi="Arial" w:cs="Arial"/>
                <w:sz w:val="18"/>
                <w:szCs w:val="18"/>
              </w:rPr>
            </w:pPr>
            <w:r>
              <w:rPr>
                <w:rFonts w:ascii="Arial" w:hAnsi="Arial" w:cs="Arial"/>
                <w:sz w:val="18"/>
                <w:szCs w:val="18"/>
              </w:rPr>
              <w:t xml:space="preserve">&gt; </w:t>
            </w:r>
            <w:r w:rsidR="00290080" w:rsidRPr="00E45D34">
              <w:rPr>
                <w:rFonts w:ascii="Arial" w:hAnsi="Arial" w:cs="Arial"/>
                <w:sz w:val="18"/>
                <w:szCs w:val="18"/>
              </w:rPr>
              <w:t xml:space="preserve">CORESET#0 values, </w:t>
            </w:r>
            <w:r w:rsidR="00290080" w:rsidRPr="00E45D34">
              <w:rPr>
                <w:rFonts w:ascii="Arial" w:hAnsi="Arial" w:cs="Arial"/>
                <w:sz w:val="18"/>
                <w:szCs w:val="18"/>
              </w:rPr>
              <w:br/>
            </w:r>
            <w:r>
              <w:rPr>
                <w:rFonts w:ascii="Arial" w:hAnsi="Arial" w:cs="Arial"/>
                <w:sz w:val="18"/>
                <w:szCs w:val="18"/>
              </w:rPr>
              <w:t xml:space="preserve">&gt; </w:t>
            </w:r>
            <w:r w:rsidR="00290080" w:rsidRPr="00E45D34">
              <w:rPr>
                <w:rFonts w:ascii="Arial" w:hAnsi="Arial" w:cs="Arial"/>
                <w:sz w:val="18"/>
                <w:szCs w:val="18"/>
              </w:rPr>
              <w:t>Value corresponding to CBW</w:t>
            </w:r>
            <w:r>
              <w:rPr>
                <w:rFonts w:ascii="Arial" w:hAnsi="Arial" w:cs="Arial"/>
                <w:sz w:val="18"/>
                <w:szCs w:val="18"/>
              </w:rPr>
              <w:t xml:space="preserve"> </w:t>
            </w:r>
            <w:r w:rsidR="001C6D2C">
              <w:rPr>
                <w:rFonts w:ascii="Arial" w:hAnsi="Arial" w:cs="Arial"/>
                <w:sz w:val="18"/>
                <w:szCs w:val="18"/>
              </w:rPr>
              <w:t xml:space="preserve">defined </w:t>
            </w:r>
            <w:r>
              <w:rPr>
                <w:rFonts w:ascii="Arial" w:hAnsi="Arial" w:cs="Arial"/>
                <w:sz w:val="18"/>
                <w:szCs w:val="18"/>
              </w:rPr>
              <w:t xml:space="preserve">for </w:t>
            </w:r>
            <w:r w:rsidR="009D1693">
              <w:rPr>
                <w:rFonts w:ascii="Arial" w:hAnsi="Arial" w:cs="Arial"/>
                <w:sz w:val="18"/>
                <w:szCs w:val="18"/>
              </w:rPr>
              <w:t>the</w:t>
            </w:r>
            <w:r>
              <w:rPr>
                <w:rFonts w:ascii="Arial" w:hAnsi="Arial" w:cs="Arial"/>
                <w:sz w:val="18"/>
                <w:szCs w:val="18"/>
              </w:rPr>
              <w:t xml:space="preserve"> band</w:t>
            </w:r>
            <w:r>
              <w:rPr>
                <w:rFonts w:ascii="Arial" w:hAnsi="Arial" w:cs="Arial"/>
                <w:sz w:val="18"/>
                <w:szCs w:val="18"/>
              </w:rPr>
              <w:br/>
              <w:t xml:space="preserve">&gt; Value corresponding to CBW </w:t>
            </w:r>
            <w:r w:rsidR="001C6D2C">
              <w:rPr>
                <w:rFonts w:ascii="Arial" w:hAnsi="Arial" w:cs="Arial"/>
                <w:sz w:val="18"/>
                <w:szCs w:val="18"/>
              </w:rPr>
              <w:t xml:space="preserve">that </w:t>
            </w:r>
            <w:r>
              <w:rPr>
                <w:rFonts w:ascii="Arial" w:hAnsi="Arial" w:cs="Arial"/>
                <w:sz w:val="18"/>
                <w:szCs w:val="18"/>
              </w:rPr>
              <w:t xml:space="preserve">UE supports </w:t>
            </w:r>
            <w:r w:rsidR="001C6D2C">
              <w:rPr>
                <w:rFonts w:ascii="Arial" w:hAnsi="Arial" w:cs="Arial"/>
                <w:sz w:val="18"/>
                <w:szCs w:val="18"/>
              </w:rPr>
              <w:t xml:space="preserve">with </w:t>
            </w:r>
            <w:r>
              <w:rPr>
                <w:rFonts w:ascii="Arial" w:hAnsi="Arial" w:cs="Arial"/>
                <w:sz w:val="18"/>
                <w:szCs w:val="18"/>
              </w:rPr>
              <w:t>capability</w:t>
            </w:r>
            <w:r>
              <w:rPr>
                <w:rFonts w:ascii="Arial" w:hAnsi="Arial" w:cs="Arial"/>
                <w:sz w:val="18"/>
                <w:szCs w:val="18"/>
              </w:rPr>
              <w:br/>
            </w:r>
            <w:r w:rsidR="00290080" w:rsidRPr="00E45D34">
              <w:rPr>
                <w:rFonts w:ascii="Arial" w:hAnsi="Arial" w:cs="Arial"/>
                <w:sz w:val="18"/>
                <w:szCs w:val="18"/>
              </w:rPr>
              <w:br/>
            </w:r>
            <w:r w:rsidR="00290080" w:rsidRPr="00A62266">
              <w:rPr>
                <w:rFonts w:ascii="Arial" w:hAnsi="Arial" w:cs="Arial"/>
                <w:b/>
                <w:bCs/>
                <w:sz w:val="18"/>
                <w:szCs w:val="18"/>
                <w:highlight w:val="yellow"/>
              </w:rPr>
              <w:lastRenderedPageBreak/>
              <w:t>Q1</w:t>
            </w:r>
            <w:r w:rsidR="009D1693" w:rsidRPr="00A62266">
              <w:rPr>
                <w:rFonts w:ascii="Arial" w:hAnsi="Arial" w:cs="Arial"/>
                <w:b/>
                <w:bCs/>
                <w:sz w:val="18"/>
                <w:szCs w:val="18"/>
                <w:highlight w:val="yellow"/>
              </w:rPr>
              <w:t>)</w:t>
            </w:r>
            <w:r w:rsidR="009D1693" w:rsidRPr="00A62266">
              <w:rPr>
                <w:rFonts w:ascii="Arial" w:hAnsi="Arial" w:cs="Arial"/>
                <w:b/>
                <w:bCs/>
                <w:sz w:val="18"/>
                <w:szCs w:val="18"/>
              </w:rPr>
              <w:t xml:space="preserve"> </w:t>
            </w:r>
            <w:r w:rsidR="001C6D2C" w:rsidRPr="00A62266">
              <w:rPr>
                <w:rFonts w:ascii="Arial" w:hAnsi="Arial" w:cs="Arial"/>
                <w:b/>
                <w:bCs/>
                <w:sz w:val="18"/>
                <w:szCs w:val="18"/>
              </w:rPr>
              <w:t>support of values</w:t>
            </w:r>
            <w:r w:rsidR="00E601D8" w:rsidRPr="00A62266">
              <w:rPr>
                <w:rFonts w:ascii="Arial" w:hAnsi="Arial" w:cs="Arial"/>
                <w:b/>
                <w:bCs/>
                <w:sz w:val="18"/>
                <w:szCs w:val="18"/>
              </w:rPr>
              <w:t xml:space="preserve"> </w:t>
            </w:r>
            <w:r w:rsidR="001C6D2C" w:rsidRPr="00A62266">
              <w:rPr>
                <w:rFonts w:ascii="Arial" w:hAnsi="Arial" w:cs="Arial"/>
                <w:b/>
                <w:bCs/>
                <w:sz w:val="18"/>
                <w:szCs w:val="18"/>
              </w:rPr>
              <w:t xml:space="preserve">lower than CBW </w:t>
            </w:r>
            <w:r w:rsidR="00845FF2" w:rsidRPr="00A62266">
              <w:rPr>
                <w:rFonts w:ascii="Arial" w:hAnsi="Arial" w:cs="Arial"/>
                <w:b/>
                <w:bCs/>
                <w:sz w:val="18"/>
                <w:szCs w:val="18"/>
              </w:rPr>
              <w:t>needed?</w:t>
            </w:r>
          </w:p>
        </w:tc>
        <w:tc>
          <w:tcPr>
            <w:tcW w:w="2460" w:type="dxa"/>
          </w:tcPr>
          <w:p w14:paraId="75CFD968" w14:textId="6584979F" w:rsidR="00290080" w:rsidRPr="00E45D34" w:rsidRDefault="00E45D34" w:rsidP="009B4EE8">
            <w:pPr>
              <w:rPr>
                <w:rFonts w:ascii="Arial" w:hAnsi="Arial" w:cs="Arial"/>
                <w:sz w:val="18"/>
                <w:szCs w:val="18"/>
              </w:rPr>
            </w:pPr>
            <w:r>
              <w:rPr>
                <w:rFonts w:ascii="Arial" w:hAnsi="Arial" w:cs="Arial" w:hint="eastAsia"/>
                <w:sz w:val="18"/>
                <w:szCs w:val="18"/>
              </w:rPr>
              <w:lastRenderedPageBreak/>
              <w:t>&gt;</w:t>
            </w:r>
            <w:r>
              <w:rPr>
                <w:rFonts w:ascii="Arial" w:hAnsi="Arial" w:cs="Arial"/>
                <w:sz w:val="18"/>
                <w:szCs w:val="18"/>
              </w:rPr>
              <w:t xml:space="preserve"> All the values</w:t>
            </w:r>
            <w:r w:rsidR="008E5D7A">
              <w:rPr>
                <w:rFonts w:ascii="Arial" w:hAnsi="Arial" w:cs="Arial"/>
                <w:sz w:val="18"/>
                <w:szCs w:val="18"/>
              </w:rPr>
              <w:t xml:space="preserve"> </w:t>
            </w:r>
            <w:r w:rsidR="009D1693">
              <w:rPr>
                <w:rFonts w:ascii="Arial" w:hAnsi="Arial" w:cs="Arial"/>
                <w:sz w:val="18"/>
                <w:szCs w:val="18"/>
              </w:rPr>
              <w:t xml:space="preserve">supported </w:t>
            </w:r>
            <w:r w:rsidR="009E40EC">
              <w:rPr>
                <w:rFonts w:ascii="Arial" w:hAnsi="Arial" w:cs="Arial"/>
                <w:sz w:val="18"/>
                <w:szCs w:val="18"/>
              </w:rPr>
              <w:br/>
            </w:r>
            <w:r w:rsidR="008E5D7A">
              <w:rPr>
                <w:rFonts w:ascii="Arial" w:hAnsi="Arial" w:cs="Arial"/>
                <w:sz w:val="18"/>
                <w:szCs w:val="18"/>
              </w:rPr>
              <w:t>[</w:t>
            </w:r>
            <w:r w:rsidR="00F51755">
              <w:rPr>
                <w:rFonts w:ascii="Arial" w:hAnsi="Arial" w:cs="Arial"/>
                <w:sz w:val="18"/>
                <w:szCs w:val="18"/>
              </w:rPr>
              <w:t xml:space="preserve">sec 13, </w:t>
            </w:r>
            <w:r w:rsidR="008E5D7A">
              <w:rPr>
                <w:rFonts w:ascii="Arial" w:hAnsi="Arial" w:cs="Arial"/>
                <w:sz w:val="18"/>
                <w:szCs w:val="18"/>
              </w:rPr>
              <w:t>38.213]</w:t>
            </w:r>
            <w:r>
              <w:rPr>
                <w:rFonts w:ascii="Arial" w:hAnsi="Arial" w:cs="Arial"/>
                <w:sz w:val="18"/>
                <w:szCs w:val="18"/>
              </w:rPr>
              <w:t>: {24, 48, 96}</w:t>
            </w:r>
          </w:p>
        </w:tc>
      </w:tr>
    </w:tbl>
    <w:p w14:paraId="733A91DE" w14:textId="31BA3D7C" w:rsidR="00290080" w:rsidRPr="008E5D7A" w:rsidRDefault="00290080" w:rsidP="00DD1E19">
      <w:pPr>
        <w:jc w:val="center"/>
        <w:rPr>
          <w:lang w:val="en-US"/>
        </w:rPr>
      </w:pPr>
    </w:p>
    <w:p w14:paraId="50D59CAE" w14:textId="14120CC2" w:rsidR="00E601D8" w:rsidRDefault="00E601D8" w:rsidP="009B4EE8">
      <w:r>
        <w:rPr>
          <w:rFonts w:hint="eastAsia"/>
        </w:rPr>
        <w:t>I</w:t>
      </w:r>
      <w:r>
        <w:t xml:space="preserve">n addition, under the </w:t>
      </w:r>
      <w:r w:rsidR="009D1693">
        <w:t>section</w:t>
      </w:r>
      <w:r>
        <w:t xml:space="preserve"> of “</w:t>
      </w:r>
      <w:r w:rsidRPr="00E601D8">
        <w:t>Configuring the Channel Bandwidth</w:t>
      </w:r>
      <w:r>
        <w:t xml:space="preserve">”, </w:t>
      </w:r>
      <w:r w:rsidR="008E5D7A">
        <w:t>with the understa</w:t>
      </w:r>
      <w:r w:rsidR="009D1693">
        <w:t>nd</w:t>
      </w:r>
      <w:r w:rsidR="00EA2758">
        <w:t>i</w:t>
      </w:r>
      <w:r w:rsidR="008E5D7A">
        <w:t>ng that “</w:t>
      </w:r>
      <w:r w:rsidR="008E5D7A" w:rsidRPr="00A17229">
        <w:t>this still doesn’t solve the question of which channel bandwidth would such a UE use for initial access before network is able to indicate a UE-specific channel bandwidth via dedicated signalling</w:t>
      </w:r>
      <w:r w:rsidR="008E5D7A">
        <w:t>”</w:t>
      </w:r>
      <w:r w:rsidR="008E5D7A">
        <w:rPr>
          <w:rFonts w:hint="eastAsia"/>
        </w:rPr>
        <w:t>,</w:t>
      </w:r>
      <w:r w:rsidR="008E5D7A">
        <w:t xml:space="preserve"> </w:t>
      </w:r>
      <w:r>
        <w:t>there</w:t>
      </w:r>
      <w:r w:rsidR="001D6D00">
        <w:rPr>
          <w:lang w:val="en-US"/>
        </w:rPr>
        <w:t xml:space="preserve"> are</w:t>
      </w:r>
      <w:r w:rsidR="008E5D7A">
        <w:rPr>
          <w:rFonts w:hint="eastAsia"/>
          <w:lang w:eastAsia="ja-JP"/>
        </w:rPr>
        <w:t xml:space="preserve"> </w:t>
      </w:r>
      <w:r>
        <w:t>question</w:t>
      </w:r>
      <w:r w:rsidR="008E5D7A">
        <w:t>/comment</w:t>
      </w:r>
      <w:r>
        <w:t xml:space="preserve"> on RAN4 status of UE CBW determination while UE remains in </w:t>
      </w:r>
      <w:proofErr w:type="spellStart"/>
      <w:r>
        <w:t>RRC_idle</w:t>
      </w:r>
      <w:proofErr w:type="spellEnd"/>
      <w:r>
        <w:t>:</w:t>
      </w:r>
    </w:p>
    <w:p w14:paraId="6797E927" w14:textId="140CEF33" w:rsidR="00E601D8" w:rsidRPr="00A62266" w:rsidRDefault="00E601D8" w:rsidP="00E601D8">
      <w:pPr>
        <w:pStyle w:val="af9"/>
        <w:rPr>
          <w:b/>
          <w:bCs/>
        </w:rPr>
      </w:pPr>
      <w:r w:rsidRPr="00A62266">
        <w:rPr>
          <w:b/>
          <w:bCs/>
          <w:highlight w:val="yellow"/>
        </w:rPr>
        <w:t>Q2</w:t>
      </w:r>
      <w:r w:rsidRPr="00A62266">
        <w:rPr>
          <w:rFonts w:hint="eastAsia"/>
          <w:b/>
          <w:bCs/>
          <w:highlight w:val="yellow"/>
        </w:rPr>
        <w:t>)</w:t>
      </w:r>
      <w:r w:rsidRPr="00A62266">
        <w:rPr>
          <w:rFonts w:hint="eastAsia"/>
          <w:b/>
          <w:bCs/>
        </w:rPr>
        <w:t xml:space="preserve"> </w:t>
      </w:r>
      <w:r w:rsidRPr="00A62266">
        <w:rPr>
          <w:b/>
          <w:bCs/>
        </w:rPr>
        <w:t xml:space="preserve">Did RAN4 specify how a UE not supporting the channel bandwidth indicated in SIB1 behaves during that time span? Or what happens if such a UE is never provided with the dedicated channel bandwidth? </w:t>
      </w:r>
    </w:p>
    <w:p w14:paraId="744882B5" w14:textId="6F353046" w:rsidR="00E601D8" w:rsidRPr="00A62266" w:rsidRDefault="008E5D7A" w:rsidP="00E601D8">
      <w:pPr>
        <w:pStyle w:val="af9"/>
        <w:rPr>
          <w:b/>
          <w:bCs/>
        </w:rPr>
      </w:pPr>
      <w:r w:rsidRPr="00A62266">
        <w:rPr>
          <w:b/>
          <w:bCs/>
          <w:highlight w:val="yellow"/>
        </w:rPr>
        <w:t>C1</w:t>
      </w:r>
      <w:r w:rsidR="00E601D8" w:rsidRPr="00A62266">
        <w:rPr>
          <w:b/>
          <w:bCs/>
          <w:highlight w:val="yellow"/>
        </w:rPr>
        <w:t>)</w:t>
      </w:r>
      <w:r w:rsidR="00E601D8" w:rsidRPr="00A62266">
        <w:rPr>
          <w:b/>
          <w:bCs/>
        </w:rPr>
        <w:t xml:space="preserve"> RAN2 considers there may be cases when the </w:t>
      </w:r>
      <w:proofErr w:type="spellStart"/>
      <w:r w:rsidR="00E601D8" w:rsidRPr="00A62266">
        <w:rPr>
          <w:b/>
          <w:bCs/>
        </w:rPr>
        <w:t>gNB</w:t>
      </w:r>
      <w:proofErr w:type="spellEnd"/>
      <w:r w:rsidR="00E601D8" w:rsidRPr="00A62266">
        <w:rPr>
          <w:b/>
          <w:bCs/>
        </w:rPr>
        <w:t xml:space="preserve"> has no option to configure a channel bandwidth which is supported by the UE: E.g. if the </w:t>
      </w:r>
      <w:proofErr w:type="spellStart"/>
      <w:r w:rsidR="00E601D8" w:rsidRPr="00A62266">
        <w:rPr>
          <w:b/>
          <w:bCs/>
        </w:rPr>
        <w:t>gNB</w:t>
      </w:r>
      <w:proofErr w:type="spellEnd"/>
      <w:r w:rsidR="00E601D8" w:rsidRPr="00A62266">
        <w:rPr>
          <w:b/>
          <w:bCs/>
        </w:rPr>
        <w:t xml:space="preserve"> that only supports channel bandwidths of X MHz or less, but the UE only supports channel bandwidths of more than X </w:t>
      </w:r>
      <w:proofErr w:type="spellStart"/>
      <w:r w:rsidR="00E601D8" w:rsidRPr="00A62266">
        <w:rPr>
          <w:b/>
          <w:bCs/>
        </w:rPr>
        <w:t>MHz.</w:t>
      </w:r>
      <w:proofErr w:type="spellEnd"/>
      <w:r w:rsidR="00E601D8" w:rsidRPr="00A62266">
        <w:rPr>
          <w:b/>
          <w:bCs/>
        </w:rPr>
        <w:t xml:space="preserve"> </w:t>
      </w:r>
    </w:p>
    <w:p w14:paraId="6689E803" w14:textId="53969B39" w:rsidR="008E5D7A" w:rsidRDefault="008E5D7A" w:rsidP="00E601D8">
      <w:pPr>
        <w:pStyle w:val="af9"/>
      </w:pPr>
    </w:p>
    <w:p w14:paraId="0A295AFD" w14:textId="7AB83DD9" w:rsidR="009D3564" w:rsidRDefault="009D3564" w:rsidP="009D3564">
      <w:pPr>
        <w:pStyle w:val="1"/>
        <w:rPr>
          <w:lang w:val="en-US" w:eastAsia="ja-JP"/>
        </w:rPr>
      </w:pPr>
      <w:proofErr w:type="gramStart"/>
      <w:r>
        <w:t>3</w:t>
      </w:r>
      <w:r w:rsidR="001A609A">
        <w:t xml:space="preserve">  </w:t>
      </w:r>
      <w:r>
        <w:rPr>
          <w:lang w:val="en-US" w:eastAsia="ja-JP"/>
        </w:rPr>
        <w:t>C</w:t>
      </w:r>
      <w:r w:rsidR="00C42252">
        <w:rPr>
          <w:lang w:val="en-US" w:eastAsia="ja-JP"/>
        </w:rPr>
        <w:t>BW</w:t>
      </w:r>
      <w:proofErr w:type="gramEnd"/>
      <w:r w:rsidR="00C42252">
        <w:rPr>
          <w:lang w:val="en-US" w:eastAsia="ja-JP"/>
        </w:rPr>
        <w:t xml:space="preserve"> indication</w:t>
      </w:r>
      <w:r>
        <w:rPr>
          <w:lang w:val="en-US" w:eastAsia="ja-JP"/>
        </w:rPr>
        <w:t xml:space="preserve"> in </w:t>
      </w:r>
      <w:proofErr w:type="spellStart"/>
      <w:r>
        <w:rPr>
          <w:lang w:val="en-US" w:eastAsia="ja-JP"/>
        </w:rPr>
        <w:t>RRC_idle</w:t>
      </w:r>
      <w:proofErr w:type="spellEnd"/>
    </w:p>
    <w:p w14:paraId="5BCB4463" w14:textId="33932C88" w:rsidR="00717E86" w:rsidRDefault="00717E86" w:rsidP="00717E86">
      <w:r>
        <w:rPr>
          <w:rFonts w:hint="eastAsia"/>
        </w:rPr>
        <w:t>F</w:t>
      </w:r>
      <w:r>
        <w:t xml:space="preserve">irstly, </w:t>
      </w:r>
      <w:r w:rsidR="00F4461E">
        <w:t xml:space="preserve">at present, </w:t>
      </w:r>
      <w:r w:rsidR="009E40EC">
        <w:t xml:space="preserve">it is understood that </w:t>
      </w:r>
      <w:r>
        <w:t xml:space="preserve">an answer to </w:t>
      </w:r>
      <w:r w:rsidRPr="00035F3E">
        <w:rPr>
          <w:highlight w:val="yellow"/>
        </w:rPr>
        <w:t>Q2</w:t>
      </w:r>
      <w:r>
        <w:t xml:space="preserve"> is No</w:t>
      </w:r>
      <w:r w:rsidR="00A62266">
        <w:t xml:space="preserve"> (or unclear)</w:t>
      </w:r>
      <w:r>
        <w:t xml:space="preserve"> and we need to define an appropriate method. </w:t>
      </w:r>
    </w:p>
    <w:p w14:paraId="55D42BE3" w14:textId="3A85C475" w:rsidR="003B5A99" w:rsidRPr="0085101A" w:rsidRDefault="00B2125D" w:rsidP="00B2125D">
      <w:pPr>
        <w:pStyle w:val="2"/>
      </w:pPr>
      <w:r>
        <w:t>3.1</w:t>
      </w:r>
      <w:r w:rsidR="007E06F6">
        <w:t xml:space="preserve"> </w:t>
      </w:r>
      <w:r w:rsidR="003B5A99" w:rsidRPr="0085101A">
        <w:t>CBW for UL or UL/DL</w:t>
      </w:r>
    </w:p>
    <w:p w14:paraId="20EEF42C" w14:textId="4FF938C1" w:rsidR="004C54AB" w:rsidRDefault="0063135C" w:rsidP="009B4EE8">
      <w:pPr>
        <w:rPr>
          <w:lang w:val="en-US"/>
        </w:rPr>
      </w:pPr>
      <w:r>
        <w:rPr>
          <w:lang w:val="en-US"/>
        </w:rPr>
        <w:t>Before considering</w:t>
      </w:r>
      <w:r w:rsidR="00717E86">
        <w:rPr>
          <w:lang w:val="en-US"/>
        </w:rPr>
        <w:t xml:space="preserve"> a method</w:t>
      </w:r>
      <w:r>
        <w:rPr>
          <w:lang w:val="en-US"/>
        </w:rPr>
        <w:t xml:space="preserve">, one thing to note is that, for regulatory compliance of a UE, CBW of UE Tx (UL) is of importance </w:t>
      </w:r>
      <w:r w:rsidR="004C54AB">
        <w:rPr>
          <w:lang w:val="en-US"/>
        </w:rPr>
        <w:t xml:space="preserve">in terms of SEM/ACLR or protection, i.e. how MPR/A-MPR is to be applied for </w:t>
      </w:r>
      <w:r w:rsidR="009C39D6">
        <w:rPr>
          <w:lang w:val="en-US"/>
        </w:rPr>
        <w:t xml:space="preserve">Random access </w:t>
      </w:r>
      <w:r w:rsidR="004C54AB">
        <w:rPr>
          <w:lang w:val="en-US"/>
        </w:rPr>
        <w:t xml:space="preserve">MSG1/3. </w:t>
      </w:r>
      <w:r w:rsidR="009D1693">
        <w:rPr>
          <w:lang w:val="en-US"/>
        </w:rPr>
        <w:t xml:space="preserve">However, </w:t>
      </w:r>
      <w:r w:rsidR="0088680C">
        <w:rPr>
          <w:lang w:val="en-US"/>
        </w:rPr>
        <w:t xml:space="preserve">from RAN4 </w:t>
      </w:r>
      <w:r w:rsidR="000206D0">
        <w:rPr>
          <w:lang w:val="en-US"/>
        </w:rPr>
        <w:t xml:space="preserve">RF </w:t>
      </w:r>
      <w:r w:rsidR="0088680C">
        <w:rPr>
          <w:lang w:val="en-US"/>
        </w:rPr>
        <w:t xml:space="preserve">perspective, </w:t>
      </w:r>
      <w:r w:rsidR="004C54AB">
        <w:rPr>
          <w:lang w:val="en-US"/>
        </w:rPr>
        <w:t xml:space="preserve">DL CBW </w:t>
      </w:r>
      <w:r w:rsidR="0088680C">
        <w:rPr>
          <w:lang w:val="en-US"/>
        </w:rPr>
        <w:t>would</w:t>
      </w:r>
      <w:r w:rsidR="004C54AB">
        <w:rPr>
          <w:lang w:val="en-US"/>
        </w:rPr>
        <w:t xml:space="preserve"> not </w:t>
      </w:r>
      <w:r w:rsidR="00B85B2B">
        <w:rPr>
          <w:lang w:val="en-US"/>
        </w:rPr>
        <w:t>have</w:t>
      </w:r>
      <w:r w:rsidR="0088680C">
        <w:rPr>
          <w:lang w:val="en-US"/>
        </w:rPr>
        <w:t xml:space="preserve"> </w:t>
      </w:r>
      <w:r w:rsidR="00673A21">
        <w:rPr>
          <w:lang w:val="en-US"/>
        </w:rPr>
        <w:t xml:space="preserve">serious </w:t>
      </w:r>
      <w:r w:rsidR="004C54AB">
        <w:rPr>
          <w:lang w:val="en-US"/>
        </w:rPr>
        <w:t>necess</w:t>
      </w:r>
      <w:r w:rsidR="00B85B2B">
        <w:rPr>
          <w:lang w:val="en-US"/>
        </w:rPr>
        <w:t>ity</w:t>
      </w:r>
      <w:r w:rsidR="004C54AB">
        <w:rPr>
          <w:lang w:val="en-US"/>
        </w:rPr>
        <w:t xml:space="preserve"> as far as a rational </w:t>
      </w:r>
      <w:r w:rsidR="0088680C">
        <w:rPr>
          <w:lang w:val="en-US"/>
        </w:rPr>
        <w:t xml:space="preserve">initial </w:t>
      </w:r>
      <w:r w:rsidR="009C39D6">
        <w:rPr>
          <w:lang w:val="en-US"/>
        </w:rPr>
        <w:t xml:space="preserve">DL </w:t>
      </w:r>
      <w:r w:rsidR="004C54AB">
        <w:rPr>
          <w:lang w:val="en-US"/>
        </w:rPr>
        <w:t xml:space="preserve">BWP is configured. </w:t>
      </w:r>
      <w:r w:rsidR="009C39D6">
        <w:rPr>
          <w:lang w:val="en-US"/>
        </w:rPr>
        <w:t>To simplify the situation, we’d like to confirm:</w:t>
      </w:r>
    </w:p>
    <w:p w14:paraId="5A5882DE" w14:textId="379D588D" w:rsidR="0063135C" w:rsidRPr="004C54AB" w:rsidRDefault="004C54AB" w:rsidP="009B4EE8">
      <w:pPr>
        <w:rPr>
          <w:b/>
          <w:bCs/>
          <w:lang w:val="en-US"/>
        </w:rPr>
      </w:pPr>
      <w:r w:rsidRPr="004C54AB">
        <w:rPr>
          <w:b/>
          <w:bCs/>
          <w:lang w:val="en-US"/>
        </w:rPr>
        <w:t>[</w:t>
      </w:r>
      <w:r w:rsidR="00A62266">
        <w:rPr>
          <w:b/>
          <w:bCs/>
          <w:lang w:val="en-US"/>
        </w:rPr>
        <w:t>Observation</w:t>
      </w:r>
      <w:r w:rsidRPr="004C54AB">
        <w:rPr>
          <w:b/>
          <w:bCs/>
          <w:lang w:val="en-US"/>
        </w:rPr>
        <w:t xml:space="preserve">-1] </w:t>
      </w:r>
      <w:r w:rsidR="009C39D6">
        <w:rPr>
          <w:b/>
          <w:bCs/>
          <w:lang w:val="en-US"/>
        </w:rPr>
        <w:t xml:space="preserve">In RAN4 UE RF perspective, </w:t>
      </w:r>
      <w:r w:rsidRPr="004C54AB">
        <w:rPr>
          <w:b/>
          <w:bCs/>
          <w:lang w:val="en-US"/>
        </w:rPr>
        <w:t xml:space="preserve">UL CBW is </w:t>
      </w:r>
      <w:r w:rsidR="00376AE9">
        <w:rPr>
          <w:b/>
          <w:bCs/>
          <w:lang w:val="en-US"/>
        </w:rPr>
        <w:t>essential</w:t>
      </w:r>
      <w:r w:rsidRPr="004C54AB">
        <w:rPr>
          <w:b/>
          <w:bCs/>
          <w:lang w:val="en-US"/>
        </w:rPr>
        <w:t xml:space="preserve"> </w:t>
      </w:r>
      <w:r w:rsidR="009C39D6">
        <w:rPr>
          <w:b/>
          <w:bCs/>
          <w:lang w:val="en-US"/>
        </w:rPr>
        <w:t>to be defined f</w:t>
      </w:r>
      <w:r w:rsidRPr="004C54AB">
        <w:rPr>
          <w:b/>
          <w:bCs/>
          <w:lang w:val="en-US"/>
        </w:rPr>
        <w:t xml:space="preserve">or regulatory compliance while DL CBW </w:t>
      </w:r>
      <w:r w:rsidR="009C39D6">
        <w:rPr>
          <w:b/>
          <w:bCs/>
          <w:lang w:val="en-US"/>
        </w:rPr>
        <w:t>may</w:t>
      </w:r>
      <w:r w:rsidRPr="004C54AB">
        <w:rPr>
          <w:b/>
          <w:bCs/>
          <w:lang w:val="en-US"/>
        </w:rPr>
        <w:t xml:space="preserve"> not </w:t>
      </w:r>
      <w:r>
        <w:rPr>
          <w:b/>
          <w:bCs/>
          <w:lang w:val="en-US"/>
        </w:rPr>
        <w:t>be</w:t>
      </w:r>
      <w:r w:rsidRPr="004C54AB">
        <w:rPr>
          <w:b/>
          <w:bCs/>
          <w:lang w:val="en-US"/>
        </w:rPr>
        <w:t>.</w:t>
      </w:r>
      <w:r w:rsidR="003A64E1">
        <w:rPr>
          <w:b/>
          <w:bCs/>
          <w:lang w:val="en-US"/>
        </w:rPr>
        <w:t xml:space="preserve">  </w:t>
      </w:r>
    </w:p>
    <w:p w14:paraId="4496DAAE" w14:textId="4E9AD3B7" w:rsidR="003B5A99" w:rsidRDefault="0088680C" w:rsidP="009B4EE8">
      <w:r w:rsidRPr="001D6D00">
        <w:rPr>
          <w:rFonts w:hint="eastAsia"/>
        </w:rPr>
        <w:t>I</w:t>
      </w:r>
      <w:r w:rsidRPr="001D6D00">
        <w:t xml:space="preserve">n this context, it seems that </w:t>
      </w:r>
      <w:r w:rsidR="002C6EC3">
        <w:t xml:space="preserve">it is not useful to </w:t>
      </w:r>
      <w:r w:rsidRPr="001D6D00">
        <w:t xml:space="preserve">address “CORESET#0 bandwidth” </w:t>
      </w:r>
      <w:r w:rsidR="002C6EC3">
        <w:t xml:space="preserve">in the first place </w:t>
      </w:r>
      <w:r w:rsidRPr="001D6D00">
        <w:t>since this is solely for DL.</w:t>
      </w:r>
      <w:r w:rsidR="002C6EC3">
        <w:t xml:space="preserve"> </w:t>
      </w:r>
    </w:p>
    <w:p w14:paraId="1094118C" w14:textId="402C777D" w:rsidR="000F545F" w:rsidRDefault="00DA6D78" w:rsidP="009B4EE8">
      <w:pPr>
        <w:rPr>
          <w:b/>
          <w:bCs/>
        </w:rPr>
      </w:pPr>
      <w:r w:rsidRPr="00DA4AA0">
        <w:rPr>
          <w:b/>
          <w:bCs/>
        </w:rPr>
        <w:t>[Observation-</w:t>
      </w:r>
      <w:r w:rsidR="0052212D">
        <w:rPr>
          <w:b/>
          <w:bCs/>
        </w:rPr>
        <w:t>2</w:t>
      </w:r>
      <w:r w:rsidRPr="00DA4AA0">
        <w:rPr>
          <w:b/>
          <w:bCs/>
        </w:rPr>
        <w:t xml:space="preserve">] CORESET#0 bandwidth is not </w:t>
      </w:r>
      <w:r w:rsidR="009927F8" w:rsidRPr="00DA4AA0">
        <w:rPr>
          <w:b/>
          <w:bCs/>
        </w:rPr>
        <w:t>suited</w:t>
      </w:r>
      <w:r w:rsidRPr="00DA4AA0">
        <w:rPr>
          <w:b/>
          <w:bCs/>
        </w:rPr>
        <w:t xml:space="preserve"> to CBW indication</w:t>
      </w:r>
      <w:r w:rsidR="0052212D">
        <w:rPr>
          <w:b/>
          <w:bCs/>
        </w:rPr>
        <w:t xml:space="preserve"> </w:t>
      </w:r>
      <w:r w:rsidR="000549D0">
        <w:rPr>
          <w:b/>
          <w:bCs/>
        </w:rPr>
        <w:t xml:space="preserve">in the first place </w:t>
      </w:r>
      <w:r w:rsidR="0052212D">
        <w:rPr>
          <w:b/>
          <w:bCs/>
        </w:rPr>
        <w:t>as it is solely for DL</w:t>
      </w:r>
      <w:r w:rsidRPr="00DA4AA0">
        <w:rPr>
          <w:b/>
          <w:bCs/>
        </w:rPr>
        <w:t>.</w:t>
      </w:r>
    </w:p>
    <w:p w14:paraId="04F0D44D" w14:textId="796FAD79" w:rsidR="000F545F" w:rsidRPr="000F545F" w:rsidRDefault="006D3454" w:rsidP="009B4EE8">
      <w:pPr>
        <w:rPr>
          <w:rFonts w:hint="eastAsia"/>
          <w:lang w:val="en-US"/>
        </w:rPr>
      </w:pPr>
      <w:r>
        <w:t xml:space="preserve">Note that </w:t>
      </w:r>
      <w:r w:rsidRPr="001D6D00">
        <w:t xml:space="preserve">CORESET#0 configuration is used as initial DL BWP when there is no initial DL BWP information provided in SIB1. On the contrary, in </w:t>
      </w:r>
      <w:proofErr w:type="spellStart"/>
      <w:r w:rsidRPr="001D6D00">
        <w:t>Pcell</w:t>
      </w:r>
      <w:proofErr w:type="spellEnd"/>
      <w:r w:rsidRPr="001D6D00">
        <w:t xml:space="preserve"> or </w:t>
      </w:r>
      <w:proofErr w:type="spellStart"/>
      <w:r w:rsidRPr="001D6D00">
        <w:t>Scell</w:t>
      </w:r>
      <w:proofErr w:type="spellEnd"/>
      <w:r w:rsidRPr="001D6D00">
        <w:t>, initial UL BWP is provided. [Sec 12, TS38.213]</w:t>
      </w:r>
      <w:r>
        <w:t xml:space="preserve"> So i</w:t>
      </w:r>
      <w:r w:rsidR="000F545F" w:rsidRPr="000F545F">
        <w:t>f</w:t>
      </w:r>
      <w:r w:rsidR="000F545F">
        <w:t xml:space="preserve"> observation-1 </w:t>
      </w:r>
      <w:r w:rsidR="004324AE">
        <w:t>is</w:t>
      </w:r>
      <w:r w:rsidR="000F545F">
        <w:t xml:space="preserve"> valid, we can leave initial DL BWP related procedures as they are: there is no problem if CORESET#0 bandwidths (24, 48 or 96 RBs) are </w:t>
      </w:r>
      <w:r>
        <w:t xml:space="preserve">also </w:t>
      </w:r>
      <w:r w:rsidR="000F545F">
        <w:t xml:space="preserve">used for initial DL BWP. If we need to indicate DL CBW via initial DL BWP bandwidth, this would have some impacts to existing procedures or RAN2 agreements mentioned in the LS. </w:t>
      </w:r>
      <w:r w:rsidR="000F545F">
        <w:br/>
      </w:r>
    </w:p>
    <w:p w14:paraId="0FFCFCFE" w14:textId="5C119998" w:rsidR="003B5A99" w:rsidRPr="0085101A" w:rsidRDefault="00B2125D" w:rsidP="007E06F6">
      <w:pPr>
        <w:pStyle w:val="2"/>
      </w:pPr>
      <w:r>
        <w:t xml:space="preserve">3.2 </w:t>
      </w:r>
      <w:r w:rsidR="003B5A99" w:rsidRPr="0085101A">
        <w:t>How UE CBW is indicated</w:t>
      </w:r>
    </w:p>
    <w:p w14:paraId="11D0063B" w14:textId="1E5B878A" w:rsidR="005B581E" w:rsidRDefault="003B5A99" w:rsidP="003B5A99">
      <w:r>
        <w:t xml:space="preserve">Apparently, it is </w:t>
      </w:r>
      <w:r w:rsidR="00B2125D">
        <w:t>destructive</w:t>
      </w:r>
      <w:r>
        <w:t xml:space="preserve"> to try to add a new IE to REL-15 at this stage. Thus, all we can do is to do add some definition/restriction to existing IE to indicate UE CBW.</w:t>
      </w:r>
      <w:r w:rsidR="005B581E" w:rsidRPr="005B581E">
        <w:rPr>
          <w:rFonts w:hint="eastAsia"/>
        </w:rPr>
        <w:t xml:space="preserve"> </w:t>
      </w:r>
      <w:r w:rsidR="005B581E">
        <w:t xml:space="preserve">RAN4 </w:t>
      </w:r>
      <w:r w:rsidR="00C33748">
        <w:t>needs</w:t>
      </w:r>
      <w:r w:rsidR="005B581E">
        <w:t xml:space="preserve"> an IE to instruct UE CBW where values should be limited to</w:t>
      </w:r>
      <w:r w:rsidR="00194543">
        <w:t xml:space="preserve"> </w:t>
      </w:r>
      <w:r w:rsidR="005B581E">
        <w:t>maximum transmission bandwidth configuration (N</w:t>
      </w:r>
      <w:r w:rsidR="005B581E" w:rsidRPr="003B5A99">
        <w:rPr>
          <w:vertAlign w:val="subscript"/>
        </w:rPr>
        <w:t>RB</w:t>
      </w:r>
      <w:r w:rsidR="005B581E">
        <w:t xml:space="preserve">) in 38.101-1/2 so that a UE can set relevant CBW without ambiguity. Note that, </w:t>
      </w:r>
      <w:r w:rsidR="005B581E" w:rsidRPr="005B581E">
        <w:t>similar to “uplink/</w:t>
      </w:r>
      <w:proofErr w:type="spellStart"/>
      <w:r w:rsidR="005B581E" w:rsidRPr="005B581E">
        <w:t>downlinkChannelBW</w:t>
      </w:r>
      <w:proofErr w:type="spellEnd"/>
      <w:r w:rsidR="005B581E" w:rsidRPr="005B581E">
        <w:t>-</w:t>
      </w:r>
      <w:proofErr w:type="spellStart"/>
      <w:r w:rsidR="005B581E" w:rsidRPr="005B581E">
        <w:t>PerSCS</w:t>
      </w:r>
      <w:proofErr w:type="spellEnd"/>
      <w:r w:rsidR="005B581E" w:rsidRPr="005B581E">
        <w:t xml:space="preserve">-List”, we need </w:t>
      </w:r>
      <w:r w:rsidR="00C33748">
        <w:t xml:space="preserve">not only </w:t>
      </w:r>
      <w:r w:rsidR="005B581E" w:rsidRPr="005B581E">
        <w:t xml:space="preserve">width </w:t>
      </w:r>
      <w:r w:rsidR="00C33748">
        <w:t>but also</w:t>
      </w:r>
      <w:r w:rsidR="00EF6A49">
        <w:t xml:space="preserve"> </w:t>
      </w:r>
      <w:r w:rsidR="005B581E" w:rsidRPr="005B581E">
        <w:t>position</w:t>
      </w:r>
      <w:r w:rsidR="00EF6A49">
        <w:t xml:space="preserve"> of RBs</w:t>
      </w:r>
      <w:r w:rsidR="005B581E" w:rsidRPr="005B581E">
        <w:t>.</w:t>
      </w:r>
      <w:r w:rsidRPr="005B581E">
        <w:t xml:space="preserve"> </w:t>
      </w:r>
    </w:p>
    <w:p w14:paraId="052482F6" w14:textId="2DF42C03" w:rsidR="00ED35AB" w:rsidRPr="008B4D1F" w:rsidRDefault="00ED35AB" w:rsidP="003B5A99">
      <w:pPr>
        <w:rPr>
          <w:b/>
          <w:bCs/>
          <w:lang w:val="en-US" w:eastAsia="ja-JP"/>
        </w:rPr>
      </w:pPr>
      <w:r w:rsidRPr="00ED35AB">
        <w:rPr>
          <w:rFonts w:hint="eastAsia"/>
          <w:b/>
          <w:bCs/>
        </w:rPr>
        <w:t>[</w:t>
      </w:r>
      <w:r w:rsidRPr="00ED35AB">
        <w:rPr>
          <w:b/>
          <w:bCs/>
        </w:rPr>
        <w:t xml:space="preserve">Observation-3] We need to instruct RB width and </w:t>
      </w:r>
      <w:r w:rsidR="008B4D1F">
        <w:rPr>
          <w:b/>
          <w:bCs/>
        </w:rPr>
        <w:t xml:space="preserve">its </w:t>
      </w:r>
      <w:r w:rsidRPr="00ED35AB">
        <w:rPr>
          <w:b/>
          <w:bCs/>
        </w:rPr>
        <w:t>position as UE CBW</w:t>
      </w:r>
      <w:r w:rsidR="008B4D1F">
        <w:rPr>
          <w:b/>
          <w:bCs/>
          <w:lang w:val="en-US" w:eastAsia="ja-JP"/>
        </w:rPr>
        <w:t xml:space="preserve"> where the RB widths are to be limited to N</w:t>
      </w:r>
      <w:r w:rsidR="008B4D1F" w:rsidRPr="008B4D1F">
        <w:rPr>
          <w:b/>
          <w:bCs/>
          <w:vertAlign w:val="subscript"/>
          <w:lang w:val="en-US" w:eastAsia="ja-JP"/>
        </w:rPr>
        <w:t>RB</w:t>
      </w:r>
      <w:r w:rsidR="008B4D1F">
        <w:rPr>
          <w:b/>
          <w:bCs/>
          <w:lang w:val="en-US" w:eastAsia="ja-JP"/>
        </w:rPr>
        <w:t>.</w:t>
      </w:r>
    </w:p>
    <w:p w14:paraId="1839680F" w14:textId="77777777" w:rsidR="000549D0" w:rsidRDefault="00DA4AA0" w:rsidP="009B4EE8">
      <w:r w:rsidRPr="005B581E">
        <w:t xml:space="preserve">Judging from the LS, candidates are Initial BWP bandwidth or </w:t>
      </w:r>
      <w:r>
        <w:t>c</w:t>
      </w:r>
      <w:r w:rsidRPr="005B581E">
        <w:t xml:space="preserve">hannel </w:t>
      </w:r>
      <w:r>
        <w:t>b</w:t>
      </w:r>
      <w:r w:rsidRPr="005B581E">
        <w:t>andwidth (</w:t>
      </w:r>
      <w:r>
        <w:t xml:space="preserve">with </w:t>
      </w:r>
      <w:proofErr w:type="spellStart"/>
      <w:r w:rsidRPr="005B581E">
        <w:t>offsetToCarrier</w:t>
      </w:r>
      <w:proofErr w:type="spellEnd"/>
      <w:r w:rsidRPr="005B581E">
        <w:t>).</w:t>
      </w:r>
      <w:r>
        <w:t xml:space="preserve"> </w:t>
      </w:r>
      <w:r w:rsidR="003B5A99">
        <w:t xml:space="preserve">Both can be used for this purpose in </w:t>
      </w:r>
      <w:r w:rsidR="00F10207">
        <w:t xml:space="preserve">the </w:t>
      </w:r>
      <w:r w:rsidR="003B5A99">
        <w:t>sense</w:t>
      </w:r>
      <w:r w:rsidR="00B15B3A">
        <w:t>s</w:t>
      </w:r>
      <w:r w:rsidR="003B5A99">
        <w:t xml:space="preserve"> that</w:t>
      </w:r>
      <w:r w:rsidR="00E77E57">
        <w:t xml:space="preserve"> </w:t>
      </w:r>
      <w:r w:rsidR="002C4A12">
        <w:t>1) both can be configured UL/DL per SCS independently,</w:t>
      </w:r>
      <w:r w:rsidR="003B5A99">
        <w:t xml:space="preserve"> </w:t>
      </w:r>
      <w:r w:rsidR="002C4A12">
        <w:t>2</w:t>
      </w:r>
      <w:r w:rsidR="00532B9C">
        <w:t>) both can indicate location and RB numbers</w:t>
      </w:r>
      <w:r w:rsidR="00B15B3A">
        <w:t xml:space="preserve"> and</w:t>
      </w:r>
      <w:r w:rsidR="00532B9C">
        <w:t xml:space="preserve"> </w:t>
      </w:r>
      <w:r w:rsidR="002C4A12">
        <w:t>3</w:t>
      </w:r>
      <w:r w:rsidR="00532B9C">
        <w:t xml:space="preserve">) </w:t>
      </w:r>
      <w:r w:rsidR="003B5A99">
        <w:t xml:space="preserve">both are configurable or </w:t>
      </w:r>
      <w:r w:rsidR="00B67829">
        <w:t xml:space="preserve">can be </w:t>
      </w:r>
      <w:r w:rsidR="003B5A99">
        <w:t>overridden with UE-specific information later</w:t>
      </w:r>
      <w:r w:rsidR="00532B9C">
        <w:t>.</w:t>
      </w:r>
      <w:r w:rsidR="003B5A99">
        <w:t xml:space="preserve"> </w:t>
      </w:r>
    </w:p>
    <w:p w14:paraId="6330E572" w14:textId="4423D108" w:rsidR="002E14AF" w:rsidRPr="00356616" w:rsidRDefault="002E14AF" w:rsidP="009B4EE8">
      <w:r>
        <w:t xml:space="preserve">Logically speaking, we </w:t>
      </w:r>
      <w:r w:rsidR="000549D0">
        <w:t>can</w:t>
      </w:r>
      <w:r>
        <w:t xml:space="preserve"> select </w:t>
      </w:r>
      <w:r w:rsidR="00B853A0">
        <w:t>either</w:t>
      </w:r>
      <w:r w:rsidR="00356616">
        <w:t xml:space="preserve">. </w:t>
      </w:r>
      <w:r>
        <w:t>G</w:t>
      </w:r>
      <w:r w:rsidR="00A23CE1">
        <w:t>iven</w:t>
      </w:r>
      <w:r w:rsidR="00F07524">
        <w:t xml:space="preserve"> </w:t>
      </w:r>
      <w:r w:rsidR="00A23CE1">
        <w:t xml:space="preserve">that </w:t>
      </w:r>
      <w:r w:rsidR="0001566B">
        <w:t xml:space="preserve">in the LS </w:t>
      </w:r>
      <w:r w:rsidR="00BA7B02">
        <w:t>‘</w:t>
      </w:r>
      <w:r w:rsidR="00BA7B02" w:rsidRPr="00BA7B02">
        <w:t>RAN2 understands that the “channel bandwidth” is used for determining the RF characteristics of transmission and reception of serving cell</w:t>
      </w:r>
      <w:r w:rsidR="00BA7B02">
        <w:t>’</w:t>
      </w:r>
      <w:r w:rsidR="0001566B">
        <w:t xml:space="preserve">, </w:t>
      </w:r>
      <w:r w:rsidR="00A23CE1">
        <w:t>it looks</w:t>
      </w:r>
      <w:r w:rsidR="00F25AF2">
        <w:t xml:space="preserve"> </w:t>
      </w:r>
      <w:r w:rsidR="00D93032">
        <w:t>straightforward</w:t>
      </w:r>
      <w:r w:rsidR="00A23CE1">
        <w:t xml:space="preserve"> for </w:t>
      </w:r>
      <w:r w:rsidR="00ED35AB">
        <w:t>c</w:t>
      </w:r>
      <w:r w:rsidR="00A23CE1">
        <w:t xml:space="preserve">hannel </w:t>
      </w:r>
      <w:r w:rsidR="00ED35AB">
        <w:t>b</w:t>
      </w:r>
      <w:r w:rsidR="00A23CE1">
        <w:t>andwidth to provide UE CBW</w:t>
      </w:r>
      <w:r w:rsidR="00A23CE1">
        <w:rPr>
          <w:rFonts w:hint="eastAsia"/>
          <w:lang w:eastAsia="ja-JP"/>
        </w:rPr>
        <w:t>.</w:t>
      </w:r>
      <w:r w:rsidR="00BA7B02">
        <w:rPr>
          <w:lang w:val="en-US"/>
        </w:rPr>
        <w:t xml:space="preserve"> On the other hand, RAN2 </w:t>
      </w:r>
      <w:r w:rsidR="00B31345">
        <w:rPr>
          <w:lang w:val="en-US"/>
        </w:rPr>
        <w:t>agreed to put some limitations to</w:t>
      </w:r>
      <w:r w:rsidR="00BA7B02">
        <w:rPr>
          <w:lang w:val="en-US"/>
        </w:rPr>
        <w:t xml:space="preserve"> initial BWP </w:t>
      </w:r>
      <w:r w:rsidR="00356616">
        <w:rPr>
          <w:lang w:val="en-US"/>
        </w:rPr>
        <w:t xml:space="preserve">so it would be easier to use the IE if we need to support </w:t>
      </w:r>
      <w:r w:rsidR="00C47125">
        <w:rPr>
          <w:lang w:val="en-US"/>
        </w:rPr>
        <w:t>limited values (</w:t>
      </w:r>
      <w:r w:rsidR="00356616">
        <w:rPr>
          <w:lang w:val="en-US"/>
        </w:rPr>
        <w:t>N</w:t>
      </w:r>
      <w:r w:rsidR="00356616" w:rsidRPr="00356616">
        <w:rPr>
          <w:vertAlign w:val="subscript"/>
          <w:lang w:val="en-US"/>
        </w:rPr>
        <w:t>RB</w:t>
      </w:r>
      <w:r w:rsidR="00C47125" w:rsidRPr="00C47125">
        <w:rPr>
          <w:lang w:val="en-US"/>
        </w:rPr>
        <w:t>)</w:t>
      </w:r>
      <w:r w:rsidR="00356616" w:rsidRPr="00356616">
        <w:rPr>
          <w:vertAlign w:val="subscript"/>
          <w:lang w:val="en-US"/>
        </w:rPr>
        <w:t xml:space="preserve"> </w:t>
      </w:r>
      <w:r w:rsidR="00356616">
        <w:rPr>
          <w:lang w:val="en-US"/>
        </w:rPr>
        <w:t>for UE CBW.</w:t>
      </w:r>
    </w:p>
    <w:p w14:paraId="495FFAE6" w14:textId="45694F7C" w:rsidR="003A64E1" w:rsidRDefault="008B4D1F" w:rsidP="009B4EE8">
      <w:r>
        <w:lastRenderedPageBreak/>
        <w:t>Then, which IE to take for UE CBW indication would be left for discussion</w:t>
      </w:r>
      <w:r w:rsidR="00356616">
        <w:t>, checking various pros and cons</w:t>
      </w:r>
      <w:r w:rsidR="00035F3E">
        <w:t>.</w:t>
      </w:r>
      <w:r>
        <w:t xml:space="preserve"> Note that if a limitation is put on values of these IEs, </w:t>
      </w:r>
      <w:r w:rsidR="001C56C6">
        <w:t xml:space="preserve">we should note that </w:t>
      </w:r>
      <w:r>
        <w:t xml:space="preserve">the limitation is only </w:t>
      </w:r>
      <w:r w:rsidR="00356616">
        <w:t xml:space="preserve">valid </w:t>
      </w:r>
      <w:r>
        <w:t xml:space="preserve">during </w:t>
      </w:r>
      <w:proofErr w:type="spellStart"/>
      <w:r>
        <w:t>RRC_idle</w:t>
      </w:r>
      <w:proofErr w:type="spellEnd"/>
      <w:r>
        <w:t>.</w:t>
      </w:r>
    </w:p>
    <w:p w14:paraId="34CDCCB6" w14:textId="26C40DA4" w:rsidR="00B67829" w:rsidRPr="008275E5" w:rsidRDefault="002C6EC3" w:rsidP="009B4EE8">
      <w:r>
        <w:t xml:space="preserve">For DL CBW, while it </w:t>
      </w:r>
      <w:r w:rsidR="001A609A">
        <w:t>does</w:t>
      </w:r>
      <w:r>
        <w:t xml:space="preserve"> not </w:t>
      </w:r>
      <w:r w:rsidR="001A609A">
        <w:t xml:space="preserve">seem </w:t>
      </w:r>
      <w:r>
        <w:t xml:space="preserve">essential for RAN4 RF </w:t>
      </w:r>
      <w:r w:rsidR="001A609A">
        <w:t>point of view</w:t>
      </w:r>
      <w:r>
        <w:t xml:space="preserve">, we can use relevant DL IE corresponding to selected UL IE (i.e. </w:t>
      </w:r>
      <w:r w:rsidR="001A609A">
        <w:t>initial DL CBW/CORESET#0 or DL channel bandwidth) under the same constraints.</w:t>
      </w:r>
      <w:r w:rsidR="00551B10">
        <w:t xml:space="preserve"> Then, </w:t>
      </w:r>
    </w:p>
    <w:p w14:paraId="511BF12C" w14:textId="3F953A99" w:rsidR="00551B10" w:rsidRPr="000549D0" w:rsidRDefault="00551B10" w:rsidP="00551B10">
      <w:pPr>
        <w:rPr>
          <w:b/>
          <w:bCs/>
        </w:rPr>
      </w:pPr>
      <w:r w:rsidRPr="001A609A">
        <w:rPr>
          <w:b/>
          <w:bCs/>
        </w:rPr>
        <w:t>[Observation-</w:t>
      </w:r>
      <w:r>
        <w:rPr>
          <w:b/>
          <w:bCs/>
        </w:rPr>
        <w:t>4</w:t>
      </w:r>
      <w:r w:rsidRPr="001A609A">
        <w:rPr>
          <w:b/>
          <w:bCs/>
        </w:rPr>
        <w:t xml:space="preserve">] </w:t>
      </w:r>
      <w:r>
        <w:rPr>
          <w:b/>
          <w:bCs/>
        </w:rPr>
        <w:t>Either</w:t>
      </w:r>
      <w:r w:rsidRPr="001A609A">
        <w:rPr>
          <w:b/>
          <w:bCs/>
        </w:rPr>
        <w:t xml:space="preserve"> initial UL BWP bandwidth </w:t>
      </w:r>
      <w:r>
        <w:rPr>
          <w:b/>
          <w:bCs/>
        </w:rPr>
        <w:t>or</w:t>
      </w:r>
      <w:r w:rsidRPr="001A609A">
        <w:rPr>
          <w:b/>
          <w:bCs/>
        </w:rPr>
        <w:t xml:space="preserve"> UL channel bandwidth can be used to convey UL </w:t>
      </w:r>
      <w:r>
        <w:rPr>
          <w:b/>
          <w:bCs/>
        </w:rPr>
        <w:t xml:space="preserve">UE </w:t>
      </w:r>
      <w:r w:rsidRPr="001A609A">
        <w:rPr>
          <w:b/>
          <w:bCs/>
        </w:rPr>
        <w:t xml:space="preserve">CBW in </w:t>
      </w:r>
      <w:proofErr w:type="spellStart"/>
      <w:r w:rsidRPr="001A609A">
        <w:rPr>
          <w:b/>
          <w:bCs/>
        </w:rPr>
        <w:t>RRC_idle</w:t>
      </w:r>
      <w:proofErr w:type="spellEnd"/>
      <w:r w:rsidRPr="001A609A">
        <w:rPr>
          <w:b/>
          <w:bCs/>
        </w:rPr>
        <w:t>.</w:t>
      </w:r>
      <w:r>
        <w:rPr>
          <w:rFonts w:hint="eastAsia"/>
          <w:b/>
          <w:bCs/>
        </w:rPr>
        <w:t xml:space="preserve"> </w:t>
      </w:r>
      <w:r>
        <w:rPr>
          <w:b/>
          <w:bCs/>
        </w:rPr>
        <w:t>For DL UE CBW, relevant IE for DL can be used if necessary.</w:t>
      </w:r>
    </w:p>
    <w:p w14:paraId="02DB34DF" w14:textId="11390FEE" w:rsidR="000463A0" w:rsidRDefault="00CF6FDD" w:rsidP="009B4EE8">
      <w:r>
        <w:t xml:space="preserve">Concerning unknown values for </w:t>
      </w:r>
      <w:r w:rsidR="00124DFB">
        <w:t xml:space="preserve">a </w:t>
      </w:r>
      <w:r>
        <w:t>UE, since UL CBW is relevant to some regulatory aspects such as SEM</w:t>
      </w:r>
      <w:r w:rsidR="00124DFB">
        <w:t xml:space="preserve">, </w:t>
      </w:r>
      <w:r>
        <w:t>ACLR</w:t>
      </w:r>
      <w:r w:rsidR="00124DFB">
        <w:t xml:space="preserve"> or </w:t>
      </w:r>
      <w:r>
        <w:t xml:space="preserve">protection, </w:t>
      </w:r>
      <w:r w:rsidR="00124DFB">
        <w:t>the</w:t>
      </w:r>
      <w:r>
        <w:t xml:space="preserve"> UE should be operated if the UL CBW is </w:t>
      </w:r>
      <w:r w:rsidR="00124DFB">
        <w:t>un</w:t>
      </w:r>
      <w:r>
        <w:t xml:space="preserve">known to the UE. </w:t>
      </w:r>
    </w:p>
    <w:p w14:paraId="127B127E" w14:textId="174C9DAA" w:rsidR="00CF6FDD" w:rsidRDefault="00CF6FDD" w:rsidP="009B4EE8">
      <w:pPr>
        <w:rPr>
          <w:b/>
          <w:bCs/>
        </w:rPr>
      </w:pPr>
      <w:r w:rsidRPr="001A609A">
        <w:rPr>
          <w:b/>
          <w:bCs/>
        </w:rPr>
        <w:t>[Observation-</w:t>
      </w:r>
      <w:r>
        <w:rPr>
          <w:b/>
          <w:bCs/>
        </w:rPr>
        <w:t>5</w:t>
      </w:r>
      <w:r w:rsidRPr="001A609A">
        <w:rPr>
          <w:b/>
          <w:bCs/>
        </w:rPr>
        <w:t xml:space="preserve">] </w:t>
      </w:r>
      <w:r>
        <w:rPr>
          <w:b/>
          <w:bCs/>
        </w:rPr>
        <w:t>A</w:t>
      </w:r>
      <w:r w:rsidRPr="00CF6FDD">
        <w:rPr>
          <w:b/>
          <w:bCs/>
        </w:rPr>
        <w:t xml:space="preserve"> UE should </w:t>
      </w:r>
      <w:r w:rsidR="00EA0687">
        <w:rPr>
          <w:b/>
          <w:bCs/>
        </w:rPr>
        <w:t xml:space="preserve">not </w:t>
      </w:r>
      <w:r w:rsidRPr="00CF6FDD">
        <w:rPr>
          <w:b/>
          <w:bCs/>
        </w:rPr>
        <w:t xml:space="preserve">be operated if </w:t>
      </w:r>
      <w:r w:rsidR="00F418E1">
        <w:rPr>
          <w:b/>
          <w:bCs/>
        </w:rPr>
        <w:t xml:space="preserve">an indicated </w:t>
      </w:r>
      <w:r w:rsidRPr="00CF6FDD">
        <w:rPr>
          <w:b/>
          <w:bCs/>
        </w:rPr>
        <w:t xml:space="preserve">UL CBW is </w:t>
      </w:r>
      <w:r w:rsidR="00124DFB">
        <w:rPr>
          <w:b/>
          <w:bCs/>
        </w:rPr>
        <w:t>un</w:t>
      </w:r>
      <w:r w:rsidRPr="00CF6FDD">
        <w:rPr>
          <w:b/>
          <w:bCs/>
        </w:rPr>
        <w:t>known to the UE.</w:t>
      </w:r>
    </w:p>
    <w:p w14:paraId="7E58861C" w14:textId="7832A8AE" w:rsidR="00CF6FDD" w:rsidRDefault="00CF6FDD" w:rsidP="009B4EE8">
      <w:r w:rsidRPr="00CF6FDD">
        <w:rPr>
          <w:rFonts w:hint="eastAsia"/>
        </w:rPr>
        <w:t>I</w:t>
      </w:r>
      <w:r w:rsidRPr="00CF6FDD">
        <w:t>t depends on</w:t>
      </w:r>
      <w:r>
        <w:t xml:space="preserve"> how the </w:t>
      </w:r>
      <w:r w:rsidR="00EA0687">
        <w:t xml:space="preserve">UL CBW </w:t>
      </w:r>
      <w:r>
        <w:t xml:space="preserve">values are selected: there should be no concern if values are selected only from </w:t>
      </w:r>
      <w:r w:rsidR="00F418E1">
        <w:t>N</w:t>
      </w:r>
      <w:r w:rsidR="00F418E1" w:rsidRPr="00F418E1">
        <w:rPr>
          <w:vertAlign w:val="subscript"/>
        </w:rPr>
        <w:t>RB</w:t>
      </w:r>
      <w:r w:rsidR="00F418E1">
        <w:t xml:space="preserve"> of </w:t>
      </w:r>
      <w:r>
        <w:t xml:space="preserve">mandatory CBWs, while we need a statement to prohibit camp-on if values other than </w:t>
      </w:r>
      <w:r w:rsidR="00EA0687">
        <w:t xml:space="preserve">for </w:t>
      </w:r>
      <w:r w:rsidR="00F418E1">
        <w:t>N</w:t>
      </w:r>
      <w:r w:rsidR="00F418E1" w:rsidRPr="00F418E1">
        <w:rPr>
          <w:vertAlign w:val="subscript"/>
        </w:rPr>
        <w:t>RB</w:t>
      </w:r>
      <w:r w:rsidR="00F418E1">
        <w:t xml:space="preserve"> mentioned above </w:t>
      </w:r>
      <w:r w:rsidR="00EA0687">
        <w:t>have to be supported.</w:t>
      </w:r>
    </w:p>
    <w:p w14:paraId="7E944310" w14:textId="77777777" w:rsidR="00EA0687" w:rsidRPr="00EA0687" w:rsidRDefault="00EA0687" w:rsidP="009B4EE8"/>
    <w:p w14:paraId="31A30951" w14:textId="2A3E4711" w:rsidR="002059ED" w:rsidRPr="0085101A" w:rsidRDefault="002059ED" w:rsidP="002059ED">
      <w:pPr>
        <w:pStyle w:val="2"/>
      </w:pPr>
      <w:r>
        <w:t>3.3</w:t>
      </w:r>
      <w:r w:rsidR="007E06F6">
        <w:t xml:space="preserve"> </w:t>
      </w:r>
      <w:r w:rsidR="00035F3E">
        <w:t>Case of u</w:t>
      </w:r>
      <w:r>
        <w:t>nsupported CBW only?</w:t>
      </w:r>
    </w:p>
    <w:p w14:paraId="44DAA10D" w14:textId="020F1C65" w:rsidR="00BF680B" w:rsidRDefault="002059ED" w:rsidP="002059ED">
      <w:r>
        <w:t xml:space="preserve">As labelled in </w:t>
      </w:r>
      <w:r w:rsidRPr="00035F3E">
        <w:rPr>
          <w:highlight w:val="yellow"/>
        </w:rPr>
        <w:t>C1</w:t>
      </w:r>
      <w:r>
        <w:t xml:space="preserve"> in section 2, RAN2 commented that there might be a case that a </w:t>
      </w:r>
      <w:proofErr w:type="spellStart"/>
      <w:r>
        <w:t>gNB</w:t>
      </w:r>
      <w:proofErr w:type="spellEnd"/>
      <w:r>
        <w:t xml:space="preserve"> cannot </w:t>
      </w:r>
      <w:r w:rsidR="001A609A">
        <w:t>set</w:t>
      </w:r>
      <w:r>
        <w:t xml:space="preserve"> UE CBW supported</w:t>
      </w:r>
      <w:r w:rsidR="00A775A0">
        <w:t xml:space="preserve">: supported </w:t>
      </w:r>
      <w:proofErr w:type="spellStart"/>
      <w:r w:rsidR="00A775A0">
        <w:t>gNB</w:t>
      </w:r>
      <w:proofErr w:type="spellEnd"/>
      <w:r w:rsidR="00A775A0">
        <w:t xml:space="preserve"> CBWs are lower than UE CBWs</w:t>
      </w:r>
      <w:r>
        <w:t xml:space="preserve">. </w:t>
      </w:r>
      <w:r w:rsidR="00F154AC">
        <w:t>From CBW definition standpoint in RAN4</w:t>
      </w:r>
      <w:r>
        <w:t>, there are a set of</w:t>
      </w:r>
      <w:r w:rsidR="00D764A1">
        <w:t xml:space="preserve"> </w:t>
      </w:r>
      <w:r>
        <w:t xml:space="preserve">CBWs </w:t>
      </w:r>
      <w:r w:rsidR="00F25AF2">
        <w:t>for a UE</w:t>
      </w:r>
      <w:r w:rsidR="00D764A1">
        <w:t>/BS</w:t>
      </w:r>
      <w:r w:rsidR="00F25AF2">
        <w:t xml:space="preserve"> </w:t>
      </w:r>
      <w:r>
        <w:t xml:space="preserve">defined </w:t>
      </w:r>
      <w:r w:rsidR="00857937">
        <w:t xml:space="preserve">in </w:t>
      </w:r>
      <w:r>
        <w:t>band-by-band</w:t>
      </w:r>
      <w:r w:rsidR="00857937">
        <w:t xml:space="preserve"> manner and the </w:t>
      </w:r>
      <w:r w:rsidR="00035F3E">
        <w:t xml:space="preserve">set of </w:t>
      </w:r>
      <w:r w:rsidR="00F25AF2">
        <w:t>CBW</w:t>
      </w:r>
      <w:r w:rsidR="00035F3E">
        <w:t>s</w:t>
      </w:r>
      <w:r w:rsidR="00857937">
        <w:t xml:space="preserve"> </w:t>
      </w:r>
      <w:r w:rsidR="00A775A0">
        <w:t>normally cover</w:t>
      </w:r>
      <w:r w:rsidR="00035F3E">
        <w:t>s</w:t>
      </w:r>
      <w:r w:rsidR="00857937">
        <w:t xml:space="preserve"> the smallest CBW for the band</w:t>
      </w:r>
      <w:r w:rsidR="00D764A1">
        <w:t xml:space="preserve"> as mandatory</w:t>
      </w:r>
      <w:r w:rsidR="00BE1401">
        <w:t xml:space="preserve"> for UE</w:t>
      </w:r>
      <w:r>
        <w:t>. Then it seems</w:t>
      </w:r>
      <w:r w:rsidR="009D1E8D">
        <w:t xml:space="preserve">, as far as UE CBW is selected from </w:t>
      </w:r>
      <w:r w:rsidR="00A775A0">
        <w:t>the</w:t>
      </w:r>
      <w:r w:rsidR="009D1E8D">
        <w:t xml:space="preserve"> mandatory CBWs, there should be no concern</w:t>
      </w:r>
      <w:r w:rsidR="00A775A0">
        <w:t xml:space="preserve"> as such</w:t>
      </w:r>
      <w:r w:rsidR="009D1E8D">
        <w:t xml:space="preserve">. </w:t>
      </w:r>
    </w:p>
    <w:p w14:paraId="10C7CB72" w14:textId="07CAE251" w:rsidR="00BE1401" w:rsidRPr="00BE1401" w:rsidRDefault="00BE1401" w:rsidP="002059ED">
      <w:pPr>
        <w:rPr>
          <w:b/>
          <w:bCs/>
        </w:rPr>
      </w:pPr>
      <w:r w:rsidRPr="00BE1401">
        <w:rPr>
          <w:rFonts w:hint="eastAsia"/>
          <w:b/>
          <w:bCs/>
        </w:rPr>
        <w:t>[</w:t>
      </w:r>
      <w:r w:rsidRPr="00BE1401">
        <w:rPr>
          <w:b/>
          <w:bCs/>
        </w:rPr>
        <w:t>O</w:t>
      </w:r>
      <w:r>
        <w:rPr>
          <w:b/>
          <w:bCs/>
        </w:rPr>
        <w:t>b</w:t>
      </w:r>
      <w:r w:rsidRPr="00BE1401">
        <w:rPr>
          <w:b/>
          <w:bCs/>
        </w:rPr>
        <w:t>servation-</w:t>
      </w:r>
      <w:r w:rsidR="00CF6FDD">
        <w:rPr>
          <w:b/>
          <w:bCs/>
        </w:rPr>
        <w:t>6</w:t>
      </w:r>
      <w:r w:rsidRPr="00BE1401">
        <w:rPr>
          <w:b/>
          <w:bCs/>
        </w:rPr>
        <w:t>] On C1, given that RAN4 has defined a mandatory set of UE CBW</w:t>
      </w:r>
      <w:r w:rsidR="003A64E1">
        <w:rPr>
          <w:b/>
          <w:bCs/>
        </w:rPr>
        <w:t>s</w:t>
      </w:r>
      <w:r w:rsidRPr="00BE1401">
        <w:rPr>
          <w:b/>
          <w:bCs/>
        </w:rPr>
        <w:t xml:space="preserve"> </w:t>
      </w:r>
      <w:r w:rsidR="000549D0">
        <w:rPr>
          <w:b/>
          <w:bCs/>
        </w:rPr>
        <w:t xml:space="preserve">per </w:t>
      </w:r>
      <w:r w:rsidR="003A64E1">
        <w:rPr>
          <w:b/>
          <w:bCs/>
        </w:rPr>
        <w:t xml:space="preserve">band </w:t>
      </w:r>
      <w:r w:rsidRPr="00BE1401">
        <w:rPr>
          <w:b/>
          <w:bCs/>
        </w:rPr>
        <w:t xml:space="preserve">including the smallest CBW, there would be no problem as </w:t>
      </w:r>
      <w:r w:rsidR="003A64E1">
        <w:rPr>
          <w:b/>
          <w:bCs/>
        </w:rPr>
        <w:t>indicate</w:t>
      </w:r>
      <w:r w:rsidR="000549D0">
        <w:rPr>
          <w:b/>
          <w:bCs/>
        </w:rPr>
        <w:t>d</w:t>
      </w:r>
      <w:r w:rsidR="003A64E1">
        <w:rPr>
          <w:b/>
          <w:bCs/>
        </w:rPr>
        <w:t xml:space="preserve"> in the LS</w:t>
      </w:r>
      <w:r w:rsidRPr="00BE1401">
        <w:rPr>
          <w:b/>
          <w:bCs/>
        </w:rPr>
        <w:t xml:space="preserve">.  </w:t>
      </w:r>
    </w:p>
    <w:p w14:paraId="78D75CF2" w14:textId="37F0697D" w:rsidR="00A775A0" w:rsidRDefault="00671E8A" w:rsidP="002059ED">
      <w:r>
        <w:t xml:space="preserve">Related to this comment, if a new CBW is added to a certain band in a </w:t>
      </w:r>
      <w:r w:rsidR="00482C95">
        <w:t xml:space="preserve">certain </w:t>
      </w:r>
      <w:r>
        <w:t xml:space="preserve">release, to guarantee backward compatibility, UE CBW for </w:t>
      </w:r>
      <w:proofErr w:type="spellStart"/>
      <w:r>
        <w:t>RRC_idle</w:t>
      </w:r>
      <w:proofErr w:type="spellEnd"/>
      <w:r>
        <w:t xml:space="preserve"> should be selected from CBWs </w:t>
      </w:r>
      <w:r w:rsidR="00551B10">
        <w:t xml:space="preserve">mandatory </w:t>
      </w:r>
      <w:r>
        <w:t xml:space="preserve">supported in earlier release(s) otherwise </w:t>
      </w:r>
      <w:r w:rsidR="000549D0">
        <w:t xml:space="preserve">a </w:t>
      </w:r>
      <w:r>
        <w:t xml:space="preserve">UE </w:t>
      </w:r>
      <w:r w:rsidR="000549D0">
        <w:t xml:space="preserve">of </w:t>
      </w:r>
      <w:r>
        <w:t>earlier release(s)</w:t>
      </w:r>
      <w:r w:rsidR="00D24643">
        <w:t xml:space="preserve"> </w:t>
      </w:r>
      <w:r>
        <w:t>could not gain access to a cell indicating (unknown) UE CBW.</w:t>
      </w:r>
      <w:r w:rsidR="000549D0">
        <w:t xml:space="preserve"> </w:t>
      </w:r>
    </w:p>
    <w:p w14:paraId="1D0BA8DE" w14:textId="77777777" w:rsidR="00CF6FDD" w:rsidRDefault="00CF6FDD" w:rsidP="002059ED"/>
    <w:p w14:paraId="57932917" w14:textId="1E36C5F4" w:rsidR="00A775A0" w:rsidRPr="0085101A" w:rsidRDefault="00A775A0" w:rsidP="00A775A0">
      <w:pPr>
        <w:pStyle w:val="2"/>
      </w:pPr>
      <w:r>
        <w:t>3.4 Answers to the LS</w:t>
      </w:r>
    </w:p>
    <w:p w14:paraId="51B8CDB5" w14:textId="22EA6E5C" w:rsidR="00A775A0" w:rsidRDefault="00A775A0" w:rsidP="002059ED">
      <w:r>
        <w:rPr>
          <w:rFonts w:hint="eastAsia"/>
        </w:rPr>
        <w:t>B</w:t>
      </w:r>
      <w:r>
        <w:t xml:space="preserve">ased on the discussion above, answers to the LS would be: </w:t>
      </w:r>
    </w:p>
    <w:p w14:paraId="189A759B" w14:textId="40B8AAC9" w:rsidR="000549D0" w:rsidRDefault="00A775A0" w:rsidP="000549D0">
      <w:r>
        <w:rPr>
          <w:rFonts w:hint="eastAsia"/>
        </w:rPr>
        <w:t>Q</w:t>
      </w:r>
      <w:r>
        <w:t>1) Depending on UE CBW indication method (sec 3.2).</w:t>
      </w:r>
    </w:p>
    <w:p w14:paraId="45282ADC" w14:textId="5C19C3A3" w:rsidR="00A775A0" w:rsidRDefault="00A775A0" w:rsidP="002059ED">
      <w:r>
        <w:t>Q2) No and we need to define a method.</w:t>
      </w:r>
    </w:p>
    <w:p w14:paraId="774CDDA4" w14:textId="749EC3D0" w:rsidR="00A775A0" w:rsidRDefault="00A775A0" w:rsidP="002059ED">
      <w:r>
        <w:t>C1) The case is not likely (sec 3.3).</w:t>
      </w:r>
    </w:p>
    <w:p w14:paraId="320F4FA2" w14:textId="77777777" w:rsidR="00E55C0D" w:rsidRPr="00E55C0D" w:rsidRDefault="00E55C0D" w:rsidP="00E55C0D"/>
    <w:p w14:paraId="513EC189" w14:textId="54369CD4" w:rsidR="009A2D69" w:rsidRDefault="000549D0" w:rsidP="009A2D69">
      <w:pPr>
        <w:pStyle w:val="1"/>
      </w:pPr>
      <w:r>
        <w:t>4</w:t>
      </w:r>
      <w:r w:rsidR="009A2D69">
        <w:rPr>
          <w:rFonts w:hint="eastAsia"/>
        </w:rPr>
        <w:tab/>
      </w:r>
      <w:r w:rsidR="00F0113E">
        <w:t>Conclusion</w:t>
      </w:r>
    </w:p>
    <w:p w14:paraId="289593FF" w14:textId="4F85AEED" w:rsidR="00B92D30" w:rsidRDefault="00A71848" w:rsidP="00B92D30">
      <w:r>
        <w:rPr>
          <w:rFonts w:hint="eastAsia"/>
        </w:rPr>
        <w:t>T</w:t>
      </w:r>
      <w:r>
        <w:t xml:space="preserve">his paper is to discuss </w:t>
      </w:r>
      <w:proofErr w:type="gramStart"/>
      <w:r>
        <w:t>an</w:t>
      </w:r>
      <w:proofErr w:type="gramEnd"/>
      <w:r>
        <w:t xml:space="preserve"> LS from RAN2 on UE CBW indication during </w:t>
      </w:r>
      <w:proofErr w:type="spellStart"/>
      <w:r>
        <w:t>RRC_idle</w:t>
      </w:r>
      <w:proofErr w:type="spellEnd"/>
      <w:r>
        <w:t xml:space="preserve">. </w:t>
      </w:r>
      <w:r w:rsidR="006A26BA">
        <w:t xml:space="preserve">Either initial BWP bandwidth or channel bandwidth can be used for this purpose, with some constraints on values taken to avoid ambiguity. Decision is needed to select one of these. </w:t>
      </w:r>
    </w:p>
    <w:p w14:paraId="730D36CF" w14:textId="77777777" w:rsidR="00E33758" w:rsidRDefault="00E33758" w:rsidP="00E33758">
      <w:pPr>
        <w:pStyle w:val="1"/>
      </w:pPr>
      <w:r>
        <w:rPr>
          <w:rFonts w:hint="eastAsia"/>
        </w:rPr>
        <w:t>Reference</w:t>
      </w:r>
    </w:p>
    <w:p w14:paraId="0BFE7391" w14:textId="572F573B" w:rsidR="004324AE" w:rsidRDefault="004324AE" w:rsidP="000206D0">
      <w:pPr>
        <w:pStyle w:val="References"/>
        <w:rPr>
          <w:kern w:val="2"/>
          <w:lang w:eastAsia="zh-CN"/>
        </w:rPr>
      </w:pPr>
      <w:r>
        <w:rPr>
          <w:rFonts w:hint="eastAsia"/>
          <w:kern w:val="2"/>
          <w:lang w:eastAsia="zh-CN"/>
        </w:rPr>
        <w:t>R</w:t>
      </w:r>
      <w:r>
        <w:rPr>
          <w:kern w:val="2"/>
          <w:lang w:eastAsia="zh-CN"/>
        </w:rPr>
        <w:t>4-1902867</w:t>
      </w:r>
      <w:r>
        <w:rPr>
          <w:kern w:val="2"/>
          <w:lang w:eastAsia="zh-CN"/>
        </w:rPr>
        <w:tab/>
      </w:r>
      <w:r>
        <w:rPr>
          <w:kern w:val="2"/>
          <w:lang w:eastAsia="zh-CN"/>
        </w:rPr>
        <w:tab/>
      </w:r>
      <w:r w:rsidRPr="004324AE">
        <w:rPr>
          <w:kern w:val="2"/>
          <w:lang w:eastAsia="zh-CN"/>
        </w:rPr>
        <w:t xml:space="preserve">On UE CBW determination in </w:t>
      </w:r>
      <w:proofErr w:type="spellStart"/>
      <w:r w:rsidRPr="004324AE">
        <w:rPr>
          <w:kern w:val="2"/>
          <w:lang w:eastAsia="zh-CN"/>
        </w:rPr>
        <w:t>RRC_idle</w:t>
      </w:r>
      <w:proofErr w:type="spellEnd"/>
      <w:r w:rsidRPr="004324AE">
        <w:rPr>
          <w:kern w:val="2"/>
          <w:lang w:eastAsia="zh-CN"/>
        </w:rPr>
        <w:t xml:space="preserve"> state</w:t>
      </w:r>
      <w:r>
        <w:rPr>
          <w:kern w:val="2"/>
          <w:lang w:eastAsia="zh-CN"/>
        </w:rPr>
        <w:t xml:space="preserve">, SoftBank, </w:t>
      </w:r>
      <w:r w:rsidR="006D3454">
        <w:rPr>
          <w:kern w:val="2"/>
          <w:lang w:eastAsia="zh-CN"/>
        </w:rPr>
        <w:t>RAN4#90bis (Xi’an)</w:t>
      </w:r>
      <w:bookmarkStart w:id="0" w:name="_GoBack"/>
      <w:bookmarkEnd w:id="0"/>
    </w:p>
    <w:p w14:paraId="09EF0BA2" w14:textId="088FB424" w:rsidR="000206D0" w:rsidRPr="00FB4B34" w:rsidRDefault="00B92D30" w:rsidP="000206D0">
      <w:pPr>
        <w:pStyle w:val="References"/>
        <w:rPr>
          <w:kern w:val="2"/>
          <w:lang w:eastAsia="zh-CN"/>
        </w:rPr>
      </w:pPr>
      <w:r>
        <w:rPr>
          <w:kern w:val="2"/>
          <w:lang w:eastAsia="zh-CN"/>
        </w:rPr>
        <w:t>R</w:t>
      </w:r>
      <w:r w:rsidR="000206D0" w:rsidRPr="00FB4B34">
        <w:rPr>
          <w:kern w:val="2"/>
          <w:lang w:eastAsia="zh-CN"/>
        </w:rPr>
        <w:t>4-190</w:t>
      </w:r>
      <w:r w:rsidR="000206D0">
        <w:rPr>
          <w:kern w:val="2"/>
          <w:lang w:eastAsia="zh-CN"/>
        </w:rPr>
        <w:t>7911</w:t>
      </w:r>
      <w:r w:rsidR="000206D0" w:rsidRPr="00FB4B34">
        <w:rPr>
          <w:kern w:val="2"/>
          <w:lang w:eastAsia="zh-CN"/>
        </w:rPr>
        <w:tab/>
        <w:t xml:space="preserve">   </w:t>
      </w:r>
      <w:r w:rsidR="000206D0" w:rsidRPr="00EF1A18">
        <w:rPr>
          <w:kern w:val="2"/>
          <w:lang w:eastAsia="zh-CN"/>
        </w:rPr>
        <w:t>LS on supported BW for initial BWP</w:t>
      </w:r>
      <w:r w:rsidR="000206D0">
        <w:rPr>
          <w:kern w:val="2"/>
          <w:lang w:eastAsia="zh-CN"/>
        </w:rPr>
        <w:t>, RAN2, Nokia (R2-1908301)</w:t>
      </w:r>
    </w:p>
    <w:p w14:paraId="05D5E5D8" w14:textId="77777777" w:rsidR="00B33A57" w:rsidRPr="00B33A57" w:rsidRDefault="00B33A57" w:rsidP="00B33A57">
      <w:pPr>
        <w:pStyle w:val="References"/>
        <w:numPr>
          <w:ilvl w:val="0"/>
          <w:numId w:val="0"/>
        </w:numPr>
        <w:ind w:left="360" w:hanging="360"/>
        <w:rPr>
          <w:lang w:val="en-GB" w:eastAsia="zh-CN"/>
        </w:rPr>
      </w:pPr>
    </w:p>
    <w:sectPr w:rsidR="00B33A57" w:rsidRPr="00B33A57"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D4E86" w14:textId="77777777" w:rsidR="00531C31" w:rsidRDefault="00531C31">
      <w:pPr>
        <w:spacing w:after="0"/>
      </w:pPr>
      <w:r>
        <w:separator/>
      </w:r>
    </w:p>
  </w:endnote>
  <w:endnote w:type="continuationSeparator" w:id="0">
    <w:p w14:paraId="53B1BE89" w14:textId="77777777" w:rsidR="00531C31" w:rsidRDefault="00531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ourier">
    <w:panose1 w:val="02000500000000000000"/>
    <w:charset w:val="00"/>
    <w:family w:val="auto"/>
    <w:pitch w:val="variable"/>
    <w:sig w:usb0="00000003" w:usb1="00000000" w:usb2="00000000" w:usb3="00000000" w:csb0="00000003"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DE4B9E">
      <w:rPr>
        <w:rStyle w:val="aff0"/>
      </w:rPr>
      <w:t>1</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CAAAB" w14:textId="77777777" w:rsidR="00531C31" w:rsidRDefault="00531C31">
      <w:pPr>
        <w:spacing w:after="0"/>
      </w:pPr>
      <w:r>
        <w:separator/>
      </w:r>
    </w:p>
  </w:footnote>
  <w:footnote w:type="continuationSeparator" w:id="0">
    <w:p w14:paraId="71507829" w14:textId="77777777" w:rsidR="00531C31" w:rsidRDefault="00531C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20"/>
  </w:num>
  <w:num w:numId="4">
    <w:abstractNumId w:val="15"/>
  </w:num>
  <w:num w:numId="5">
    <w:abstractNumId w:val="2"/>
  </w:num>
  <w:num w:numId="6">
    <w:abstractNumId w:val="18"/>
  </w:num>
  <w:num w:numId="7">
    <w:abstractNumId w:val="8"/>
  </w:num>
  <w:num w:numId="8">
    <w:abstractNumId w:val="4"/>
  </w:num>
  <w:num w:numId="9">
    <w:abstractNumId w:val="10"/>
  </w:num>
  <w:num w:numId="10">
    <w:abstractNumId w:val="11"/>
  </w:num>
  <w:num w:numId="11">
    <w:abstractNumId w:val="1"/>
  </w:num>
  <w:num w:numId="12">
    <w:abstractNumId w:val="16"/>
  </w:num>
  <w:num w:numId="13">
    <w:abstractNumId w:val="14"/>
  </w:num>
  <w:num w:numId="14">
    <w:abstractNumId w:val="5"/>
  </w:num>
  <w:num w:numId="15">
    <w:abstractNumId w:val="17"/>
  </w:num>
  <w:num w:numId="16">
    <w:abstractNumId w:val="19"/>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3"/>
  </w:num>
  <w:num w:numId="19">
    <w:abstractNumId w:val="7"/>
  </w:num>
  <w:num w:numId="20">
    <w:abstractNumId w:val="21"/>
  </w:num>
  <w:num w:numId="21">
    <w:abstractNumId w:val="12"/>
  </w:num>
  <w:num w:numId="2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1FEB"/>
    <w:rsid w:val="0000225E"/>
    <w:rsid w:val="000056A4"/>
    <w:rsid w:val="00014E9F"/>
    <w:rsid w:val="0001566B"/>
    <w:rsid w:val="000206D0"/>
    <w:rsid w:val="00024DA4"/>
    <w:rsid w:val="00026A29"/>
    <w:rsid w:val="00030BCF"/>
    <w:rsid w:val="00035F3E"/>
    <w:rsid w:val="00036E16"/>
    <w:rsid w:val="00044BBA"/>
    <w:rsid w:val="00045A9C"/>
    <w:rsid w:val="00045C88"/>
    <w:rsid w:val="000463A0"/>
    <w:rsid w:val="00054928"/>
    <w:rsid w:val="000549D0"/>
    <w:rsid w:val="0005544A"/>
    <w:rsid w:val="00062892"/>
    <w:rsid w:val="00063501"/>
    <w:rsid w:val="0008221C"/>
    <w:rsid w:val="00082819"/>
    <w:rsid w:val="00090B01"/>
    <w:rsid w:val="00090D7B"/>
    <w:rsid w:val="00095A8F"/>
    <w:rsid w:val="000A1DA5"/>
    <w:rsid w:val="000A37AD"/>
    <w:rsid w:val="000A465C"/>
    <w:rsid w:val="000A5D27"/>
    <w:rsid w:val="000B0500"/>
    <w:rsid w:val="000B27A4"/>
    <w:rsid w:val="000C4DEC"/>
    <w:rsid w:val="000C75FF"/>
    <w:rsid w:val="000D2E86"/>
    <w:rsid w:val="000D324F"/>
    <w:rsid w:val="000E16D6"/>
    <w:rsid w:val="000E1F12"/>
    <w:rsid w:val="000E3A37"/>
    <w:rsid w:val="000E4C8E"/>
    <w:rsid w:val="000F545F"/>
    <w:rsid w:val="00104820"/>
    <w:rsid w:val="001122B3"/>
    <w:rsid w:val="00112D79"/>
    <w:rsid w:val="001138A2"/>
    <w:rsid w:val="00120111"/>
    <w:rsid w:val="00124DFB"/>
    <w:rsid w:val="00136C58"/>
    <w:rsid w:val="001420DB"/>
    <w:rsid w:val="0014450F"/>
    <w:rsid w:val="00145F57"/>
    <w:rsid w:val="0015211A"/>
    <w:rsid w:val="001528FC"/>
    <w:rsid w:val="00155397"/>
    <w:rsid w:val="00155751"/>
    <w:rsid w:val="00164529"/>
    <w:rsid w:val="00174A9B"/>
    <w:rsid w:val="00175728"/>
    <w:rsid w:val="00177464"/>
    <w:rsid w:val="00180397"/>
    <w:rsid w:val="00181E0D"/>
    <w:rsid w:val="001855CD"/>
    <w:rsid w:val="00191A8C"/>
    <w:rsid w:val="00192DF9"/>
    <w:rsid w:val="00194543"/>
    <w:rsid w:val="00196005"/>
    <w:rsid w:val="001964AC"/>
    <w:rsid w:val="001A609A"/>
    <w:rsid w:val="001A7548"/>
    <w:rsid w:val="001B19A0"/>
    <w:rsid w:val="001B3737"/>
    <w:rsid w:val="001B5130"/>
    <w:rsid w:val="001B771C"/>
    <w:rsid w:val="001C0B5D"/>
    <w:rsid w:val="001C0FB6"/>
    <w:rsid w:val="001C56C6"/>
    <w:rsid w:val="001C65E5"/>
    <w:rsid w:val="001C6D2C"/>
    <w:rsid w:val="001C7584"/>
    <w:rsid w:val="001D3728"/>
    <w:rsid w:val="001D40C1"/>
    <w:rsid w:val="001D6D00"/>
    <w:rsid w:val="001D72C0"/>
    <w:rsid w:val="001D7432"/>
    <w:rsid w:val="001D753E"/>
    <w:rsid w:val="001D78C1"/>
    <w:rsid w:val="001E2BBB"/>
    <w:rsid w:val="001E4B37"/>
    <w:rsid w:val="001E4E68"/>
    <w:rsid w:val="001F3AE6"/>
    <w:rsid w:val="00201A99"/>
    <w:rsid w:val="00202609"/>
    <w:rsid w:val="002059ED"/>
    <w:rsid w:val="0020797D"/>
    <w:rsid w:val="002150DB"/>
    <w:rsid w:val="00216A0B"/>
    <w:rsid w:val="00220F5A"/>
    <w:rsid w:val="002214A3"/>
    <w:rsid w:val="0022156B"/>
    <w:rsid w:val="00223F9A"/>
    <w:rsid w:val="00242AE8"/>
    <w:rsid w:val="00245A5B"/>
    <w:rsid w:val="00253A60"/>
    <w:rsid w:val="00260E0B"/>
    <w:rsid w:val="002615FC"/>
    <w:rsid w:val="00267707"/>
    <w:rsid w:val="00270939"/>
    <w:rsid w:val="00271320"/>
    <w:rsid w:val="002758B4"/>
    <w:rsid w:val="00280060"/>
    <w:rsid w:val="00281438"/>
    <w:rsid w:val="00281F51"/>
    <w:rsid w:val="00285878"/>
    <w:rsid w:val="00290080"/>
    <w:rsid w:val="00292E59"/>
    <w:rsid w:val="00293A52"/>
    <w:rsid w:val="00293CA9"/>
    <w:rsid w:val="0029584A"/>
    <w:rsid w:val="002963C0"/>
    <w:rsid w:val="002A488D"/>
    <w:rsid w:val="002B3967"/>
    <w:rsid w:val="002B4652"/>
    <w:rsid w:val="002B4D44"/>
    <w:rsid w:val="002C4A12"/>
    <w:rsid w:val="002C6EC3"/>
    <w:rsid w:val="002D2564"/>
    <w:rsid w:val="002D5367"/>
    <w:rsid w:val="002D6480"/>
    <w:rsid w:val="002E0B98"/>
    <w:rsid w:val="002E1219"/>
    <w:rsid w:val="002E14AF"/>
    <w:rsid w:val="002E1CE4"/>
    <w:rsid w:val="002E36BF"/>
    <w:rsid w:val="002E5FB2"/>
    <w:rsid w:val="002E717D"/>
    <w:rsid w:val="002F4C97"/>
    <w:rsid w:val="002F7A4A"/>
    <w:rsid w:val="00301383"/>
    <w:rsid w:val="00310324"/>
    <w:rsid w:val="00327128"/>
    <w:rsid w:val="00332863"/>
    <w:rsid w:val="0033650D"/>
    <w:rsid w:val="003452DD"/>
    <w:rsid w:val="00350176"/>
    <w:rsid w:val="0035246E"/>
    <w:rsid w:val="00352540"/>
    <w:rsid w:val="00352BA1"/>
    <w:rsid w:val="00356616"/>
    <w:rsid w:val="00372421"/>
    <w:rsid w:val="00374657"/>
    <w:rsid w:val="003755AD"/>
    <w:rsid w:val="00375DCC"/>
    <w:rsid w:val="00376AE9"/>
    <w:rsid w:val="00380431"/>
    <w:rsid w:val="0038175A"/>
    <w:rsid w:val="00384301"/>
    <w:rsid w:val="00384BA0"/>
    <w:rsid w:val="00384DF3"/>
    <w:rsid w:val="00391B7A"/>
    <w:rsid w:val="00392B12"/>
    <w:rsid w:val="003A0666"/>
    <w:rsid w:val="003A1581"/>
    <w:rsid w:val="003A64E1"/>
    <w:rsid w:val="003A66D0"/>
    <w:rsid w:val="003B0631"/>
    <w:rsid w:val="003B205C"/>
    <w:rsid w:val="003B5A99"/>
    <w:rsid w:val="003B5C61"/>
    <w:rsid w:val="003C0E6D"/>
    <w:rsid w:val="003C0F43"/>
    <w:rsid w:val="003C24EE"/>
    <w:rsid w:val="003C297E"/>
    <w:rsid w:val="003D1359"/>
    <w:rsid w:val="003E340E"/>
    <w:rsid w:val="003F1D65"/>
    <w:rsid w:val="003F2FD3"/>
    <w:rsid w:val="003F4928"/>
    <w:rsid w:val="00411C04"/>
    <w:rsid w:val="0041215C"/>
    <w:rsid w:val="004202CC"/>
    <w:rsid w:val="00423786"/>
    <w:rsid w:val="004244B0"/>
    <w:rsid w:val="004261DE"/>
    <w:rsid w:val="00430804"/>
    <w:rsid w:val="004324AE"/>
    <w:rsid w:val="004347B3"/>
    <w:rsid w:val="00435850"/>
    <w:rsid w:val="00437918"/>
    <w:rsid w:val="004426E6"/>
    <w:rsid w:val="00443C54"/>
    <w:rsid w:val="00446252"/>
    <w:rsid w:val="00451CA5"/>
    <w:rsid w:val="00456B6F"/>
    <w:rsid w:val="004573A2"/>
    <w:rsid w:val="0046552C"/>
    <w:rsid w:val="004671BB"/>
    <w:rsid w:val="00482C95"/>
    <w:rsid w:val="00484694"/>
    <w:rsid w:val="00487F9E"/>
    <w:rsid w:val="0049194D"/>
    <w:rsid w:val="0049469B"/>
    <w:rsid w:val="00494D13"/>
    <w:rsid w:val="00496DBA"/>
    <w:rsid w:val="004A16BC"/>
    <w:rsid w:val="004B13CE"/>
    <w:rsid w:val="004B1678"/>
    <w:rsid w:val="004B565C"/>
    <w:rsid w:val="004C1239"/>
    <w:rsid w:val="004C54AB"/>
    <w:rsid w:val="004C65FE"/>
    <w:rsid w:val="004C6B25"/>
    <w:rsid w:val="004D048B"/>
    <w:rsid w:val="004D25DD"/>
    <w:rsid w:val="004D2D79"/>
    <w:rsid w:val="004D55E7"/>
    <w:rsid w:val="004D67F1"/>
    <w:rsid w:val="004E10FC"/>
    <w:rsid w:val="004E2823"/>
    <w:rsid w:val="004E6F90"/>
    <w:rsid w:val="004E7A1E"/>
    <w:rsid w:val="004E7EC5"/>
    <w:rsid w:val="0050291C"/>
    <w:rsid w:val="0050659A"/>
    <w:rsid w:val="00514438"/>
    <w:rsid w:val="00514A7F"/>
    <w:rsid w:val="00517AD8"/>
    <w:rsid w:val="00517F63"/>
    <w:rsid w:val="00521F3D"/>
    <w:rsid w:val="0052212D"/>
    <w:rsid w:val="00522E71"/>
    <w:rsid w:val="0052634E"/>
    <w:rsid w:val="005272AD"/>
    <w:rsid w:val="00531C31"/>
    <w:rsid w:val="00532B9C"/>
    <w:rsid w:val="00533232"/>
    <w:rsid w:val="00540685"/>
    <w:rsid w:val="005423A1"/>
    <w:rsid w:val="00544FF5"/>
    <w:rsid w:val="005455EE"/>
    <w:rsid w:val="00547429"/>
    <w:rsid w:val="0054752A"/>
    <w:rsid w:val="00547867"/>
    <w:rsid w:val="00550DDB"/>
    <w:rsid w:val="00551B10"/>
    <w:rsid w:val="00552094"/>
    <w:rsid w:val="005561B0"/>
    <w:rsid w:val="00560FAC"/>
    <w:rsid w:val="005624A6"/>
    <w:rsid w:val="00565C69"/>
    <w:rsid w:val="00591CB3"/>
    <w:rsid w:val="00595DA4"/>
    <w:rsid w:val="005A591E"/>
    <w:rsid w:val="005B02B1"/>
    <w:rsid w:val="005B4B1E"/>
    <w:rsid w:val="005B581E"/>
    <w:rsid w:val="005B627E"/>
    <w:rsid w:val="005B695F"/>
    <w:rsid w:val="005C412B"/>
    <w:rsid w:val="005D07D5"/>
    <w:rsid w:val="005D2B9D"/>
    <w:rsid w:val="005E025B"/>
    <w:rsid w:val="005E21C4"/>
    <w:rsid w:val="005E528C"/>
    <w:rsid w:val="005F0311"/>
    <w:rsid w:val="005F03EE"/>
    <w:rsid w:val="005F32FC"/>
    <w:rsid w:val="005F5E0C"/>
    <w:rsid w:val="005F7487"/>
    <w:rsid w:val="006024F8"/>
    <w:rsid w:val="0060723F"/>
    <w:rsid w:val="006242AC"/>
    <w:rsid w:val="00624AD1"/>
    <w:rsid w:val="00630D0D"/>
    <w:rsid w:val="0063135C"/>
    <w:rsid w:val="0063216B"/>
    <w:rsid w:val="00636FFC"/>
    <w:rsid w:val="00645B64"/>
    <w:rsid w:val="0064691E"/>
    <w:rsid w:val="00653FF6"/>
    <w:rsid w:val="00654BDF"/>
    <w:rsid w:val="00665524"/>
    <w:rsid w:val="00671E8A"/>
    <w:rsid w:val="00673A21"/>
    <w:rsid w:val="0067764D"/>
    <w:rsid w:val="00677AB3"/>
    <w:rsid w:val="006878EB"/>
    <w:rsid w:val="00687D9A"/>
    <w:rsid w:val="00691927"/>
    <w:rsid w:val="00695926"/>
    <w:rsid w:val="00695F9B"/>
    <w:rsid w:val="006A0ED1"/>
    <w:rsid w:val="006A26BA"/>
    <w:rsid w:val="006A336C"/>
    <w:rsid w:val="006A43BF"/>
    <w:rsid w:val="006A65ED"/>
    <w:rsid w:val="006A7C3F"/>
    <w:rsid w:val="006B2AFB"/>
    <w:rsid w:val="006B4339"/>
    <w:rsid w:val="006B602D"/>
    <w:rsid w:val="006C1761"/>
    <w:rsid w:val="006C19AB"/>
    <w:rsid w:val="006C7BCE"/>
    <w:rsid w:val="006D1FE0"/>
    <w:rsid w:val="006D227C"/>
    <w:rsid w:val="006D22FF"/>
    <w:rsid w:val="006D3454"/>
    <w:rsid w:val="006D5395"/>
    <w:rsid w:val="006D6B31"/>
    <w:rsid w:val="006E5B78"/>
    <w:rsid w:val="006F3155"/>
    <w:rsid w:val="006F43CD"/>
    <w:rsid w:val="00700DF8"/>
    <w:rsid w:val="0070409C"/>
    <w:rsid w:val="0071614B"/>
    <w:rsid w:val="00716C26"/>
    <w:rsid w:val="00717E86"/>
    <w:rsid w:val="007232F3"/>
    <w:rsid w:val="00726447"/>
    <w:rsid w:val="00731363"/>
    <w:rsid w:val="00733476"/>
    <w:rsid w:val="007345A0"/>
    <w:rsid w:val="007379DF"/>
    <w:rsid w:val="00737A95"/>
    <w:rsid w:val="007404AC"/>
    <w:rsid w:val="007437BF"/>
    <w:rsid w:val="00744E2C"/>
    <w:rsid w:val="00747B4F"/>
    <w:rsid w:val="007565AA"/>
    <w:rsid w:val="0075699C"/>
    <w:rsid w:val="007613F0"/>
    <w:rsid w:val="00767E30"/>
    <w:rsid w:val="00767EEB"/>
    <w:rsid w:val="007808B9"/>
    <w:rsid w:val="00782B1F"/>
    <w:rsid w:val="00782B9F"/>
    <w:rsid w:val="0078602F"/>
    <w:rsid w:val="007871A3"/>
    <w:rsid w:val="00787FC5"/>
    <w:rsid w:val="007931C0"/>
    <w:rsid w:val="00796509"/>
    <w:rsid w:val="007A1AC6"/>
    <w:rsid w:val="007A348F"/>
    <w:rsid w:val="007A5DC1"/>
    <w:rsid w:val="007B2D1D"/>
    <w:rsid w:val="007B73C5"/>
    <w:rsid w:val="007C3FBA"/>
    <w:rsid w:val="007C58F2"/>
    <w:rsid w:val="007C59C1"/>
    <w:rsid w:val="007D2A29"/>
    <w:rsid w:val="007D484F"/>
    <w:rsid w:val="007D6C50"/>
    <w:rsid w:val="007D6CED"/>
    <w:rsid w:val="007E06F6"/>
    <w:rsid w:val="007E7719"/>
    <w:rsid w:val="007F0C89"/>
    <w:rsid w:val="007F234F"/>
    <w:rsid w:val="007F79B2"/>
    <w:rsid w:val="00802CC9"/>
    <w:rsid w:val="00804D71"/>
    <w:rsid w:val="008063F4"/>
    <w:rsid w:val="00806522"/>
    <w:rsid w:val="0081317E"/>
    <w:rsid w:val="00814A22"/>
    <w:rsid w:val="0082166C"/>
    <w:rsid w:val="008275E5"/>
    <w:rsid w:val="008321BA"/>
    <w:rsid w:val="00832BA2"/>
    <w:rsid w:val="008414F7"/>
    <w:rsid w:val="008436F6"/>
    <w:rsid w:val="00845FF2"/>
    <w:rsid w:val="0084735D"/>
    <w:rsid w:val="00850B94"/>
    <w:rsid w:val="0085101A"/>
    <w:rsid w:val="00852955"/>
    <w:rsid w:val="00853E0B"/>
    <w:rsid w:val="00854E8C"/>
    <w:rsid w:val="00854F52"/>
    <w:rsid w:val="00857937"/>
    <w:rsid w:val="0086184A"/>
    <w:rsid w:val="00871806"/>
    <w:rsid w:val="00880073"/>
    <w:rsid w:val="0088051D"/>
    <w:rsid w:val="00882802"/>
    <w:rsid w:val="00882BFC"/>
    <w:rsid w:val="00884AE6"/>
    <w:rsid w:val="0088680C"/>
    <w:rsid w:val="00891DF8"/>
    <w:rsid w:val="008921D9"/>
    <w:rsid w:val="008B0202"/>
    <w:rsid w:val="008B3F9C"/>
    <w:rsid w:val="008B4D1F"/>
    <w:rsid w:val="008B5C67"/>
    <w:rsid w:val="008C4BD7"/>
    <w:rsid w:val="008C5F2F"/>
    <w:rsid w:val="008D52B8"/>
    <w:rsid w:val="008E5D7A"/>
    <w:rsid w:val="008E6069"/>
    <w:rsid w:val="008F202D"/>
    <w:rsid w:val="008F218E"/>
    <w:rsid w:val="008F3BF3"/>
    <w:rsid w:val="008F5F27"/>
    <w:rsid w:val="00900B95"/>
    <w:rsid w:val="00900F54"/>
    <w:rsid w:val="00903522"/>
    <w:rsid w:val="00904691"/>
    <w:rsid w:val="0090486B"/>
    <w:rsid w:val="0090730C"/>
    <w:rsid w:val="0091058A"/>
    <w:rsid w:val="009138B8"/>
    <w:rsid w:val="00916089"/>
    <w:rsid w:val="00916C19"/>
    <w:rsid w:val="00923627"/>
    <w:rsid w:val="0093091E"/>
    <w:rsid w:val="009374E6"/>
    <w:rsid w:val="009377EE"/>
    <w:rsid w:val="00937AC3"/>
    <w:rsid w:val="00942832"/>
    <w:rsid w:val="00943BE5"/>
    <w:rsid w:val="00943F3E"/>
    <w:rsid w:val="00954E0E"/>
    <w:rsid w:val="0095753D"/>
    <w:rsid w:val="0095767B"/>
    <w:rsid w:val="0096552F"/>
    <w:rsid w:val="009668BE"/>
    <w:rsid w:val="009709DF"/>
    <w:rsid w:val="0097655E"/>
    <w:rsid w:val="0098674F"/>
    <w:rsid w:val="009927F8"/>
    <w:rsid w:val="00997C6F"/>
    <w:rsid w:val="009A2939"/>
    <w:rsid w:val="009A2D69"/>
    <w:rsid w:val="009A653B"/>
    <w:rsid w:val="009B19D5"/>
    <w:rsid w:val="009B254C"/>
    <w:rsid w:val="009B47DD"/>
    <w:rsid w:val="009B4EE8"/>
    <w:rsid w:val="009C39D6"/>
    <w:rsid w:val="009C7A19"/>
    <w:rsid w:val="009D1693"/>
    <w:rsid w:val="009D1E8D"/>
    <w:rsid w:val="009D29F2"/>
    <w:rsid w:val="009D2FDA"/>
    <w:rsid w:val="009D3564"/>
    <w:rsid w:val="009D5DEE"/>
    <w:rsid w:val="009E07E6"/>
    <w:rsid w:val="009E40EC"/>
    <w:rsid w:val="009E49D8"/>
    <w:rsid w:val="009E50AC"/>
    <w:rsid w:val="009E7C64"/>
    <w:rsid w:val="009F1EC5"/>
    <w:rsid w:val="009F2516"/>
    <w:rsid w:val="009F38E6"/>
    <w:rsid w:val="009F79B0"/>
    <w:rsid w:val="00A054C8"/>
    <w:rsid w:val="00A114E2"/>
    <w:rsid w:val="00A119BE"/>
    <w:rsid w:val="00A13D97"/>
    <w:rsid w:val="00A1557B"/>
    <w:rsid w:val="00A23CE1"/>
    <w:rsid w:val="00A2450A"/>
    <w:rsid w:val="00A24DDF"/>
    <w:rsid w:val="00A32B32"/>
    <w:rsid w:val="00A33C35"/>
    <w:rsid w:val="00A410C0"/>
    <w:rsid w:val="00A4195D"/>
    <w:rsid w:val="00A41E04"/>
    <w:rsid w:val="00A508B2"/>
    <w:rsid w:val="00A55979"/>
    <w:rsid w:val="00A61F20"/>
    <w:rsid w:val="00A62266"/>
    <w:rsid w:val="00A62944"/>
    <w:rsid w:val="00A71848"/>
    <w:rsid w:val="00A72E13"/>
    <w:rsid w:val="00A775A0"/>
    <w:rsid w:val="00A92375"/>
    <w:rsid w:val="00A926DF"/>
    <w:rsid w:val="00AA2633"/>
    <w:rsid w:val="00AB56D4"/>
    <w:rsid w:val="00AB5F81"/>
    <w:rsid w:val="00AC03DB"/>
    <w:rsid w:val="00AC163D"/>
    <w:rsid w:val="00AC2683"/>
    <w:rsid w:val="00AC6678"/>
    <w:rsid w:val="00AC7BC7"/>
    <w:rsid w:val="00AD008E"/>
    <w:rsid w:val="00AD1151"/>
    <w:rsid w:val="00AE2B7F"/>
    <w:rsid w:val="00AF2A63"/>
    <w:rsid w:val="00AF5D01"/>
    <w:rsid w:val="00AF6C23"/>
    <w:rsid w:val="00B0603F"/>
    <w:rsid w:val="00B0635D"/>
    <w:rsid w:val="00B111CA"/>
    <w:rsid w:val="00B11710"/>
    <w:rsid w:val="00B148CF"/>
    <w:rsid w:val="00B14B42"/>
    <w:rsid w:val="00B15B3A"/>
    <w:rsid w:val="00B2125D"/>
    <w:rsid w:val="00B24236"/>
    <w:rsid w:val="00B31345"/>
    <w:rsid w:val="00B318B4"/>
    <w:rsid w:val="00B33A57"/>
    <w:rsid w:val="00B3693C"/>
    <w:rsid w:val="00B43792"/>
    <w:rsid w:val="00B44564"/>
    <w:rsid w:val="00B523D3"/>
    <w:rsid w:val="00B67829"/>
    <w:rsid w:val="00B67A37"/>
    <w:rsid w:val="00B73EFD"/>
    <w:rsid w:val="00B853A0"/>
    <w:rsid w:val="00B85B2B"/>
    <w:rsid w:val="00B86A30"/>
    <w:rsid w:val="00B92D30"/>
    <w:rsid w:val="00B960AE"/>
    <w:rsid w:val="00BA0B64"/>
    <w:rsid w:val="00BA5461"/>
    <w:rsid w:val="00BA7B02"/>
    <w:rsid w:val="00BB0D7B"/>
    <w:rsid w:val="00BB3F69"/>
    <w:rsid w:val="00BB41FC"/>
    <w:rsid w:val="00BC2E11"/>
    <w:rsid w:val="00BC4194"/>
    <w:rsid w:val="00BD6FD3"/>
    <w:rsid w:val="00BE1401"/>
    <w:rsid w:val="00BE40FF"/>
    <w:rsid w:val="00BE6747"/>
    <w:rsid w:val="00BF641A"/>
    <w:rsid w:val="00BF680B"/>
    <w:rsid w:val="00C037E6"/>
    <w:rsid w:val="00C03DF0"/>
    <w:rsid w:val="00C04526"/>
    <w:rsid w:val="00C0730D"/>
    <w:rsid w:val="00C11111"/>
    <w:rsid w:val="00C14F3A"/>
    <w:rsid w:val="00C16CB9"/>
    <w:rsid w:val="00C223AF"/>
    <w:rsid w:val="00C248F4"/>
    <w:rsid w:val="00C31D02"/>
    <w:rsid w:val="00C33748"/>
    <w:rsid w:val="00C35755"/>
    <w:rsid w:val="00C36114"/>
    <w:rsid w:val="00C37F3D"/>
    <w:rsid w:val="00C42252"/>
    <w:rsid w:val="00C42699"/>
    <w:rsid w:val="00C43CBB"/>
    <w:rsid w:val="00C44911"/>
    <w:rsid w:val="00C45AE7"/>
    <w:rsid w:val="00C47125"/>
    <w:rsid w:val="00C54D3F"/>
    <w:rsid w:val="00C55CD7"/>
    <w:rsid w:val="00C6503D"/>
    <w:rsid w:val="00C66EA2"/>
    <w:rsid w:val="00C7487C"/>
    <w:rsid w:val="00C85BA1"/>
    <w:rsid w:val="00C86462"/>
    <w:rsid w:val="00C87912"/>
    <w:rsid w:val="00C9214B"/>
    <w:rsid w:val="00C9276A"/>
    <w:rsid w:val="00C9389E"/>
    <w:rsid w:val="00C93A40"/>
    <w:rsid w:val="00C96D06"/>
    <w:rsid w:val="00CA688A"/>
    <w:rsid w:val="00CA7037"/>
    <w:rsid w:val="00CB3006"/>
    <w:rsid w:val="00CC1012"/>
    <w:rsid w:val="00CC1FAC"/>
    <w:rsid w:val="00CC2984"/>
    <w:rsid w:val="00CC4787"/>
    <w:rsid w:val="00CD3FCD"/>
    <w:rsid w:val="00CD4921"/>
    <w:rsid w:val="00CE14C6"/>
    <w:rsid w:val="00CE1632"/>
    <w:rsid w:val="00CE24ED"/>
    <w:rsid w:val="00CF2D4E"/>
    <w:rsid w:val="00CF37E1"/>
    <w:rsid w:val="00CF49D1"/>
    <w:rsid w:val="00CF6FDD"/>
    <w:rsid w:val="00D0179D"/>
    <w:rsid w:val="00D05377"/>
    <w:rsid w:val="00D064A8"/>
    <w:rsid w:val="00D064DF"/>
    <w:rsid w:val="00D116B9"/>
    <w:rsid w:val="00D13423"/>
    <w:rsid w:val="00D20322"/>
    <w:rsid w:val="00D21DBC"/>
    <w:rsid w:val="00D23210"/>
    <w:rsid w:val="00D243B4"/>
    <w:rsid w:val="00D24643"/>
    <w:rsid w:val="00D25105"/>
    <w:rsid w:val="00D261CD"/>
    <w:rsid w:val="00D30833"/>
    <w:rsid w:val="00D34B0D"/>
    <w:rsid w:val="00D35345"/>
    <w:rsid w:val="00D36636"/>
    <w:rsid w:val="00D52D4A"/>
    <w:rsid w:val="00D53FDB"/>
    <w:rsid w:val="00D5660C"/>
    <w:rsid w:val="00D62257"/>
    <w:rsid w:val="00D62512"/>
    <w:rsid w:val="00D64590"/>
    <w:rsid w:val="00D6483A"/>
    <w:rsid w:val="00D656F9"/>
    <w:rsid w:val="00D664D3"/>
    <w:rsid w:val="00D735C3"/>
    <w:rsid w:val="00D764A1"/>
    <w:rsid w:val="00D82D37"/>
    <w:rsid w:val="00D871DA"/>
    <w:rsid w:val="00D93032"/>
    <w:rsid w:val="00D959BC"/>
    <w:rsid w:val="00DA4AA0"/>
    <w:rsid w:val="00DA5FD7"/>
    <w:rsid w:val="00DA6869"/>
    <w:rsid w:val="00DA6D78"/>
    <w:rsid w:val="00DC52D8"/>
    <w:rsid w:val="00DC7750"/>
    <w:rsid w:val="00DD1E19"/>
    <w:rsid w:val="00DD486B"/>
    <w:rsid w:val="00DD5F7D"/>
    <w:rsid w:val="00DE4A68"/>
    <w:rsid w:val="00DE4B9E"/>
    <w:rsid w:val="00DE5F65"/>
    <w:rsid w:val="00DE7E65"/>
    <w:rsid w:val="00DF0F06"/>
    <w:rsid w:val="00DF17A7"/>
    <w:rsid w:val="00DF2955"/>
    <w:rsid w:val="00DF68C4"/>
    <w:rsid w:val="00E01A54"/>
    <w:rsid w:val="00E03042"/>
    <w:rsid w:val="00E03A83"/>
    <w:rsid w:val="00E23A98"/>
    <w:rsid w:val="00E272D2"/>
    <w:rsid w:val="00E33758"/>
    <w:rsid w:val="00E35277"/>
    <w:rsid w:val="00E355F1"/>
    <w:rsid w:val="00E41D87"/>
    <w:rsid w:val="00E43EE3"/>
    <w:rsid w:val="00E445C6"/>
    <w:rsid w:val="00E456CB"/>
    <w:rsid w:val="00E45D34"/>
    <w:rsid w:val="00E467A1"/>
    <w:rsid w:val="00E47D57"/>
    <w:rsid w:val="00E532C5"/>
    <w:rsid w:val="00E54BE0"/>
    <w:rsid w:val="00E55C0D"/>
    <w:rsid w:val="00E601D8"/>
    <w:rsid w:val="00E6165B"/>
    <w:rsid w:val="00E70BA1"/>
    <w:rsid w:val="00E750A6"/>
    <w:rsid w:val="00E7574F"/>
    <w:rsid w:val="00E77E57"/>
    <w:rsid w:val="00E93761"/>
    <w:rsid w:val="00EA0687"/>
    <w:rsid w:val="00EA2758"/>
    <w:rsid w:val="00EA532D"/>
    <w:rsid w:val="00EA60AF"/>
    <w:rsid w:val="00EB0BF1"/>
    <w:rsid w:val="00EB0DC9"/>
    <w:rsid w:val="00EB0FFD"/>
    <w:rsid w:val="00EB124B"/>
    <w:rsid w:val="00EB1379"/>
    <w:rsid w:val="00EB48D7"/>
    <w:rsid w:val="00EC76BC"/>
    <w:rsid w:val="00ED102A"/>
    <w:rsid w:val="00ED2B75"/>
    <w:rsid w:val="00ED2EC9"/>
    <w:rsid w:val="00ED35AB"/>
    <w:rsid w:val="00EE085D"/>
    <w:rsid w:val="00EE0C1D"/>
    <w:rsid w:val="00EE1731"/>
    <w:rsid w:val="00EE4EC8"/>
    <w:rsid w:val="00EF02C8"/>
    <w:rsid w:val="00EF51F1"/>
    <w:rsid w:val="00EF6A49"/>
    <w:rsid w:val="00F0113E"/>
    <w:rsid w:val="00F021C4"/>
    <w:rsid w:val="00F07524"/>
    <w:rsid w:val="00F10207"/>
    <w:rsid w:val="00F145DD"/>
    <w:rsid w:val="00F14DFA"/>
    <w:rsid w:val="00F154AC"/>
    <w:rsid w:val="00F24A32"/>
    <w:rsid w:val="00F25AF2"/>
    <w:rsid w:val="00F277C6"/>
    <w:rsid w:val="00F379C1"/>
    <w:rsid w:val="00F410EC"/>
    <w:rsid w:val="00F418E1"/>
    <w:rsid w:val="00F42412"/>
    <w:rsid w:val="00F43698"/>
    <w:rsid w:val="00F4461E"/>
    <w:rsid w:val="00F46338"/>
    <w:rsid w:val="00F47212"/>
    <w:rsid w:val="00F50728"/>
    <w:rsid w:val="00F51755"/>
    <w:rsid w:val="00F5333E"/>
    <w:rsid w:val="00F55136"/>
    <w:rsid w:val="00F604D6"/>
    <w:rsid w:val="00F63F34"/>
    <w:rsid w:val="00F642DB"/>
    <w:rsid w:val="00F66B3A"/>
    <w:rsid w:val="00F708E6"/>
    <w:rsid w:val="00F7135F"/>
    <w:rsid w:val="00F76EDB"/>
    <w:rsid w:val="00F91195"/>
    <w:rsid w:val="00F91807"/>
    <w:rsid w:val="00F95B2B"/>
    <w:rsid w:val="00FA7AB1"/>
    <w:rsid w:val="00FB4B34"/>
    <w:rsid w:val="00FB5C79"/>
    <w:rsid w:val="00FC189B"/>
    <w:rsid w:val="00FC4685"/>
    <w:rsid w:val="00FC5749"/>
    <w:rsid w:val="00FD0F95"/>
    <w:rsid w:val="00FD11C3"/>
    <w:rsid w:val="00FD1BEF"/>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6958AEA2-219D-D648-9714-C8BB059B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link w:val="TALCar"/>
    <w:qFormat/>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hAnsi="Arial"/>
      <w:sz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8CBAF-34D8-9D40-B3D3-5D17F14D5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1057</TotalTime>
  <Pages>3</Pages>
  <Words>1312</Words>
  <Characters>7483</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8778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96</cp:revision>
  <cp:lastPrinted>1900-12-31T15:00:00Z</cp:lastPrinted>
  <dcterms:created xsi:type="dcterms:W3CDTF">2019-07-31T06:32:00Z</dcterms:created>
  <dcterms:modified xsi:type="dcterms:W3CDTF">2019-08-15T00:26:00Z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