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AE24F" w14:textId="5B487E29"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7F0FCC">
        <w:rPr>
          <w:rFonts w:cs="Arial"/>
          <w:sz w:val="24"/>
          <w:szCs w:val="24"/>
          <w:lang w:val="de-DE"/>
        </w:rPr>
        <w:t>7958</w:t>
      </w:r>
    </w:p>
    <w:p w14:paraId="0C88C359" w14:textId="77777777"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14:paraId="75BAEE38" w14:textId="77777777" w:rsidR="00006351" w:rsidRPr="00DB3907" w:rsidRDefault="00F67B4B" w:rsidP="00006351">
      <w:pPr>
        <w:pStyle w:val="Header"/>
        <w:rPr>
          <w:rFonts w:cs="Arial"/>
          <w:sz w:val="24"/>
          <w:szCs w:val="24"/>
        </w:rPr>
      </w:pPr>
      <w:r>
        <w:rPr>
          <w:rFonts w:cs="Arial"/>
          <w:sz w:val="24"/>
          <w:szCs w:val="24"/>
        </w:rPr>
        <w:t>Ljubljana, SI</w:t>
      </w:r>
    </w:p>
    <w:p w14:paraId="1F51BFB9" w14:textId="77777777" w:rsidR="00DB3907" w:rsidRPr="00F56E56" w:rsidRDefault="00DB3907" w:rsidP="00DB3907">
      <w:pPr>
        <w:pStyle w:val="Header"/>
        <w:rPr>
          <w:rFonts w:cs="Arial"/>
          <w:b w:val="0"/>
        </w:rPr>
      </w:pPr>
    </w:p>
    <w:p w14:paraId="1E34ECE8" w14:textId="77777777" w:rsidR="00DB3907" w:rsidRPr="00E53F32" w:rsidRDefault="00DB3907" w:rsidP="00DB3907">
      <w:pPr>
        <w:pStyle w:val="Footer"/>
      </w:pPr>
    </w:p>
    <w:p w14:paraId="6F714BCE" w14:textId="0D48F7EF"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7F0FCC">
        <w:rPr>
          <w:rFonts w:ascii="Arial" w:hAnsi="Arial"/>
          <w:sz w:val="24"/>
          <w:lang w:val="en-US"/>
        </w:rPr>
        <w:t>10.14.2</w:t>
      </w:r>
    </w:p>
    <w:p w14:paraId="687621A2"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6F5312D" w14:textId="777777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7B4B">
        <w:rPr>
          <w:rFonts w:ascii="Arial" w:hAnsi="Arial"/>
          <w:sz w:val="24"/>
          <w:lang w:val="en-US"/>
        </w:rPr>
        <w:t>Improving A-MPR for intra-band EN-DC in Release 16</w:t>
      </w:r>
    </w:p>
    <w:p w14:paraId="576C3F59"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668D8CC6" w14:textId="2ECBF91C" w:rsidR="00E12531" w:rsidRDefault="000E0602" w:rsidP="00E12531">
      <w:pPr>
        <w:pStyle w:val="Heading1"/>
        <w:tabs>
          <w:tab w:val="clear" w:pos="432"/>
          <w:tab w:val="num" w:pos="522"/>
        </w:tabs>
        <w:ind w:left="522" w:hanging="522"/>
        <w:rPr>
          <w:lang w:val="en-US"/>
        </w:rPr>
      </w:pPr>
      <w:r>
        <w:rPr>
          <w:lang w:val="en-US"/>
        </w:rPr>
        <w:t>Introduction</w:t>
      </w:r>
    </w:p>
    <w:p w14:paraId="62207060" w14:textId="76B1B98C" w:rsidR="00F66788" w:rsidRPr="00F66788" w:rsidRDefault="00F66788" w:rsidP="00F66788">
      <w:pPr>
        <w:rPr>
          <w:lang w:val="en-US"/>
        </w:rPr>
      </w:pPr>
      <w:r>
        <w:rPr>
          <w:lang w:val="en-US"/>
        </w:rPr>
        <w:t xml:space="preserve">A-MPR for intra-band EN-DC was introduced in Rel-15 specifications.  However, there is a desire to optimize the A-MPR for Rel-16.  This contribution suggests that as measurements, simulation results, and other proposals are brought forth for consideration, it is important to identify the source of potential improvements by comparing against the Rel-15 baseline.  </w:t>
      </w:r>
    </w:p>
    <w:p w14:paraId="5F5E7F24" w14:textId="77777777" w:rsidR="007E1E78" w:rsidRDefault="007E1E78" w:rsidP="0099327E">
      <w:pPr>
        <w:pStyle w:val="Heading1"/>
        <w:tabs>
          <w:tab w:val="clear" w:pos="432"/>
          <w:tab w:val="num" w:pos="522"/>
        </w:tabs>
        <w:ind w:left="522" w:hanging="522"/>
        <w:rPr>
          <w:lang w:val="en-US"/>
        </w:rPr>
      </w:pPr>
      <w:r>
        <w:rPr>
          <w:lang w:val="en-US"/>
        </w:rPr>
        <w:t>Discussion</w:t>
      </w:r>
    </w:p>
    <w:p w14:paraId="4740618B" w14:textId="7820BFC1" w:rsidR="00B035C5" w:rsidRDefault="00F67B4B" w:rsidP="00F67B4B">
      <w:pPr>
        <w:rPr>
          <w:lang w:val="en-US"/>
        </w:rPr>
      </w:pPr>
      <w:r>
        <w:rPr>
          <w:lang w:val="en-US"/>
        </w:rPr>
        <w:t>Several contributions [</w:t>
      </w:r>
      <w:r w:rsidR="00B07704">
        <w:rPr>
          <w:lang w:val="en-US"/>
        </w:rPr>
        <w:t>1</w:t>
      </w:r>
      <w:r>
        <w:rPr>
          <w:lang w:val="en-US"/>
        </w:rPr>
        <w:t>], [</w:t>
      </w:r>
      <w:r w:rsidR="00B46F7A">
        <w:rPr>
          <w:lang w:val="en-US"/>
        </w:rPr>
        <w:t>2</w:t>
      </w:r>
      <w:r>
        <w:rPr>
          <w:lang w:val="en-US"/>
        </w:rPr>
        <w:t>], [</w:t>
      </w:r>
      <w:r w:rsidR="00B46F7A">
        <w:rPr>
          <w:lang w:val="en-US"/>
        </w:rPr>
        <w:t>3</w:t>
      </w:r>
      <w:r>
        <w:rPr>
          <w:lang w:val="en-US"/>
        </w:rPr>
        <w:t xml:space="preserve">] have been provided to suggest that there is room to lower the power </w:t>
      </w:r>
      <w:proofErr w:type="spellStart"/>
      <w:r>
        <w:rPr>
          <w:lang w:val="en-US"/>
        </w:rPr>
        <w:t>backoff</w:t>
      </w:r>
      <w:proofErr w:type="spellEnd"/>
      <w:r>
        <w:rPr>
          <w:lang w:val="en-US"/>
        </w:rPr>
        <w:t xml:space="preserve"> required for intra-band EN-DC configurations in Rel-16 specifications compared to what has been defined in Rel-15.  The exact mechanisms to lower the power </w:t>
      </w:r>
      <w:proofErr w:type="spellStart"/>
      <w:r>
        <w:rPr>
          <w:lang w:val="en-US"/>
        </w:rPr>
        <w:t>backoff</w:t>
      </w:r>
      <w:proofErr w:type="spellEnd"/>
      <w:r>
        <w:rPr>
          <w:lang w:val="en-US"/>
        </w:rPr>
        <w:t>, i.e., A-MPR, in Rel-16 have not yet been agreed, although ideas for further study have been proposed in [</w:t>
      </w:r>
      <w:r w:rsidR="00B46F7A">
        <w:rPr>
          <w:lang w:val="en-US"/>
        </w:rPr>
        <w:t>4</w:t>
      </w:r>
      <w:r>
        <w:rPr>
          <w:lang w:val="en-US"/>
        </w:rPr>
        <w:t>]</w:t>
      </w:r>
      <w:r w:rsidR="00203CB2">
        <w:rPr>
          <w:lang w:val="en-US"/>
        </w:rPr>
        <w:t>, [</w:t>
      </w:r>
      <w:r w:rsidR="00B46F7A">
        <w:rPr>
          <w:lang w:val="en-US"/>
        </w:rPr>
        <w:t>5</w:t>
      </w:r>
      <w:r w:rsidR="00203CB2">
        <w:rPr>
          <w:lang w:val="en-US"/>
        </w:rPr>
        <w:t>]</w:t>
      </w:r>
      <w:r>
        <w:rPr>
          <w:lang w:val="en-US"/>
        </w:rPr>
        <w:t xml:space="preserve">.  </w:t>
      </w:r>
      <w:r w:rsidR="00E84DAF">
        <w:rPr>
          <w:lang w:val="en-US"/>
        </w:rPr>
        <w:t>Since it has been proposed to distinguish hardware-based improvements</w:t>
      </w:r>
      <w:r w:rsidR="00376303">
        <w:rPr>
          <w:lang w:val="en-US"/>
        </w:rPr>
        <w:t xml:space="preserve">, for which capability signaling may be available, from software-based improvements which are expected to be mandatory, it is important to understand which category proposed improvements and gains come from.  </w:t>
      </w:r>
      <w:r w:rsidR="00B035C5">
        <w:rPr>
          <w:lang w:val="en-US"/>
        </w:rPr>
        <w:t xml:space="preserve">In </w:t>
      </w:r>
      <w:r w:rsidR="001748B7">
        <w:rPr>
          <w:lang w:val="en-US"/>
        </w:rPr>
        <w:t>[</w:t>
      </w:r>
      <w:r w:rsidR="00B46F7A">
        <w:rPr>
          <w:lang w:val="en-US"/>
        </w:rPr>
        <w:t>6</w:t>
      </w:r>
      <w:r w:rsidR="001748B7">
        <w:rPr>
          <w:lang w:val="en-US"/>
        </w:rPr>
        <w:t>], observations were made on results provided in [</w:t>
      </w:r>
      <w:r w:rsidR="00B46F7A">
        <w:rPr>
          <w:lang w:val="en-US"/>
        </w:rPr>
        <w:t>1</w:t>
      </w:r>
      <w:r w:rsidR="001748B7">
        <w:rPr>
          <w:lang w:val="en-US"/>
        </w:rPr>
        <w:t>] and [</w:t>
      </w:r>
      <w:r w:rsidR="00B46F7A">
        <w:rPr>
          <w:lang w:val="en-US"/>
        </w:rPr>
        <w:t>3</w:t>
      </w:r>
      <w:r w:rsidR="001748B7">
        <w:rPr>
          <w:lang w:val="en-US"/>
        </w:rPr>
        <w:t>]</w:t>
      </w:r>
      <w:r w:rsidR="00B46F7A">
        <w:rPr>
          <w:lang w:val="en-US"/>
        </w:rPr>
        <w:t xml:space="preserve"> highlighting the variability in results as well as inconsistencies with Rel-15 specifications</w:t>
      </w:r>
      <w:r w:rsidR="001748B7">
        <w:rPr>
          <w:lang w:val="en-US"/>
        </w:rPr>
        <w:t>.  This contribution provides comments on [</w:t>
      </w:r>
      <w:r w:rsidR="00B46F7A">
        <w:rPr>
          <w:lang w:val="en-US"/>
        </w:rPr>
        <w:t>7</w:t>
      </w:r>
      <w:r w:rsidR="001748B7">
        <w:rPr>
          <w:lang w:val="en-US"/>
        </w:rPr>
        <w:t>].  One objective is to compare the results showing improvement against a known benchmark, namely, the Rel-15 specification.  Understanding the mechanism behind an improvement compared to this known benchmark helps to determine how to implement the improvement in Rel-16 specifications.</w:t>
      </w:r>
    </w:p>
    <w:p w14:paraId="0BEAE6B1" w14:textId="3BF26D3C" w:rsidR="00D11B97" w:rsidRDefault="00D11B97" w:rsidP="00D11B97">
      <w:pPr>
        <w:pStyle w:val="Heading2"/>
        <w:rPr>
          <w:lang w:val="en-US"/>
        </w:rPr>
      </w:pPr>
      <w:r>
        <w:rPr>
          <w:lang w:val="en-US"/>
        </w:rPr>
        <w:t>Comments on results of R4-190436</w:t>
      </w:r>
      <w:r w:rsidR="00EA22C9">
        <w:rPr>
          <w:lang w:val="en-US"/>
        </w:rPr>
        <w:t>3</w:t>
      </w:r>
    </w:p>
    <w:p w14:paraId="4DA0DBEF" w14:textId="20D92697" w:rsidR="00376303" w:rsidRDefault="00D11B97" w:rsidP="00F67B4B">
      <w:pPr>
        <w:rPr>
          <w:lang w:val="en-US"/>
        </w:rPr>
      </w:pPr>
      <w:r>
        <w:rPr>
          <w:lang w:val="en-US"/>
        </w:rPr>
        <w:t>In [</w:t>
      </w:r>
      <w:r w:rsidR="00B46F7A">
        <w:rPr>
          <w:lang w:val="en-US"/>
        </w:rPr>
        <w:t>7</w:t>
      </w:r>
      <w:r>
        <w:rPr>
          <w:lang w:val="en-US"/>
        </w:rPr>
        <w:t xml:space="preserve">] measurements and simulations are </w:t>
      </w:r>
      <w:r w:rsidR="00833222">
        <w:rPr>
          <w:lang w:val="en-US"/>
        </w:rPr>
        <w:t>provided</w:t>
      </w:r>
      <w:r>
        <w:rPr>
          <w:lang w:val="en-US"/>
        </w:rPr>
        <w:t xml:space="preserve"> for a single PA</w:t>
      </w:r>
      <w:r w:rsidR="00833222">
        <w:rPr>
          <w:lang w:val="en-US"/>
        </w:rPr>
        <w:t xml:space="preserve"> supporting DC_(n)71B.  The results are simpler to interpret for a single PA since the dominant mechanism requiring A-MPR is a forward IM, compared to the less intuitive reverse IM mechanisms for dual PA studies in [</w:t>
      </w:r>
      <w:r w:rsidR="00B46F7A">
        <w:rPr>
          <w:lang w:val="en-US"/>
        </w:rPr>
        <w:t>1</w:t>
      </w:r>
      <w:r w:rsidR="00833222">
        <w:rPr>
          <w:lang w:val="en-US"/>
        </w:rPr>
        <w:t>], [</w:t>
      </w:r>
      <w:r w:rsidR="00B46F7A">
        <w:rPr>
          <w:lang w:val="en-US"/>
        </w:rPr>
        <w:t>3</w:t>
      </w:r>
      <w:r w:rsidR="00833222">
        <w:rPr>
          <w:lang w:val="en-US"/>
        </w:rPr>
        <w:t>].  The premise of [</w:t>
      </w:r>
      <w:r w:rsidR="00B46F7A">
        <w:rPr>
          <w:lang w:val="en-US"/>
        </w:rPr>
        <w:t>7</w:t>
      </w:r>
      <w:r w:rsidR="00833222">
        <w:rPr>
          <w:lang w:val="en-US"/>
        </w:rPr>
        <w:t>] is that the Rel-15 specification based on a fixed EN-DC total power is sub-optimal.  Simulation and measurement results are provided with LTE and NR power levels measured independently</w:t>
      </w:r>
      <w:proofErr w:type="gramStart"/>
      <w:r w:rsidR="00833222">
        <w:rPr>
          <w:lang w:val="en-US"/>
        </w:rPr>
        <w:t>; .</w:t>
      </w:r>
      <w:proofErr w:type="spellStart"/>
      <w:r w:rsidR="00833222">
        <w:rPr>
          <w:lang w:val="en-US"/>
        </w:rPr>
        <w:t>i</w:t>
      </w:r>
      <w:proofErr w:type="gramEnd"/>
      <w:r w:rsidR="00833222">
        <w:rPr>
          <w:lang w:val="en-US"/>
        </w:rPr>
        <w:t>.e</w:t>
      </w:r>
      <w:proofErr w:type="spellEnd"/>
      <w:r w:rsidR="00833222">
        <w:rPr>
          <w:lang w:val="en-US"/>
        </w:rPr>
        <w:t xml:space="preserve">, the power in LTE and power in NR were measured against the emission requirement and the EN-DC power class limit, not necessarily constrained to a fixed EN-DC total power.  In this manner, it is claimed that the total power formulation in the Rel-15 specification overestimates the needed </w:t>
      </w:r>
      <w:proofErr w:type="spellStart"/>
      <w:r w:rsidR="00833222">
        <w:rPr>
          <w:lang w:val="en-US"/>
        </w:rPr>
        <w:t>backoff</w:t>
      </w:r>
      <w:proofErr w:type="spellEnd"/>
      <w:r w:rsidR="00833222">
        <w:rPr>
          <w:lang w:val="en-US"/>
        </w:rPr>
        <w:t xml:space="preserve"> when such a constraint is removed.  This</w:t>
      </w:r>
      <w:r w:rsidR="00DA3528">
        <w:rPr>
          <w:lang w:val="en-US"/>
        </w:rPr>
        <w:t xml:space="preserve"> claim is illustrated in Figure 4 of [</w:t>
      </w:r>
      <w:r w:rsidR="00B46F7A">
        <w:rPr>
          <w:lang w:val="en-US"/>
        </w:rPr>
        <w:t>7</w:t>
      </w:r>
      <w:r w:rsidR="00DA3528">
        <w:rPr>
          <w:lang w:val="en-US"/>
        </w:rPr>
        <w:t>] extracted below</w:t>
      </w:r>
    </w:p>
    <w:p w14:paraId="2F222C2D" w14:textId="77777777" w:rsidR="00DA3528" w:rsidRDefault="00A939C4" w:rsidP="00F67B4B">
      <w:pPr>
        <w:rPr>
          <w:lang w:val="en-US"/>
        </w:rPr>
      </w:pPr>
      <w:r w:rsidRPr="009353C9">
        <w:rPr>
          <w:noProof/>
        </w:rPr>
        <w:drawing>
          <wp:inline distT="0" distB="0" distL="0" distR="0" wp14:anchorId="5828884F" wp14:editId="260220C8">
            <wp:extent cx="5885180" cy="15163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5180" cy="1516380"/>
                    </a:xfrm>
                    <a:prstGeom prst="rect">
                      <a:avLst/>
                    </a:prstGeom>
                    <a:noFill/>
                    <a:ln>
                      <a:noFill/>
                    </a:ln>
                  </pic:spPr>
                </pic:pic>
              </a:graphicData>
            </a:graphic>
          </wp:inline>
        </w:drawing>
      </w:r>
    </w:p>
    <w:p w14:paraId="4D0597B5" w14:textId="77777777" w:rsidR="00DA3528" w:rsidRDefault="00DA3528" w:rsidP="00F67B4B">
      <w:pPr>
        <w:rPr>
          <w:lang w:val="en-US"/>
        </w:rPr>
      </w:pPr>
      <w:r>
        <w:rPr>
          <w:lang w:val="en-US"/>
        </w:rPr>
        <w:t xml:space="preserve">Each diagram in the figure represents a fixed </w:t>
      </w:r>
      <w:proofErr w:type="spellStart"/>
      <w:r>
        <w:rPr>
          <w:lang w:val="en-US"/>
        </w:rPr>
        <w:t>RBtot</w:t>
      </w:r>
      <w:proofErr w:type="spellEnd"/>
      <w:r>
        <w:rPr>
          <w:lang w:val="en-US"/>
        </w:rPr>
        <w:t xml:space="preserve"> value for which the current specification </w:t>
      </w:r>
      <w:proofErr w:type="gramStart"/>
      <w:r>
        <w:rPr>
          <w:lang w:val="en-US"/>
        </w:rPr>
        <w:t>define</w:t>
      </w:r>
      <w:proofErr w:type="gramEnd"/>
      <w:r>
        <w:rPr>
          <w:lang w:val="en-US"/>
        </w:rPr>
        <w:t xml:space="preserve"> a single A-MPR value.  For example, diagram A represents the case of </w:t>
      </w:r>
      <w:proofErr w:type="spellStart"/>
      <w:r>
        <w:rPr>
          <w:lang w:val="en-US"/>
        </w:rPr>
        <w:t>RB</w:t>
      </w:r>
      <w:r w:rsidRPr="008C3348">
        <w:rPr>
          <w:vertAlign w:val="subscript"/>
          <w:lang w:val="en-US"/>
        </w:rPr>
        <w:t>tot</w:t>
      </w:r>
      <w:proofErr w:type="spellEnd"/>
      <w:r>
        <w:rPr>
          <w:lang w:val="en-US"/>
        </w:rPr>
        <w:t xml:space="preserve"> = 40.  For a</w:t>
      </w:r>
      <w:r w:rsidR="006A1A4D">
        <w:rPr>
          <w:lang w:val="en-US"/>
        </w:rPr>
        <w:t>n</w:t>
      </w:r>
      <w:r>
        <w:rPr>
          <w:lang w:val="en-US"/>
        </w:rPr>
        <w:t xml:space="preserve"> EN-DC configuration in DC_71(b) consisting of 15 MHz NR and 5 MHz LTE with a 15 kHz SCS DFT-S-OFDM waveform, the A-</w:t>
      </w:r>
      <w:proofErr w:type="spellStart"/>
      <w:r>
        <w:rPr>
          <w:lang w:val="en-US"/>
        </w:rPr>
        <w:t>MPRc</w:t>
      </w:r>
      <w:proofErr w:type="spellEnd"/>
      <w:r>
        <w:rPr>
          <w:lang w:val="en-US"/>
        </w:rPr>
        <w:t xml:space="preserve"> for a dynamic power </w:t>
      </w:r>
      <w:r>
        <w:rPr>
          <w:lang w:val="en-US"/>
        </w:rPr>
        <w:lastRenderedPageBreak/>
        <w:t>sharing capable UE in the NR cell group can be calculated according to subclause 6.2B.3.1.1 of 38.101-3.  The calculation is as follows</w:t>
      </w:r>
    </w:p>
    <w:p w14:paraId="6A99E107" w14:textId="77777777" w:rsidR="00DA3528" w:rsidRPr="007975A0" w:rsidRDefault="00A939C4" w:rsidP="00F67B4B">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RB</m:t>
                  </m:r>
                </m:e>
                <m:sub>
                  <m:r>
                    <w:rPr>
                      <w:rFonts w:ascii="Cambria Math" w:hAnsi="Cambria Math"/>
                    </w:rPr>
                    <m:t>tot</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r>
            <w:rPr>
              <w:rFonts w:ascii="Cambria Math" w:hAnsi="Cambria Math"/>
            </w:rPr>
            <m:t>=</m:t>
          </m:r>
          <m:f>
            <m:fPr>
              <m:ctrlPr>
                <w:rPr>
                  <w:rFonts w:ascii="Cambria Math" w:hAnsi="Cambria Math"/>
                  <w:i/>
                </w:rPr>
              </m:ctrlPr>
            </m:fPr>
            <m:num>
              <m:r>
                <w:rPr>
                  <w:rFonts w:ascii="Cambria Math" w:hAnsi="Cambria Math"/>
                </w:rPr>
                <m:t>40</m:t>
              </m:r>
            </m:num>
            <m:den>
              <m:r>
                <w:rPr>
                  <w:rFonts w:ascii="Cambria Math" w:hAnsi="Cambria Math"/>
                </w:rPr>
                <m:t>25+79</m:t>
              </m:r>
            </m:den>
          </m:f>
          <m:r>
            <w:rPr>
              <w:rFonts w:ascii="Cambria Math" w:hAnsi="Cambria Math"/>
            </w:rPr>
            <m:t>=0.38</m:t>
          </m:r>
        </m:oMath>
      </m:oMathPara>
    </w:p>
    <w:p w14:paraId="2C5AC76D" w14:textId="77777777" w:rsidR="007975A0" w:rsidRDefault="007975A0" w:rsidP="007975A0">
      <w:pPr>
        <w:pStyle w:val="B3"/>
        <w:jc w:val="center"/>
        <w:rPr>
          <w:lang w:val="en-US"/>
        </w:rPr>
      </w:pPr>
      <w:proofErr w:type="gramStart"/>
      <w:r w:rsidRPr="00142C57">
        <w:rPr>
          <w:lang w:val="en-US"/>
        </w:rPr>
        <w:t>M</w:t>
      </w:r>
      <w:r w:rsidRPr="00142C57">
        <w:rPr>
          <w:vertAlign w:val="subscript"/>
          <w:lang w:val="en-US"/>
        </w:rPr>
        <w:t>A,DC</w:t>
      </w:r>
      <w:proofErr w:type="gramEnd"/>
      <w:r w:rsidRPr="00142C57">
        <w:rPr>
          <w:lang w:val="en-US"/>
        </w:rPr>
        <w:t xml:space="preserve"> </w:t>
      </w:r>
      <w:r>
        <w:rPr>
          <w:lang w:val="en-US"/>
        </w:rPr>
        <w:t xml:space="preserve">= </w:t>
      </w:r>
      <w:r w:rsidRPr="00142C57">
        <w:rPr>
          <w:lang w:val="en-US"/>
        </w:rPr>
        <w:t>8.00 - 3.33*A</w:t>
      </w:r>
      <w:r>
        <w:rPr>
          <w:lang w:val="en-US"/>
        </w:rPr>
        <w:t xml:space="preserve"> = 6.7</w:t>
      </w:r>
      <w:r w:rsidRPr="00142C57">
        <w:rPr>
          <w:lang w:val="en-US"/>
        </w:rPr>
        <w:t xml:space="preserve">;   </w:t>
      </w:r>
      <w:r w:rsidRPr="00142C57">
        <w:rPr>
          <w:lang w:val="en-US"/>
        </w:rPr>
        <w:tab/>
      </w:r>
      <w:r w:rsidRPr="00142C57">
        <w:rPr>
          <w:lang w:val="en-US"/>
        </w:rPr>
        <w:tab/>
      </w:r>
      <w:r w:rsidRPr="00142C57">
        <w:rPr>
          <w:lang w:val="en-US"/>
        </w:rPr>
        <w:tab/>
      </w:r>
      <w:r w:rsidRPr="00142C57">
        <w:rPr>
          <w:lang w:val="en-US"/>
        </w:rPr>
        <w:tab/>
      </w:r>
      <w:r w:rsidRPr="00142C57">
        <w:rPr>
          <w:lang w:val="en-US"/>
        </w:rPr>
        <w:tab/>
        <w:t>0.30 &lt; A ≤ 0.60</w:t>
      </w:r>
    </w:p>
    <w:p w14:paraId="31A15A12" w14:textId="77777777" w:rsidR="007975A0" w:rsidRDefault="007975A0" w:rsidP="007975A0">
      <w:pPr>
        <w:pStyle w:val="EQ"/>
        <w:jc w:val="center"/>
      </w:pPr>
      <w:r w:rsidRPr="00142C57">
        <w:t>A-MPR</w:t>
      </w:r>
      <w:r w:rsidRPr="00142C57">
        <w:rPr>
          <w:vertAlign w:val="subscript"/>
        </w:rPr>
        <w:t>DC</w:t>
      </w:r>
      <w:r w:rsidRPr="00142C57">
        <w:t xml:space="preserve"> = CEIL{ M</w:t>
      </w:r>
      <w:r w:rsidRPr="00142C57">
        <w:rPr>
          <w:vertAlign w:val="subscript"/>
        </w:rPr>
        <w:t xml:space="preserve">A,DC </w:t>
      </w:r>
      <w:r w:rsidRPr="00142C57">
        <w:t>(A), 0.5}</w:t>
      </w:r>
      <w:r>
        <w:t xml:space="preserve"> = 7</w:t>
      </w:r>
    </w:p>
    <w:p w14:paraId="1609243B" w14:textId="77777777" w:rsidR="007975A0" w:rsidRPr="007975A0" w:rsidRDefault="007975A0" w:rsidP="007975A0">
      <w:pPr>
        <w:pStyle w:val="B10"/>
        <w:jc w:val="center"/>
      </w:pPr>
      <w:r w:rsidRPr="00142C57">
        <w:t>A-</w:t>
      </w:r>
      <w:proofErr w:type="spellStart"/>
      <w:r w:rsidRPr="00142C57">
        <w:t>MPR</w:t>
      </w:r>
      <w:r w:rsidRPr="00142C57">
        <w:rPr>
          <w:vertAlign w:val="subscript"/>
        </w:rPr>
        <w:t>tot</w:t>
      </w:r>
      <w:proofErr w:type="spellEnd"/>
      <w:r w:rsidRPr="00142C57">
        <w:t xml:space="preserve"> = A-MPR</w:t>
      </w:r>
      <w:r w:rsidRPr="00142C57">
        <w:rPr>
          <w:vertAlign w:val="subscript"/>
        </w:rPr>
        <w:t>DC</w:t>
      </w:r>
      <w:r>
        <w:t xml:space="preserve"> = 7</w:t>
      </w:r>
    </w:p>
    <w:p w14:paraId="77BFAE0B" w14:textId="77777777" w:rsidR="007975A0" w:rsidRPr="007975A0" w:rsidRDefault="007975A0" w:rsidP="007975A0">
      <w:pPr>
        <w:pStyle w:val="B3"/>
        <w:ind w:left="0" w:firstLine="0"/>
        <w:rPr>
          <w:lang w:val="en-US"/>
        </w:rPr>
      </w:pPr>
      <w:r>
        <w:rPr>
          <w:lang w:val="en-US"/>
        </w:rPr>
        <w:t>resulting in A-</w:t>
      </w:r>
      <w:proofErr w:type="spellStart"/>
      <w:r>
        <w:rPr>
          <w:lang w:val="en-US"/>
        </w:rPr>
        <w:t>MPR</w:t>
      </w:r>
      <w:r w:rsidRPr="007975A0">
        <w:rPr>
          <w:vertAlign w:val="subscript"/>
          <w:lang w:val="en-US"/>
        </w:rPr>
        <w:t>tot</w:t>
      </w:r>
      <w:proofErr w:type="spellEnd"/>
      <w:r>
        <w:rPr>
          <w:lang w:val="en-US"/>
        </w:rPr>
        <w:t xml:space="preserve"> = 7 </w:t>
      </w:r>
      <w:proofErr w:type="spellStart"/>
      <w:r>
        <w:rPr>
          <w:lang w:val="en-US"/>
        </w:rPr>
        <w:t>dB.</w:t>
      </w:r>
      <w:proofErr w:type="spellEnd"/>
      <w:r>
        <w:rPr>
          <w:lang w:val="en-US"/>
        </w:rPr>
        <w:t xml:space="preserve">  Similarly, for diagram B with </w:t>
      </w:r>
      <w:proofErr w:type="spellStart"/>
      <w:r>
        <w:rPr>
          <w:lang w:val="en-US"/>
        </w:rPr>
        <w:t>RB</w:t>
      </w:r>
      <w:r w:rsidRPr="007975A0">
        <w:rPr>
          <w:vertAlign w:val="subscript"/>
          <w:lang w:val="en-US"/>
        </w:rPr>
        <w:t>tot</w:t>
      </w:r>
      <w:proofErr w:type="spellEnd"/>
      <w:r>
        <w:rPr>
          <w:lang w:val="en-US"/>
        </w:rPr>
        <w:t xml:space="preserve"> = 10, A-</w:t>
      </w:r>
      <w:proofErr w:type="spellStart"/>
      <w:r>
        <w:rPr>
          <w:lang w:val="en-US"/>
        </w:rPr>
        <w:t>MPR</w:t>
      </w:r>
      <w:r w:rsidRPr="007975A0">
        <w:rPr>
          <w:vertAlign w:val="subscript"/>
          <w:lang w:val="en-US"/>
        </w:rPr>
        <w:t>tot</w:t>
      </w:r>
      <w:proofErr w:type="spellEnd"/>
      <w:r>
        <w:rPr>
          <w:lang w:val="en-US"/>
        </w:rPr>
        <w:t xml:space="preserve"> is 10 dB and for diagram C with </w:t>
      </w:r>
      <w:proofErr w:type="spellStart"/>
      <w:r>
        <w:rPr>
          <w:lang w:val="en-US"/>
        </w:rPr>
        <w:t>RB</w:t>
      </w:r>
      <w:r w:rsidRPr="007975A0">
        <w:rPr>
          <w:vertAlign w:val="subscript"/>
          <w:lang w:val="en-US"/>
        </w:rPr>
        <w:t>tot</w:t>
      </w:r>
      <w:proofErr w:type="spellEnd"/>
      <w:r>
        <w:rPr>
          <w:lang w:val="en-US"/>
        </w:rPr>
        <w:t xml:space="preserve"> = 2, A-</w:t>
      </w:r>
      <w:proofErr w:type="spellStart"/>
      <w:r>
        <w:rPr>
          <w:lang w:val="en-US"/>
        </w:rPr>
        <w:t>MPR</w:t>
      </w:r>
      <w:r w:rsidRPr="007975A0">
        <w:rPr>
          <w:vertAlign w:val="subscript"/>
          <w:lang w:val="en-US"/>
        </w:rPr>
        <w:t>tot</w:t>
      </w:r>
      <w:proofErr w:type="spellEnd"/>
      <w:r>
        <w:rPr>
          <w:lang w:val="en-US"/>
        </w:rPr>
        <w:t xml:space="preserve"> is 11 </w:t>
      </w:r>
      <w:proofErr w:type="spellStart"/>
      <w:r>
        <w:rPr>
          <w:lang w:val="en-US"/>
        </w:rPr>
        <w:t>dB.</w:t>
      </w:r>
      <w:proofErr w:type="spellEnd"/>
      <w:r>
        <w:rPr>
          <w:lang w:val="en-US"/>
        </w:rPr>
        <w:t xml:space="preserve">  </w:t>
      </w:r>
    </w:p>
    <w:p w14:paraId="0F84C832" w14:textId="3DE077B6" w:rsidR="00192FFF" w:rsidRDefault="007975A0" w:rsidP="00F67B4B">
      <w:pPr>
        <w:rPr>
          <w:lang w:val="en-US"/>
        </w:rPr>
      </w:pPr>
      <w:r>
        <w:rPr>
          <w:lang w:val="en-US"/>
        </w:rPr>
        <w:t xml:space="preserve">The leftmost gray curves in each of the diagrams of </w:t>
      </w:r>
      <w:r w:rsidR="008C3348">
        <w:rPr>
          <w:lang w:val="en-US"/>
        </w:rPr>
        <w:t>the figure above</w:t>
      </w:r>
      <w:r>
        <w:rPr>
          <w:lang w:val="en-US"/>
        </w:rPr>
        <w:t xml:space="preserve"> represent this condition of total power limited by A-MPR of 7 dB, 10 dB, and 11 dB according to Rel-15 specifications.  For the upper bound, the uppermost orange curves in each of the diagrams represent an idealized upper bound when no A-MPR is required; in other words, the total power is </w:t>
      </w:r>
      <w:r w:rsidR="00DA06EA">
        <w:rPr>
          <w:lang w:val="en-US"/>
        </w:rPr>
        <w:t xml:space="preserve">only limited by the EN-DC power class output of 23 dBm.  </w:t>
      </w:r>
      <w:proofErr w:type="gramStart"/>
      <w:r w:rsidR="00DA06EA">
        <w:rPr>
          <w:lang w:val="en-US"/>
        </w:rPr>
        <w:t>Therefore</w:t>
      </w:r>
      <w:proofErr w:type="gramEnd"/>
      <w:r w:rsidR="00DA06EA">
        <w:rPr>
          <w:lang w:val="en-US"/>
        </w:rPr>
        <w:t xml:space="preserve"> the region in between these two curves is </w:t>
      </w:r>
      <w:r w:rsidR="00192FFF">
        <w:rPr>
          <w:lang w:val="en-US"/>
        </w:rPr>
        <w:t>the available space for improvement</w:t>
      </w:r>
      <w:r w:rsidR="00DA06EA">
        <w:rPr>
          <w:lang w:val="en-US"/>
        </w:rPr>
        <w:t>.</w:t>
      </w:r>
    </w:p>
    <w:p w14:paraId="7400E4BA" w14:textId="77777777" w:rsidR="007975A0" w:rsidRDefault="00192FFF" w:rsidP="00F67B4B">
      <w:pPr>
        <w:rPr>
          <w:lang w:val="en-US"/>
        </w:rPr>
      </w:pPr>
      <w:r>
        <w:rPr>
          <w:lang w:val="en-US"/>
        </w:rPr>
        <w:t xml:space="preserve">The blue and green curves represent simulation results, also confirmed by measurements provided elsewhere in the paper, suggesting that improvement can be achieved.  The blue and green curves illustrate available NR power and are stated to represent “worst case” allocations for the given </w:t>
      </w:r>
      <w:proofErr w:type="spellStart"/>
      <w:r>
        <w:rPr>
          <w:lang w:val="en-US"/>
        </w:rPr>
        <w:t>RB</w:t>
      </w:r>
      <w:r w:rsidRPr="00192FFF">
        <w:rPr>
          <w:vertAlign w:val="subscript"/>
          <w:lang w:val="en-US"/>
        </w:rPr>
        <w:t>tot</w:t>
      </w:r>
      <w:proofErr w:type="spellEnd"/>
      <w:r>
        <w:rPr>
          <w:lang w:val="en-US"/>
        </w:rPr>
        <w:t xml:space="preserve"> as a function of LTE power.</w:t>
      </w:r>
      <w:r w:rsidR="00DA06EA">
        <w:rPr>
          <w:lang w:val="en-US"/>
        </w:rPr>
        <w:t xml:space="preserve"> </w:t>
      </w:r>
      <w:r>
        <w:rPr>
          <w:lang w:val="en-US"/>
        </w:rPr>
        <w:t xml:space="preserve"> Worst case allocations are defined as those allocations requiring the largest A-MPR; it is presumed that a search function was used to identify the </w:t>
      </w:r>
      <w:proofErr w:type="gramStart"/>
      <w:r>
        <w:rPr>
          <w:lang w:val="en-US"/>
        </w:rPr>
        <w:t>worst case</w:t>
      </w:r>
      <w:proofErr w:type="gramEnd"/>
      <w:r>
        <w:rPr>
          <w:lang w:val="en-US"/>
        </w:rPr>
        <w:t xml:space="preserve"> allocations.  It is also illustrated that the </w:t>
      </w:r>
      <w:proofErr w:type="gramStart"/>
      <w:r>
        <w:rPr>
          <w:lang w:val="en-US"/>
        </w:rPr>
        <w:t>worst case</w:t>
      </w:r>
      <w:proofErr w:type="gramEnd"/>
      <w:r>
        <w:rPr>
          <w:lang w:val="en-US"/>
        </w:rPr>
        <w:t xml:space="preserve"> allocations are not necessarily those allocations with equal PSD.  </w:t>
      </w:r>
    </w:p>
    <w:p w14:paraId="6153A71C" w14:textId="77777777" w:rsidR="00CE0B88" w:rsidRDefault="00CE0B88" w:rsidP="00F67B4B">
      <w:pPr>
        <w:rPr>
          <w:lang w:val="en-US"/>
        </w:rPr>
      </w:pPr>
      <w:r w:rsidRPr="00E66DA8">
        <w:rPr>
          <w:noProof/>
        </w:rPr>
        <w:drawing>
          <wp:inline distT="0" distB="0" distL="0" distR="0" wp14:anchorId="3AB06994" wp14:editId="1CCF3333">
            <wp:extent cx="5979160" cy="126492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9160" cy="1264920"/>
                    </a:xfrm>
                    <a:prstGeom prst="rect">
                      <a:avLst/>
                    </a:prstGeom>
                    <a:noFill/>
                    <a:ln>
                      <a:noFill/>
                    </a:ln>
                  </pic:spPr>
                </pic:pic>
              </a:graphicData>
            </a:graphic>
          </wp:inline>
        </w:drawing>
      </w:r>
    </w:p>
    <w:p w14:paraId="613EBA9B" w14:textId="77777777" w:rsidR="00192FFF" w:rsidRDefault="00192FFF" w:rsidP="00F67B4B">
      <w:pPr>
        <w:rPr>
          <w:lang w:val="en-US"/>
        </w:rPr>
      </w:pPr>
      <w:r>
        <w:rPr>
          <w:lang w:val="en-US"/>
        </w:rPr>
        <w:t xml:space="preserve">This is shown in the above figure where </w:t>
      </w:r>
      <w:proofErr w:type="gramStart"/>
      <w:r>
        <w:rPr>
          <w:lang w:val="en-US"/>
        </w:rPr>
        <w:t>it can be seen that the</w:t>
      </w:r>
      <w:proofErr w:type="gramEnd"/>
      <w:r>
        <w:rPr>
          <w:lang w:val="en-US"/>
        </w:rPr>
        <w:t xml:space="preserve"> red line, representing the PSD difference between the LTE and NR cell groups, is not zero.</w:t>
      </w:r>
    </w:p>
    <w:p w14:paraId="3E89B98E" w14:textId="1C71E26C" w:rsidR="009947EA" w:rsidRDefault="006A1A4D" w:rsidP="00F67B4B">
      <w:pPr>
        <w:rPr>
          <w:lang w:val="en-US"/>
        </w:rPr>
      </w:pPr>
      <w:r w:rsidRPr="00660FA8">
        <w:rPr>
          <w:lang w:val="en-US"/>
        </w:rPr>
        <w:t xml:space="preserve">Several </w:t>
      </w:r>
      <w:r w:rsidR="00BD7DB3" w:rsidRPr="00660FA8">
        <w:rPr>
          <w:lang w:val="en-US"/>
        </w:rPr>
        <w:t>differences</w:t>
      </w:r>
      <w:r w:rsidRPr="00660FA8">
        <w:rPr>
          <w:lang w:val="en-US"/>
        </w:rPr>
        <w:t xml:space="preserve"> are therefore observed between the results of [</w:t>
      </w:r>
      <w:r w:rsidR="008C3348" w:rsidRPr="00660FA8">
        <w:rPr>
          <w:lang w:val="en-US"/>
        </w:rPr>
        <w:t>7</w:t>
      </w:r>
      <w:r w:rsidRPr="00660FA8">
        <w:rPr>
          <w:lang w:val="en-US"/>
        </w:rPr>
        <w:t>] and the Rel-15 specifications.  The first</w:t>
      </w:r>
      <w:r>
        <w:rPr>
          <w:lang w:val="en-US"/>
        </w:rPr>
        <w:t xml:space="preserve"> discrepancy is that the</w:t>
      </w:r>
      <w:r w:rsidR="00DE6341">
        <w:rPr>
          <w:lang w:val="en-US"/>
        </w:rPr>
        <w:t xml:space="preserve">re is no point along the blue or green curves that intersects the Rel-15 gray curve.  The Rel-15 specifications were derived assuming equal PSD and equal power </w:t>
      </w:r>
      <w:proofErr w:type="spellStart"/>
      <w:r w:rsidR="00DE6341">
        <w:rPr>
          <w:lang w:val="en-US"/>
        </w:rPr>
        <w:t>backoff</w:t>
      </w:r>
      <w:proofErr w:type="spellEnd"/>
      <w:r w:rsidR="00996F50">
        <w:rPr>
          <w:lang w:val="en-US"/>
        </w:rPr>
        <w:t xml:space="preserve">.  The output power of each carrier was scaled according to its RB allocation such that the total power is set to the EN-DC power class limit, i.e., 23 dBm.  The power was then backed off equally on each carrier (since a single PA was assumed) until emission limits could be met.  Across all possible RB allocations in each carrier meeting a given </w:t>
      </w:r>
      <w:proofErr w:type="spellStart"/>
      <w:r w:rsidR="00996F50">
        <w:rPr>
          <w:lang w:val="en-US"/>
        </w:rPr>
        <w:t>RB</w:t>
      </w:r>
      <w:r w:rsidR="00996F50" w:rsidRPr="00996F50">
        <w:rPr>
          <w:vertAlign w:val="subscript"/>
          <w:lang w:val="en-US"/>
        </w:rPr>
        <w:t>tot</w:t>
      </w:r>
      <w:proofErr w:type="spellEnd"/>
      <w:r w:rsidR="00996F50">
        <w:rPr>
          <w:lang w:val="en-US"/>
        </w:rPr>
        <w:t xml:space="preserve">, the largest </w:t>
      </w:r>
      <w:proofErr w:type="spellStart"/>
      <w:r w:rsidR="00996F50">
        <w:rPr>
          <w:lang w:val="en-US"/>
        </w:rPr>
        <w:t>backoff</w:t>
      </w:r>
      <w:proofErr w:type="spellEnd"/>
      <w:r w:rsidR="00996F50">
        <w:rPr>
          <w:lang w:val="en-US"/>
        </w:rPr>
        <w:t xml:space="preserve"> was searched.  Therefore, it is expected that for the same signal conditions of equal PSD, the results from [</w:t>
      </w:r>
      <w:r w:rsidR="001A391C">
        <w:rPr>
          <w:lang w:val="en-US"/>
        </w:rPr>
        <w:t>7</w:t>
      </w:r>
      <w:r w:rsidR="00996F50">
        <w:rPr>
          <w:lang w:val="en-US"/>
        </w:rPr>
        <w:t xml:space="preserve">] should align with those from </w:t>
      </w:r>
      <w:r w:rsidR="00CE0B88">
        <w:rPr>
          <w:lang w:val="en-US"/>
        </w:rPr>
        <w:t xml:space="preserve">the Rel-15 specification if not accounting for any additional margin that may be included in the Rel-15 specifications.  </w:t>
      </w:r>
      <w:r w:rsidR="00972D53">
        <w:rPr>
          <w:lang w:val="en-US"/>
        </w:rPr>
        <w:t>The results are summarized below for the (near) zero PSD difference waveforms.</w:t>
      </w:r>
    </w:p>
    <w:tbl>
      <w:tblPr>
        <w:tblStyle w:val="TableGrid"/>
        <w:tblW w:w="0" w:type="auto"/>
        <w:tblLook w:val="04A0" w:firstRow="1" w:lastRow="0" w:firstColumn="1" w:lastColumn="0" w:noHBand="0" w:noVBand="1"/>
      </w:tblPr>
      <w:tblGrid>
        <w:gridCol w:w="1374"/>
        <w:gridCol w:w="1374"/>
        <w:gridCol w:w="1374"/>
        <w:gridCol w:w="1374"/>
        <w:gridCol w:w="1375"/>
        <w:gridCol w:w="1375"/>
        <w:gridCol w:w="1375"/>
      </w:tblGrid>
      <w:tr w:rsidR="00EC2052" w14:paraId="69FECFF5" w14:textId="77777777" w:rsidTr="00EC2052">
        <w:tc>
          <w:tcPr>
            <w:tcW w:w="1374" w:type="dxa"/>
          </w:tcPr>
          <w:p w14:paraId="44A04FFB" w14:textId="77777777" w:rsidR="00EC2052" w:rsidRDefault="00EC2052" w:rsidP="00F67B4B">
            <w:pPr>
              <w:rPr>
                <w:lang w:val="en-US"/>
              </w:rPr>
            </w:pPr>
            <w:r>
              <w:rPr>
                <w:lang w:val="en-US"/>
              </w:rPr>
              <w:t>Waveform</w:t>
            </w:r>
          </w:p>
        </w:tc>
        <w:tc>
          <w:tcPr>
            <w:tcW w:w="1374" w:type="dxa"/>
          </w:tcPr>
          <w:p w14:paraId="55293064" w14:textId="77777777" w:rsidR="00EC2052" w:rsidRDefault="00EC2052" w:rsidP="00F67B4B">
            <w:pPr>
              <w:rPr>
                <w:lang w:val="en-US"/>
              </w:rPr>
            </w:pPr>
            <w:proofErr w:type="spellStart"/>
            <w:r>
              <w:rPr>
                <w:lang w:val="en-US"/>
              </w:rPr>
              <w:t>RBtot</w:t>
            </w:r>
            <w:proofErr w:type="spellEnd"/>
          </w:p>
        </w:tc>
        <w:tc>
          <w:tcPr>
            <w:tcW w:w="1374" w:type="dxa"/>
          </w:tcPr>
          <w:p w14:paraId="28324EDC" w14:textId="77777777" w:rsidR="00EC2052" w:rsidRDefault="00EC2052" w:rsidP="00F67B4B">
            <w:pPr>
              <w:rPr>
                <w:lang w:val="en-US"/>
              </w:rPr>
            </w:pPr>
            <w:r>
              <w:rPr>
                <w:lang w:val="en-US"/>
              </w:rPr>
              <w:t>PSD difference</w:t>
            </w:r>
          </w:p>
        </w:tc>
        <w:tc>
          <w:tcPr>
            <w:tcW w:w="1374" w:type="dxa"/>
          </w:tcPr>
          <w:p w14:paraId="2D08224B" w14:textId="77777777" w:rsidR="00EC2052" w:rsidRDefault="00EC2052" w:rsidP="00F67B4B">
            <w:pPr>
              <w:rPr>
                <w:lang w:val="en-US"/>
              </w:rPr>
            </w:pPr>
            <w:proofErr w:type="spellStart"/>
            <w:r>
              <w:rPr>
                <w:lang w:val="en-US"/>
              </w:rPr>
              <w:t>P_lte</w:t>
            </w:r>
            <w:proofErr w:type="spellEnd"/>
          </w:p>
        </w:tc>
        <w:tc>
          <w:tcPr>
            <w:tcW w:w="1375" w:type="dxa"/>
          </w:tcPr>
          <w:p w14:paraId="2C185EF4" w14:textId="77777777" w:rsidR="00EC2052" w:rsidRDefault="00EC2052" w:rsidP="00F67B4B">
            <w:pPr>
              <w:rPr>
                <w:lang w:val="en-US"/>
              </w:rPr>
            </w:pPr>
            <w:proofErr w:type="spellStart"/>
            <w:r>
              <w:rPr>
                <w:lang w:val="en-US"/>
              </w:rPr>
              <w:t>P_nr</w:t>
            </w:r>
            <w:proofErr w:type="spellEnd"/>
          </w:p>
        </w:tc>
        <w:tc>
          <w:tcPr>
            <w:tcW w:w="1375" w:type="dxa"/>
          </w:tcPr>
          <w:p w14:paraId="3DFF89F6" w14:textId="77B99AB0" w:rsidR="00EC2052" w:rsidRDefault="00EC2052" w:rsidP="00F67B4B">
            <w:pPr>
              <w:rPr>
                <w:lang w:val="en-US"/>
              </w:rPr>
            </w:pPr>
            <w:r>
              <w:rPr>
                <w:lang w:val="en-US"/>
              </w:rPr>
              <w:t>A-MPR reported in [</w:t>
            </w:r>
            <w:r w:rsidR="007F0FCC">
              <w:rPr>
                <w:lang w:val="en-US"/>
              </w:rPr>
              <w:t>7</w:t>
            </w:r>
            <w:r>
              <w:rPr>
                <w:lang w:val="en-US"/>
              </w:rPr>
              <w:t>]</w:t>
            </w:r>
          </w:p>
        </w:tc>
        <w:tc>
          <w:tcPr>
            <w:tcW w:w="1375" w:type="dxa"/>
          </w:tcPr>
          <w:p w14:paraId="0F5C7B9C" w14:textId="77777777" w:rsidR="00EC2052" w:rsidRDefault="001748B7" w:rsidP="00F67B4B">
            <w:pPr>
              <w:rPr>
                <w:lang w:val="en-US"/>
              </w:rPr>
            </w:pPr>
            <w:r>
              <w:rPr>
                <w:lang w:val="en-US"/>
              </w:rPr>
              <w:t xml:space="preserve">Benchmark </w:t>
            </w:r>
            <w:r w:rsidR="00EC2052">
              <w:rPr>
                <w:lang w:val="en-US"/>
              </w:rPr>
              <w:t>A-MPR</w:t>
            </w:r>
          </w:p>
        </w:tc>
      </w:tr>
      <w:tr w:rsidR="00EC2052" w14:paraId="442F0EC0" w14:textId="77777777" w:rsidTr="00EC2052">
        <w:tc>
          <w:tcPr>
            <w:tcW w:w="1374" w:type="dxa"/>
          </w:tcPr>
          <w:p w14:paraId="6F7CE45C" w14:textId="77777777" w:rsidR="00EC2052" w:rsidRDefault="00EC2052" w:rsidP="00F67B4B">
            <w:pPr>
              <w:rPr>
                <w:lang w:val="en-US"/>
              </w:rPr>
            </w:pPr>
            <w:r>
              <w:rPr>
                <w:lang w:val="en-US"/>
              </w:rPr>
              <w:t>Type A, DFT-S-ODFM</w:t>
            </w:r>
          </w:p>
        </w:tc>
        <w:tc>
          <w:tcPr>
            <w:tcW w:w="1374" w:type="dxa"/>
          </w:tcPr>
          <w:p w14:paraId="25518F04" w14:textId="77777777" w:rsidR="00EC2052" w:rsidRDefault="00EC2052" w:rsidP="00F67B4B">
            <w:pPr>
              <w:rPr>
                <w:lang w:val="en-US"/>
              </w:rPr>
            </w:pPr>
            <w:r>
              <w:rPr>
                <w:lang w:val="en-US"/>
              </w:rPr>
              <w:t>40</w:t>
            </w:r>
          </w:p>
        </w:tc>
        <w:tc>
          <w:tcPr>
            <w:tcW w:w="1374" w:type="dxa"/>
          </w:tcPr>
          <w:p w14:paraId="44E84E04" w14:textId="77777777" w:rsidR="00EC2052" w:rsidRDefault="00EC2052" w:rsidP="00F67B4B">
            <w:pPr>
              <w:rPr>
                <w:lang w:val="en-US"/>
              </w:rPr>
            </w:pPr>
            <w:r>
              <w:rPr>
                <w:lang w:val="en-US"/>
              </w:rPr>
              <w:t>0</w:t>
            </w:r>
          </w:p>
        </w:tc>
        <w:tc>
          <w:tcPr>
            <w:tcW w:w="1374" w:type="dxa"/>
          </w:tcPr>
          <w:p w14:paraId="1F05C6D2" w14:textId="77777777" w:rsidR="00EC2052" w:rsidRDefault="00EC2052" w:rsidP="00F67B4B">
            <w:pPr>
              <w:rPr>
                <w:lang w:val="en-US"/>
              </w:rPr>
            </w:pPr>
            <w:r>
              <w:rPr>
                <w:lang w:val="en-US"/>
              </w:rPr>
              <w:t>11</w:t>
            </w:r>
          </w:p>
        </w:tc>
        <w:tc>
          <w:tcPr>
            <w:tcW w:w="1375" w:type="dxa"/>
          </w:tcPr>
          <w:p w14:paraId="3BA93830" w14:textId="77777777" w:rsidR="00EC2052" w:rsidRDefault="00EC2052" w:rsidP="00F67B4B">
            <w:pPr>
              <w:rPr>
                <w:lang w:val="en-US"/>
              </w:rPr>
            </w:pPr>
            <w:r>
              <w:rPr>
                <w:lang w:val="en-US"/>
              </w:rPr>
              <w:t>20</w:t>
            </w:r>
          </w:p>
        </w:tc>
        <w:tc>
          <w:tcPr>
            <w:tcW w:w="1375" w:type="dxa"/>
          </w:tcPr>
          <w:p w14:paraId="65DD515E" w14:textId="77777777" w:rsidR="00EC2052" w:rsidRDefault="00EC2052" w:rsidP="00F67B4B">
            <w:pPr>
              <w:rPr>
                <w:lang w:val="en-US"/>
              </w:rPr>
            </w:pPr>
            <w:r>
              <w:rPr>
                <w:lang w:val="en-US"/>
              </w:rPr>
              <w:t>2.5</w:t>
            </w:r>
          </w:p>
        </w:tc>
        <w:tc>
          <w:tcPr>
            <w:tcW w:w="1375" w:type="dxa"/>
          </w:tcPr>
          <w:p w14:paraId="76876B5F" w14:textId="77777777" w:rsidR="00EC2052" w:rsidRDefault="00EC2052" w:rsidP="00F67B4B">
            <w:pPr>
              <w:rPr>
                <w:lang w:val="en-US"/>
              </w:rPr>
            </w:pPr>
            <w:r>
              <w:rPr>
                <w:lang w:val="en-US"/>
              </w:rPr>
              <w:t>7</w:t>
            </w:r>
          </w:p>
        </w:tc>
      </w:tr>
      <w:tr w:rsidR="00EC2052" w14:paraId="7A04C056" w14:textId="77777777" w:rsidTr="00EC2052">
        <w:tc>
          <w:tcPr>
            <w:tcW w:w="1374" w:type="dxa"/>
          </w:tcPr>
          <w:p w14:paraId="5C55C3AD" w14:textId="77777777" w:rsidR="00EC2052" w:rsidRDefault="00EC2052" w:rsidP="00EC2052">
            <w:pPr>
              <w:rPr>
                <w:lang w:val="en-US"/>
              </w:rPr>
            </w:pPr>
            <w:r>
              <w:rPr>
                <w:lang w:val="en-US"/>
              </w:rPr>
              <w:t>Type A, DFT-S-ODFM</w:t>
            </w:r>
          </w:p>
        </w:tc>
        <w:tc>
          <w:tcPr>
            <w:tcW w:w="1374" w:type="dxa"/>
          </w:tcPr>
          <w:p w14:paraId="61409B36" w14:textId="77777777" w:rsidR="00EC2052" w:rsidRDefault="00EC2052" w:rsidP="00EC2052">
            <w:pPr>
              <w:rPr>
                <w:lang w:val="en-US"/>
              </w:rPr>
            </w:pPr>
            <w:r>
              <w:rPr>
                <w:lang w:val="en-US"/>
              </w:rPr>
              <w:t>40</w:t>
            </w:r>
          </w:p>
        </w:tc>
        <w:tc>
          <w:tcPr>
            <w:tcW w:w="1374" w:type="dxa"/>
          </w:tcPr>
          <w:p w14:paraId="068F5EE2" w14:textId="77777777" w:rsidR="00EC2052" w:rsidRDefault="00EC2052" w:rsidP="00EC2052">
            <w:pPr>
              <w:rPr>
                <w:lang w:val="en-US"/>
              </w:rPr>
            </w:pPr>
            <w:r>
              <w:rPr>
                <w:lang w:val="en-US"/>
              </w:rPr>
              <w:t>1</w:t>
            </w:r>
          </w:p>
        </w:tc>
        <w:tc>
          <w:tcPr>
            <w:tcW w:w="1374" w:type="dxa"/>
          </w:tcPr>
          <w:p w14:paraId="4537A5AB" w14:textId="77777777" w:rsidR="00EC2052" w:rsidRDefault="00EC2052" w:rsidP="00EC2052">
            <w:pPr>
              <w:rPr>
                <w:lang w:val="en-US"/>
              </w:rPr>
            </w:pPr>
            <w:r>
              <w:rPr>
                <w:lang w:val="en-US"/>
              </w:rPr>
              <w:t>14</w:t>
            </w:r>
          </w:p>
        </w:tc>
        <w:tc>
          <w:tcPr>
            <w:tcW w:w="1375" w:type="dxa"/>
          </w:tcPr>
          <w:p w14:paraId="02DB795A" w14:textId="77777777" w:rsidR="00EC2052" w:rsidRDefault="00EC2052" w:rsidP="00EC2052">
            <w:pPr>
              <w:rPr>
                <w:lang w:val="en-US"/>
              </w:rPr>
            </w:pPr>
            <w:r>
              <w:rPr>
                <w:lang w:val="en-US"/>
              </w:rPr>
              <w:t>19</w:t>
            </w:r>
          </w:p>
        </w:tc>
        <w:tc>
          <w:tcPr>
            <w:tcW w:w="1375" w:type="dxa"/>
          </w:tcPr>
          <w:p w14:paraId="38CB1836" w14:textId="77777777" w:rsidR="00EC2052" w:rsidRDefault="00EC2052" w:rsidP="00EC2052">
            <w:pPr>
              <w:rPr>
                <w:lang w:val="en-US"/>
              </w:rPr>
            </w:pPr>
            <w:r>
              <w:rPr>
                <w:lang w:val="en-US"/>
              </w:rPr>
              <w:t>2.8</w:t>
            </w:r>
          </w:p>
        </w:tc>
        <w:tc>
          <w:tcPr>
            <w:tcW w:w="1375" w:type="dxa"/>
          </w:tcPr>
          <w:p w14:paraId="626C9108" w14:textId="77777777" w:rsidR="00EC2052" w:rsidRDefault="00EC2052" w:rsidP="00EC2052">
            <w:pPr>
              <w:rPr>
                <w:lang w:val="en-US"/>
              </w:rPr>
            </w:pPr>
            <w:r>
              <w:rPr>
                <w:lang w:val="en-US"/>
              </w:rPr>
              <w:t>7</w:t>
            </w:r>
          </w:p>
        </w:tc>
      </w:tr>
      <w:tr w:rsidR="00EC2052" w14:paraId="323F1C03" w14:textId="77777777" w:rsidTr="00EC2052">
        <w:tc>
          <w:tcPr>
            <w:tcW w:w="1374" w:type="dxa"/>
          </w:tcPr>
          <w:p w14:paraId="23539AAE" w14:textId="77777777" w:rsidR="00EC2052" w:rsidRDefault="00EC2052" w:rsidP="00EC2052">
            <w:pPr>
              <w:rPr>
                <w:lang w:val="en-US"/>
              </w:rPr>
            </w:pPr>
            <w:r>
              <w:rPr>
                <w:lang w:val="en-US"/>
              </w:rPr>
              <w:t>Type A, DFT-S-ODFM</w:t>
            </w:r>
          </w:p>
        </w:tc>
        <w:tc>
          <w:tcPr>
            <w:tcW w:w="1374" w:type="dxa"/>
          </w:tcPr>
          <w:p w14:paraId="5961CD5E" w14:textId="77777777" w:rsidR="00EC2052" w:rsidRDefault="00EC2052" w:rsidP="00EC2052">
            <w:pPr>
              <w:rPr>
                <w:lang w:val="en-US"/>
              </w:rPr>
            </w:pPr>
            <w:r>
              <w:rPr>
                <w:lang w:val="en-US"/>
              </w:rPr>
              <w:t>40</w:t>
            </w:r>
          </w:p>
        </w:tc>
        <w:tc>
          <w:tcPr>
            <w:tcW w:w="1374" w:type="dxa"/>
          </w:tcPr>
          <w:p w14:paraId="181065EB" w14:textId="77777777" w:rsidR="00EC2052" w:rsidRDefault="00EC2052" w:rsidP="00EC2052">
            <w:pPr>
              <w:rPr>
                <w:lang w:val="en-US"/>
              </w:rPr>
            </w:pPr>
            <w:r>
              <w:rPr>
                <w:lang w:val="en-US"/>
              </w:rPr>
              <w:t>1</w:t>
            </w:r>
          </w:p>
        </w:tc>
        <w:tc>
          <w:tcPr>
            <w:tcW w:w="1374" w:type="dxa"/>
          </w:tcPr>
          <w:p w14:paraId="4822A8E2" w14:textId="77777777" w:rsidR="00EC2052" w:rsidRDefault="00EC2052" w:rsidP="00EC2052">
            <w:pPr>
              <w:rPr>
                <w:lang w:val="en-US"/>
              </w:rPr>
            </w:pPr>
            <w:r>
              <w:rPr>
                <w:lang w:val="en-US"/>
              </w:rPr>
              <w:t>15</w:t>
            </w:r>
          </w:p>
        </w:tc>
        <w:tc>
          <w:tcPr>
            <w:tcW w:w="1375" w:type="dxa"/>
          </w:tcPr>
          <w:p w14:paraId="74B5CF00" w14:textId="77777777" w:rsidR="00EC2052" w:rsidRDefault="00EC2052" w:rsidP="00EC2052">
            <w:pPr>
              <w:rPr>
                <w:lang w:val="en-US"/>
              </w:rPr>
            </w:pPr>
            <w:r>
              <w:rPr>
                <w:lang w:val="en-US"/>
              </w:rPr>
              <w:t>18</w:t>
            </w:r>
          </w:p>
        </w:tc>
        <w:tc>
          <w:tcPr>
            <w:tcW w:w="1375" w:type="dxa"/>
          </w:tcPr>
          <w:p w14:paraId="7DD3183A" w14:textId="77777777" w:rsidR="00EC2052" w:rsidRDefault="00EC2052" w:rsidP="00EC2052">
            <w:pPr>
              <w:rPr>
                <w:lang w:val="en-US"/>
              </w:rPr>
            </w:pPr>
            <w:r>
              <w:rPr>
                <w:lang w:val="en-US"/>
              </w:rPr>
              <w:t>3.2</w:t>
            </w:r>
          </w:p>
        </w:tc>
        <w:tc>
          <w:tcPr>
            <w:tcW w:w="1375" w:type="dxa"/>
          </w:tcPr>
          <w:p w14:paraId="26555232" w14:textId="77777777" w:rsidR="00EC2052" w:rsidRDefault="00EC2052" w:rsidP="00EC2052">
            <w:pPr>
              <w:rPr>
                <w:lang w:val="en-US"/>
              </w:rPr>
            </w:pPr>
            <w:r>
              <w:rPr>
                <w:lang w:val="en-US"/>
              </w:rPr>
              <w:t>7</w:t>
            </w:r>
          </w:p>
        </w:tc>
      </w:tr>
      <w:tr w:rsidR="00EC2052" w14:paraId="20C40F1A" w14:textId="77777777" w:rsidTr="00EC2052">
        <w:tc>
          <w:tcPr>
            <w:tcW w:w="1374" w:type="dxa"/>
          </w:tcPr>
          <w:p w14:paraId="3A225C62" w14:textId="77777777" w:rsidR="00EC2052" w:rsidRDefault="00EC2052" w:rsidP="00EC2052">
            <w:pPr>
              <w:rPr>
                <w:lang w:val="en-US"/>
              </w:rPr>
            </w:pPr>
            <w:r>
              <w:rPr>
                <w:lang w:val="en-US"/>
              </w:rPr>
              <w:lastRenderedPageBreak/>
              <w:t>Type B, DFT-S-OFDM</w:t>
            </w:r>
          </w:p>
        </w:tc>
        <w:tc>
          <w:tcPr>
            <w:tcW w:w="1374" w:type="dxa"/>
          </w:tcPr>
          <w:p w14:paraId="533EE568" w14:textId="77777777" w:rsidR="00EC2052" w:rsidRDefault="00EC2052" w:rsidP="00EC2052">
            <w:pPr>
              <w:rPr>
                <w:lang w:val="en-US"/>
              </w:rPr>
            </w:pPr>
            <w:r>
              <w:rPr>
                <w:lang w:val="en-US"/>
              </w:rPr>
              <w:t>10</w:t>
            </w:r>
          </w:p>
        </w:tc>
        <w:tc>
          <w:tcPr>
            <w:tcW w:w="1374" w:type="dxa"/>
          </w:tcPr>
          <w:p w14:paraId="2EF39D66" w14:textId="77777777" w:rsidR="00EC2052" w:rsidRDefault="00EC2052" w:rsidP="00EC2052">
            <w:pPr>
              <w:rPr>
                <w:lang w:val="en-US"/>
              </w:rPr>
            </w:pPr>
            <w:r>
              <w:rPr>
                <w:lang w:val="en-US"/>
              </w:rPr>
              <w:t>0</w:t>
            </w:r>
          </w:p>
        </w:tc>
        <w:tc>
          <w:tcPr>
            <w:tcW w:w="1374" w:type="dxa"/>
          </w:tcPr>
          <w:p w14:paraId="52EA2AFE" w14:textId="77777777" w:rsidR="00EC2052" w:rsidRDefault="00EC2052" w:rsidP="00EC2052">
            <w:pPr>
              <w:rPr>
                <w:lang w:val="en-US"/>
              </w:rPr>
            </w:pPr>
            <w:r>
              <w:rPr>
                <w:lang w:val="en-US"/>
              </w:rPr>
              <w:t>10</w:t>
            </w:r>
          </w:p>
        </w:tc>
        <w:tc>
          <w:tcPr>
            <w:tcW w:w="1375" w:type="dxa"/>
          </w:tcPr>
          <w:p w14:paraId="7C804369" w14:textId="77777777" w:rsidR="00EC2052" w:rsidRDefault="00EC2052" w:rsidP="00EC2052">
            <w:pPr>
              <w:rPr>
                <w:lang w:val="en-US"/>
              </w:rPr>
            </w:pPr>
            <w:r>
              <w:rPr>
                <w:lang w:val="en-US"/>
              </w:rPr>
              <w:t>20</w:t>
            </w:r>
          </w:p>
        </w:tc>
        <w:tc>
          <w:tcPr>
            <w:tcW w:w="1375" w:type="dxa"/>
          </w:tcPr>
          <w:p w14:paraId="5FA71DFC" w14:textId="77777777" w:rsidR="00EC2052" w:rsidRDefault="00EC2052" w:rsidP="00EC2052">
            <w:pPr>
              <w:rPr>
                <w:lang w:val="en-US"/>
              </w:rPr>
            </w:pPr>
            <w:r>
              <w:rPr>
                <w:lang w:val="en-US"/>
              </w:rPr>
              <w:t>2.6</w:t>
            </w:r>
          </w:p>
        </w:tc>
        <w:tc>
          <w:tcPr>
            <w:tcW w:w="1375" w:type="dxa"/>
          </w:tcPr>
          <w:p w14:paraId="29363CB7" w14:textId="77777777" w:rsidR="00EC2052" w:rsidRDefault="00EC2052" w:rsidP="00EC2052">
            <w:pPr>
              <w:rPr>
                <w:lang w:val="en-US"/>
              </w:rPr>
            </w:pPr>
            <w:r>
              <w:rPr>
                <w:lang w:val="en-US"/>
              </w:rPr>
              <w:t>10</w:t>
            </w:r>
          </w:p>
        </w:tc>
      </w:tr>
      <w:tr w:rsidR="00EC2052" w14:paraId="2DB6E0B0" w14:textId="77777777" w:rsidTr="00EC2052">
        <w:tc>
          <w:tcPr>
            <w:tcW w:w="1374" w:type="dxa"/>
          </w:tcPr>
          <w:p w14:paraId="1C840B06" w14:textId="77777777" w:rsidR="00EC2052" w:rsidRDefault="00EC2052" w:rsidP="00EC2052">
            <w:pPr>
              <w:rPr>
                <w:lang w:val="en-US"/>
              </w:rPr>
            </w:pPr>
            <w:r>
              <w:rPr>
                <w:lang w:val="en-US"/>
              </w:rPr>
              <w:t>Type B, DFT-S-OFDM</w:t>
            </w:r>
          </w:p>
        </w:tc>
        <w:tc>
          <w:tcPr>
            <w:tcW w:w="1374" w:type="dxa"/>
          </w:tcPr>
          <w:p w14:paraId="10A7AFF6" w14:textId="77777777" w:rsidR="00EC2052" w:rsidRDefault="00EC2052" w:rsidP="00EC2052">
            <w:pPr>
              <w:rPr>
                <w:lang w:val="en-US"/>
              </w:rPr>
            </w:pPr>
            <w:r>
              <w:rPr>
                <w:lang w:val="en-US"/>
              </w:rPr>
              <w:t>10</w:t>
            </w:r>
          </w:p>
        </w:tc>
        <w:tc>
          <w:tcPr>
            <w:tcW w:w="1374" w:type="dxa"/>
          </w:tcPr>
          <w:p w14:paraId="0C162E7C" w14:textId="77777777" w:rsidR="00EC2052" w:rsidRDefault="00EC2052" w:rsidP="00EC2052">
            <w:pPr>
              <w:rPr>
                <w:lang w:val="en-US"/>
              </w:rPr>
            </w:pPr>
            <w:r>
              <w:rPr>
                <w:lang w:val="en-US"/>
              </w:rPr>
              <w:t>0.5</w:t>
            </w:r>
          </w:p>
        </w:tc>
        <w:tc>
          <w:tcPr>
            <w:tcW w:w="1374" w:type="dxa"/>
          </w:tcPr>
          <w:p w14:paraId="4A0214C7" w14:textId="77777777" w:rsidR="00EC2052" w:rsidRDefault="00EC2052" w:rsidP="00EC2052">
            <w:pPr>
              <w:rPr>
                <w:lang w:val="en-US"/>
              </w:rPr>
            </w:pPr>
            <w:r>
              <w:rPr>
                <w:lang w:val="en-US"/>
              </w:rPr>
              <w:t>11</w:t>
            </w:r>
          </w:p>
        </w:tc>
        <w:tc>
          <w:tcPr>
            <w:tcW w:w="1375" w:type="dxa"/>
          </w:tcPr>
          <w:p w14:paraId="4CE3E5F1" w14:textId="77777777" w:rsidR="00EC2052" w:rsidRDefault="00EC2052" w:rsidP="00EC2052">
            <w:pPr>
              <w:rPr>
                <w:lang w:val="en-US"/>
              </w:rPr>
            </w:pPr>
            <w:r>
              <w:rPr>
                <w:lang w:val="en-US"/>
              </w:rPr>
              <w:t>20</w:t>
            </w:r>
          </w:p>
        </w:tc>
        <w:tc>
          <w:tcPr>
            <w:tcW w:w="1375" w:type="dxa"/>
          </w:tcPr>
          <w:p w14:paraId="5DF92B9C" w14:textId="77777777" w:rsidR="00EC2052" w:rsidRDefault="00972D53" w:rsidP="00EC2052">
            <w:pPr>
              <w:rPr>
                <w:lang w:val="en-US"/>
              </w:rPr>
            </w:pPr>
            <w:r>
              <w:rPr>
                <w:lang w:val="en-US"/>
              </w:rPr>
              <w:t>2.5</w:t>
            </w:r>
          </w:p>
        </w:tc>
        <w:tc>
          <w:tcPr>
            <w:tcW w:w="1375" w:type="dxa"/>
          </w:tcPr>
          <w:p w14:paraId="3B0AF071" w14:textId="77777777" w:rsidR="00EC2052" w:rsidRDefault="00EC2052" w:rsidP="00EC2052">
            <w:pPr>
              <w:rPr>
                <w:lang w:val="en-US"/>
              </w:rPr>
            </w:pPr>
            <w:r>
              <w:rPr>
                <w:lang w:val="en-US"/>
              </w:rPr>
              <w:t>10</w:t>
            </w:r>
          </w:p>
        </w:tc>
      </w:tr>
      <w:tr w:rsidR="00EC2052" w14:paraId="762BBB1D" w14:textId="77777777" w:rsidTr="00EC2052">
        <w:tc>
          <w:tcPr>
            <w:tcW w:w="1374" w:type="dxa"/>
          </w:tcPr>
          <w:p w14:paraId="5BD69E45" w14:textId="77777777" w:rsidR="00EC2052" w:rsidRDefault="00EC2052" w:rsidP="00EC2052">
            <w:pPr>
              <w:rPr>
                <w:lang w:val="en-US"/>
              </w:rPr>
            </w:pPr>
            <w:r>
              <w:rPr>
                <w:lang w:val="en-US"/>
              </w:rPr>
              <w:t>Type B, DFT-S-OFDM</w:t>
            </w:r>
          </w:p>
        </w:tc>
        <w:tc>
          <w:tcPr>
            <w:tcW w:w="1374" w:type="dxa"/>
          </w:tcPr>
          <w:p w14:paraId="5382B134" w14:textId="77777777" w:rsidR="00EC2052" w:rsidRDefault="00EC2052" w:rsidP="00EC2052">
            <w:pPr>
              <w:rPr>
                <w:lang w:val="en-US"/>
              </w:rPr>
            </w:pPr>
            <w:r>
              <w:rPr>
                <w:lang w:val="en-US"/>
              </w:rPr>
              <w:t>10</w:t>
            </w:r>
          </w:p>
        </w:tc>
        <w:tc>
          <w:tcPr>
            <w:tcW w:w="1374" w:type="dxa"/>
          </w:tcPr>
          <w:p w14:paraId="57D5068F" w14:textId="77777777" w:rsidR="00EC2052" w:rsidRDefault="00972D53" w:rsidP="00EC2052">
            <w:pPr>
              <w:rPr>
                <w:lang w:val="en-US"/>
              </w:rPr>
            </w:pPr>
            <w:r>
              <w:rPr>
                <w:lang w:val="en-US"/>
              </w:rPr>
              <w:t>-2</w:t>
            </w:r>
          </w:p>
        </w:tc>
        <w:tc>
          <w:tcPr>
            <w:tcW w:w="1374" w:type="dxa"/>
          </w:tcPr>
          <w:p w14:paraId="226980A8" w14:textId="77777777" w:rsidR="00EC2052" w:rsidRDefault="00972D53" w:rsidP="00EC2052">
            <w:pPr>
              <w:rPr>
                <w:lang w:val="en-US"/>
              </w:rPr>
            </w:pPr>
            <w:r>
              <w:rPr>
                <w:lang w:val="en-US"/>
              </w:rPr>
              <w:t>14</w:t>
            </w:r>
          </w:p>
        </w:tc>
        <w:tc>
          <w:tcPr>
            <w:tcW w:w="1375" w:type="dxa"/>
          </w:tcPr>
          <w:p w14:paraId="4479654D" w14:textId="77777777" w:rsidR="00EC2052" w:rsidRDefault="00972D53" w:rsidP="00EC2052">
            <w:pPr>
              <w:rPr>
                <w:lang w:val="en-US"/>
              </w:rPr>
            </w:pPr>
            <w:r>
              <w:rPr>
                <w:lang w:val="en-US"/>
              </w:rPr>
              <w:t>16</w:t>
            </w:r>
          </w:p>
        </w:tc>
        <w:tc>
          <w:tcPr>
            <w:tcW w:w="1375" w:type="dxa"/>
          </w:tcPr>
          <w:p w14:paraId="003024A0" w14:textId="77777777" w:rsidR="00EC2052" w:rsidRDefault="00972D53" w:rsidP="00EC2052">
            <w:pPr>
              <w:rPr>
                <w:lang w:val="en-US"/>
              </w:rPr>
            </w:pPr>
            <w:r>
              <w:rPr>
                <w:lang w:val="en-US"/>
              </w:rPr>
              <w:t>4.9</w:t>
            </w:r>
          </w:p>
        </w:tc>
        <w:tc>
          <w:tcPr>
            <w:tcW w:w="1375" w:type="dxa"/>
          </w:tcPr>
          <w:p w14:paraId="51F9C5F2" w14:textId="77777777" w:rsidR="00EC2052" w:rsidRDefault="00EC2052" w:rsidP="00EC2052">
            <w:pPr>
              <w:rPr>
                <w:lang w:val="en-US"/>
              </w:rPr>
            </w:pPr>
            <w:r>
              <w:rPr>
                <w:lang w:val="en-US"/>
              </w:rPr>
              <w:t>10</w:t>
            </w:r>
          </w:p>
        </w:tc>
      </w:tr>
      <w:tr w:rsidR="00972D53" w14:paraId="35C611FC" w14:textId="77777777" w:rsidTr="00EC2052">
        <w:tc>
          <w:tcPr>
            <w:tcW w:w="1374" w:type="dxa"/>
          </w:tcPr>
          <w:p w14:paraId="06B64CD6" w14:textId="77777777" w:rsidR="00972D53" w:rsidRDefault="00972D53" w:rsidP="00EC2052">
            <w:pPr>
              <w:rPr>
                <w:lang w:val="en-US"/>
              </w:rPr>
            </w:pPr>
            <w:r>
              <w:rPr>
                <w:lang w:val="en-US"/>
              </w:rPr>
              <w:t>Type C, DFT-S-OFDM</w:t>
            </w:r>
          </w:p>
        </w:tc>
        <w:tc>
          <w:tcPr>
            <w:tcW w:w="1374" w:type="dxa"/>
          </w:tcPr>
          <w:p w14:paraId="1AAE669E" w14:textId="77777777" w:rsidR="00972D53" w:rsidRDefault="00972D53" w:rsidP="00EC2052">
            <w:pPr>
              <w:rPr>
                <w:lang w:val="en-US"/>
              </w:rPr>
            </w:pPr>
            <w:r>
              <w:rPr>
                <w:lang w:val="en-US"/>
              </w:rPr>
              <w:t>2</w:t>
            </w:r>
          </w:p>
        </w:tc>
        <w:tc>
          <w:tcPr>
            <w:tcW w:w="1374" w:type="dxa"/>
          </w:tcPr>
          <w:p w14:paraId="2FA369B5" w14:textId="77777777" w:rsidR="00972D53" w:rsidRDefault="00972D53" w:rsidP="00EC2052">
            <w:pPr>
              <w:rPr>
                <w:lang w:val="en-US"/>
              </w:rPr>
            </w:pPr>
            <w:r>
              <w:rPr>
                <w:lang w:val="en-US"/>
              </w:rPr>
              <w:t>0</w:t>
            </w:r>
          </w:p>
        </w:tc>
        <w:tc>
          <w:tcPr>
            <w:tcW w:w="1374" w:type="dxa"/>
          </w:tcPr>
          <w:p w14:paraId="2B1B01F9" w14:textId="77777777" w:rsidR="00972D53" w:rsidRDefault="00972D53" w:rsidP="00EC2052">
            <w:pPr>
              <w:rPr>
                <w:lang w:val="en-US"/>
              </w:rPr>
            </w:pPr>
            <w:r>
              <w:rPr>
                <w:lang w:val="en-US"/>
              </w:rPr>
              <w:t>14</w:t>
            </w:r>
          </w:p>
        </w:tc>
        <w:tc>
          <w:tcPr>
            <w:tcW w:w="1375" w:type="dxa"/>
          </w:tcPr>
          <w:p w14:paraId="4627704B" w14:textId="77777777" w:rsidR="00972D53" w:rsidRDefault="00972D53" w:rsidP="00EC2052">
            <w:pPr>
              <w:rPr>
                <w:lang w:val="en-US"/>
              </w:rPr>
            </w:pPr>
            <w:r>
              <w:rPr>
                <w:lang w:val="en-US"/>
              </w:rPr>
              <w:t>14</w:t>
            </w:r>
          </w:p>
        </w:tc>
        <w:tc>
          <w:tcPr>
            <w:tcW w:w="1375" w:type="dxa"/>
          </w:tcPr>
          <w:p w14:paraId="720BC7FB" w14:textId="77777777" w:rsidR="00972D53" w:rsidRDefault="00972D53" w:rsidP="00EC2052">
            <w:pPr>
              <w:rPr>
                <w:lang w:val="en-US"/>
              </w:rPr>
            </w:pPr>
            <w:r>
              <w:rPr>
                <w:lang w:val="en-US"/>
              </w:rPr>
              <w:t>6.0</w:t>
            </w:r>
          </w:p>
        </w:tc>
        <w:tc>
          <w:tcPr>
            <w:tcW w:w="1375" w:type="dxa"/>
          </w:tcPr>
          <w:p w14:paraId="4903E71D" w14:textId="77777777" w:rsidR="00972D53" w:rsidRDefault="00972D53" w:rsidP="00EC2052">
            <w:pPr>
              <w:rPr>
                <w:lang w:val="en-US"/>
              </w:rPr>
            </w:pPr>
            <w:r>
              <w:rPr>
                <w:lang w:val="en-US"/>
              </w:rPr>
              <w:t>1</w:t>
            </w:r>
            <w:r w:rsidR="001748B7">
              <w:rPr>
                <w:lang w:val="en-US"/>
              </w:rPr>
              <w:t>1</w:t>
            </w:r>
          </w:p>
        </w:tc>
      </w:tr>
    </w:tbl>
    <w:p w14:paraId="0AACD135" w14:textId="77777777" w:rsidR="00EC2052" w:rsidRDefault="00EC2052" w:rsidP="00F67B4B">
      <w:pPr>
        <w:rPr>
          <w:lang w:val="en-US"/>
        </w:rPr>
      </w:pPr>
    </w:p>
    <w:p w14:paraId="22E29DDF" w14:textId="77777777" w:rsidR="00CE0B88" w:rsidRDefault="00972D53" w:rsidP="00F67B4B">
      <w:pPr>
        <w:rPr>
          <w:lang w:val="en-US"/>
        </w:rPr>
      </w:pPr>
      <w:r>
        <w:rPr>
          <w:lang w:val="en-US"/>
        </w:rPr>
        <w:t>While it was expected that for these waveforms, the measured A-MPR would align with the Rel-15 specified A-MPR, it was not observed to be the case.  In fact, the A-MPR difference is much larger than could be explained by postulating that the specified values include margin.</w:t>
      </w:r>
    </w:p>
    <w:p w14:paraId="6ACF2FA7" w14:textId="4A368D15" w:rsidR="00972D53" w:rsidRDefault="00972D53" w:rsidP="00F67B4B">
      <w:pPr>
        <w:rPr>
          <w:lang w:val="en-US"/>
        </w:rPr>
      </w:pPr>
      <w:r>
        <w:rPr>
          <w:lang w:val="en-US"/>
        </w:rPr>
        <w:t xml:space="preserve">It is important to understand the reason for this difference in A-MPR, since it is this difference that </w:t>
      </w:r>
      <w:r w:rsidR="00921BAD">
        <w:rPr>
          <w:lang w:val="en-US"/>
        </w:rPr>
        <w:t xml:space="preserve">forms the basis for </w:t>
      </w:r>
      <w:r>
        <w:rPr>
          <w:lang w:val="en-US"/>
        </w:rPr>
        <w:t>proposals in [</w:t>
      </w:r>
      <w:r w:rsidR="001A391C">
        <w:rPr>
          <w:lang w:val="en-US"/>
        </w:rPr>
        <w:t>7</w:t>
      </w:r>
      <w:r>
        <w:rPr>
          <w:lang w:val="en-US"/>
        </w:rPr>
        <w:t xml:space="preserve">] </w:t>
      </w:r>
      <w:r w:rsidR="00921BAD">
        <w:rPr>
          <w:lang w:val="en-US"/>
        </w:rPr>
        <w:t>to improve</w:t>
      </w:r>
      <w:r>
        <w:rPr>
          <w:lang w:val="en-US"/>
        </w:rPr>
        <w:t xml:space="preserve"> A-MPR.  </w:t>
      </w:r>
      <w:r w:rsidR="003F505B">
        <w:rPr>
          <w:lang w:val="en-US"/>
        </w:rPr>
        <w:t>The following are p</w:t>
      </w:r>
      <w:r>
        <w:rPr>
          <w:lang w:val="en-US"/>
        </w:rPr>
        <w:t xml:space="preserve">ossible reasons for the </w:t>
      </w:r>
      <w:r w:rsidR="003F505B">
        <w:rPr>
          <w:lang w:val="en-US"/>
        </w:rPr>
        <w:t xml:space="preserve">observed </w:t>
      </w:r>
      <w:r>
        <w:rPr>
          <w:lang w:val="en-US"/>
        </w:rPr>
        <w:t>differences</w:t>
      </w:r>
    </w:p>
    <w:p w14:paraId="296409FD" w14:textId="1278E627" w:rsidR="00972D53" w:rsidRDefault="00972D53" w:rsidP="00972D53">
      <w:pPr>
        <w:pStyle w:val="ListParagraph"/>
        <w:numPr>
          <w:ilvl w:val="0"/>
          <w:numId w:val="48"/>
        </w:numPr>
        <w:rPr>
          <w:lang w:val="en-US"/>
        </w:rPr>
      </w:pPr>
      <w:r>
        <w:rPr>
          <w:lang w:val="en-US"/>
        </w:rPr>
        <w:t>The waveforms in [</w:t>
      </w:r>
      <w:r w:rsidR="001A391C">
        <w:rPr>
          <w:lang w:val="en-US"/>
        </w:rPr>
        <w:t>7</w:t>
      </w:r>
      <w:r>
        <w:rPr>
          <w:lang w:val="en-US"/>
        </w:rPr>
        <w:t xml:space="preserve">] do not represent the </w:t>
      </w:r>
      <w:proofErr w:type="gramStart"/>
      <w:r>
        <w:rPr>
          <w:lang w:val="en-US"/>
        </w:rPr>
        <w:t>worst case</w:t>
      </w:r>
      <w:proofErr w:type="gramEnd"/>
      <w:r>
        <w:rPr>
          <w:lang w:val="en-US"/>
        </w:rPr>
        <w:t xml:space="preserve"> allocation for a given </w:t>
      </w:r>
      <w:proofErr w:type="spellStart"/>
      <w:r>
        <w:rPr>
          <w:lang w:val="en-US"/>
        </w:rPr>
        <w:t>RB</w:t>
      </w:r>
      <w:r w:rsidRPr="00560074">
        <w:rPr>
          <w:vertAlign w:val="subscript"/>
          <w:lang w:val="en-US"/>
        </w:rPr>
        <w:t>tot</w:t>
      </w:r>
      <w:proofErr w:type="spellEnd"/>
      <w:r>
        <w:rPr>
          <w:lang w:val="en-US"/>
        </w:rPr>
        <w:t>.</w:t>
      </w:r>
      <w:r w:rsidR="00A11063">
        <w:rPr>
          <w:lang w:val="en-US"/>
        </w:rPr>
        <w:t xml:space="preserve">  In other words, there exist other waveforms for the same </w:t>
      </w:r>
      <w:proofErr w:type="spellStart"/>
      <w:r w:rsidR="00A11063">
        <w:rPr>
          <w:lang w:val="en-US"/>
        </w:rPr>
        <w:t>RB</w:t>
      </w:r>
      <w:r w:rsidR="00A11063" w:rsidRPr="00A11063">
        <w:rPr>
          <w:vertAlign w:val="subscript"/>
          <w:lang w:val="en-US"/>
        </w:rPr>
        <w:t>tot</w:t>
      </w:r>
      <w:proofErr w:type="spellEnd"/>
      <w:r w:rsidR="00A11063">
        <w:rPr>
          <w:lang w:val="en-US"/>
        </w:rPr>
        <w:t xml:space="preserve"> that require higher A-MPR than what were found in [</w:t>
      </w:r>
      <w:r w:rsidR="001A391C">
        <w:rPr>
          <w:lang w:val="en-US"/>
        </w:rPr>
        <w:t>7</w:t>
      </w:r>
      <w:r w:rsidR="00A11063">
        <w:rPr>
          <w:lang w:val="en-US"/>
        </w:rPr>
        <w:t>].</w:t>
      </w:r>
    </w:p>
    <w:p w14:paraId="7DDFED2C" w14:textId="1B2F7094" w:rsidR="00972D53" w:rsidRDefault="00972D53" w:rsidP="00972D53">
      <w:pPr>
        <w:pStyle w:val="ListParagraph"/>
        <w:numPr>
          <w:ilvl w:val="0"/>
          <w:numId w:val="48"/>
        </w:numPr>
        <w:rPr>
          <w:lang w:val="en-US"/>
        </w:rPr>
      </w:pPr>
      <w:r>
        <w:rPr>
          <w:lang w:val="en-US"/>
        </w:rPr>
        <w:t>The PA used for measurement results in [</w:t>
      </w:r>
      <w:r w:rsidR="001A391C">
        <w:rPr>
          <w:lang w:val="en-US"/>
        </w:rPr>
        <w:t>7</w:t>
      </w:r>
      <w:r>
        <w:rPr>
          <w:lang w:val="en-US"/>
        </w:rPr>
        <w:t xml:space="preserve">] exhibits more linear behavior and requires less </w:t>
      </w:r>
      <w:proofErr w:type="spellStart"/>
      <w:r>
        <w:rPr>
          <w:lang w:val="en-US"/>
        </w:rPr>
        <w:t>backoff</w:t>
      </w:r>
      <w:proofErr w:type="spellEnd"/>
      <w:r>
        <w:rPr>
          <w:lang w:val="en-US"/>
        </w:rPr>
        <w:t xml:space="preserve"> than the PA</w:t>
      </w:r>
      <w:r w:rsidR="003F505B">
        <w:rPr>
          <w:lang w:val="en-US"/>
        </w:rPr>
        <w:t>(s)</w:t>
      </w:r>
      <w:r>
        <w:rPr>
          <w:lang w:val="en-US"/>
        </w:rPr>
        <w:t xml:space="preserve"> used to derive the Rel-15 specifications.</w:t>
      </w:r>
      <w:r w:rsidR="00123514">
        <w:rPr>
          <w:lang w:val="en-US"/>
        </w:rPr>
        <w:t xml:space="preserve">  Or the PA is designed to operate with APT vs. ET supply voltage or some other mode of operation with different tradeoffs.</w:t>
      </w:r>
    </w:p>
    <w:p w14:paraId="129AAF04" w14:textId="1E41F2A9" w:rsidR="003F505B" w:rsidRDefault="003F505B" w:rsidP="00972D53">
      <w:pPr>
        <w:pStyle w:val="ListParagraph"/>
        <w:numPr>
          <w:ilvl w:val="0"/>
          <w:numId w:val="48"/>
        </w:numPr>
        <w:rPr>
          <w:lang w:val="en-US"/>
        </w:rPr>
      </w:pPr>
      <w:r>
        <w:rPr>
          <w:lang w:val="en-US"/>
        </w:rPr>
        <w:t>The PA in [</w:t>
      </w:r>
      <w:r w:rsidR="001A391C">
        <w:rPr>
          <w:lang w:val="en-US"/>
        </w:rPr>
        <w:t>7</w:t>
      </w:r>
      <w:r>
        <w:rPr>
          <w:lang w:val="en-US"/>
        </w:rPr>
        <w:t>] was not properly calibrated to reflect worst case temperature, voltage, and process variation.</w:t>
      </w:r>
    </w:p>
    <w:p w14:paraId="5338F402" w14:textId="77777777" w:rsidR="003F505B" w:rsidRDefault="003F505B" w:rsidP="00972D53">
      <w:pPr>
        <w:pStyle w:val="ListParagraph"/>
        <w:numPr>
          <w:ilvl w:val="0"/>
          <w:numId w:val="48"/>
        </w:numPr>
        <w:rPr>
          <w:lang w:val="en-US"/>
        </w:rPr>
      </w:pPr>
      <w:r>
        <w:rPr>
          <w:lang w:val="en-US"/>
        </w:rPr>
        <w:t>The Rel-15 specifications incorporate excessive margin.</w:t>
      </w:r>
    </w:p>
    <w:p w14:paraId="4AF5DC79" w14:textId="77777777" w:rsidR="00CE0B88" w:rsidRDefault="00BA3976" w:rsidP="00F67B4B">
      <w:pPr>
        <w:rPr>
          <w:lang w:val="en-US"/>
        </w:rPr>
      </w:pPr>
      <w:r>
        <w:rPr>
          <w:lang w:val="en-US"/>
        </w:rPr>
        <w:t>Accordingly, s</w:t>
      </w:r>
      <w:r w:rsidR="00560074">
        <w:rPr>
          <w:lang w:val="en-US"/>
        </w:rPr>
        <w:t xml:space="preserve">olutions to optimize A-MPR </w:t>
      </w:r>
      <w:r>
        <w:rPr>
          <w:lang w:val="en-US"/>
        </w:rPr>
        <w:t>depend on the reason for the observed difference.  For example</w:t>
      </w:r>
    </w:p>
    <w:p w14:paraId="5517EF70" w14:textId="018A9B72" w:rsidR="00CE0B88" w:rsidRPr="0075407B" w:rsidRDefault="0075407B" w:rsidP="0072096D">
      <w:pPr>
        <w:pStyle w:val="ListParagraph"/>
        <w:numPr>
          <w:ilvl w:val="0"/>
          <w:numId w:val="49"/>
        </w:numPr>
        <w:rPr>
          <w:lang w:val="en-US"/>
        </w:rPr>
      </w:pPr>
      <w:r w:rsidRPr="0075407B">
        <w:rPr>
          <w:lang w:val="en-US"/>
        </w:rPr>
        <w:t xml:space="preserve">If it is desired to provide further granularity in A-MPR as a function of waveform (i.e., not just based on </w:t>
      </w:r>
      <w:proofErr w:type="spellStart"/>
      <w:r w:rsidRPr="0075407B">
        <w:rPr>
          <w:lang w:val="en-US"/>
        </w:rPr>
        <w:t>RB</w:t>
      </w:r>
      <w:r w:rsidRPr="0075407B">
        <w:rPr>
          <w:vertAlign w:val="subscript"/>
          <w:lang w:val="en-US"/>
        </w:rPr>
        <w:t>tot</w:t>
      </w:r>
      <w:proofErr w:type="spellEnd"/>
      <w:r w:rsidRPr="0075407B">
        <w:rPr>
          <w:lang w:val="en-US"/>
        </w:rPr>
        <w:t>),</w:t>
      </w:r>
      <w:r>
        <w:rPr>
          <w:lang w:val="en-US"/>
        </w:rPr>
        <w:t xml:space="preserve"> a</w:t>
      </w:r>
      <w:r w:rsidR="00BA3976" w:rsidRPr="0075407B">
        <w:rPr>
          <w:lang w:val="en-US"/>
        </w:rPr>
        <w:t xml:space="preserve"> multi-dimensional indexing could be used to specify an A-MPR curve</w:t>
      </w:r>
      <w:r>
        <w:rPr>
          <w:lang w:val="en-US"/>
        </w:rPr>
        <w:t>.</w:t>
      </w:r>
      <w:r w:rsidR="00BA3976" w:rsidRPr="0075407B">
        <w:rPr>
          <w:lang w:val="en-US"/>
        </w:rPr>
        <w:t xml:space="preserve"> This would enable lower A-MPR for those waveforms with the same </w:t>
      </w:r>
      <w:proofErr w:type="spellStart"/>
      <w:r w:rsidR="00BA3976" w:rsidRPr="0075407B">
        <w:rPr>
          <w:lang w:val="en-US"/>
        </w:rPr>
        <w:t>RB</w:t>
      </w:r>
      <w:r w:rsidR="00BA3976" w:rsidRPr="0075407B">
        <w:rPr>
          <w:vertAlign w:val="subscript"/>
          <w:lang w:val="en-US"/>
        </w:rPr>
        <w:t>tot</w:t>
      </w:r>
      <w:proofErr w:type="spellEnd"/>
      <w:r w:rsidR="00BA3976" w:rsidRPr="0075407B">
        <w:rPr>
          <w:lang w:val="en-US"/>
        </w:rPr>
        <w:t xml:space="preserve">, but with allocations that do not require as much </w:t>
      </w:r>
      <w:proofErr w:type="spellStart"/>
      <w:r w:rsidR="00BA3976" w:rsidRPr="0075407B">
        <w:rPr>
          <w:lang w:val="en-US"/>
        </w:rPr>
        <w:t>backoff</w:t>
      </w:r>
      <w:proofErr w:type="spellEnd"/>
      <w:r w:rsidR="00BA3976" w:rsidRPr="0075407B">
        <w:rPr>
          <w:lang w:val="en-US"/>
        </w:rPr>
        <w:t xml:space="preserve"> (i.e., </w:t>
      </w:r>
      <w:r w:rsidR="00921BAD" w:rsidRPr="0075407B">
        <w:rPr>
          <w:lang w:val="en-US"/>
        </w:rPr>
        <w:t xml:space="preserve">analogous to </w:t>
      </w:r>
      <w:r w:rsidR="00BA3976" w:rsidRPr="0075407B">
        <w:rPr>
          <w:lang w:val="en-US"/>
        </w:rPr>
        <w:t>“inner” allocations)</w:t>
      </w:r>
      <w:r>
        <w:rPr>
          <w:lang w:val="en-US"/>
        </w:rPr>
        <w:t xml:space="preserve">; however, the </w:t>
      </w:r>
      <w:r w:rsidR="00D470CE">
        <w:rPr>
          <w:lang w:val="en-US"/>
        </w:rPr>
        <w:t xml:space="preserve">added </w:t>
      </w:r>
      <w:r>
        <w:rPr>
          <w:lang w:val="en-US"/>
        </w:rPr>
        <w:t xml:space="preserve">complexity </w:t>
      </w:r>
      <w:r w:rsidR="00D470CE">
        <w:rPr>
          <w:lang w:val="en-US"/>
        </w:rPr>
        <w:t>would need to be considered</w:t>
      </w:r>
      <w:r>
        <w:rPr>
          <w:lang w:val="en-US"/>
        </w:rPr>
        <w:t>.</w:t>
      </w:r>
    </w:p>
    <w:p w14:paraId="12498198" w14:textId="111EE232" w:rsidR="00BA3976" w:rsidRDefault="00BA3976" w:rsidP="00E1542B">
      <w:pPr>
        <w:pStyle w:val="ListParagraph"/>
        <w:numPr>
          <w:ilvl w:val="0"/>
          <w:numId w:val="49"/>
        </w:numPr>
        <w:rPr>
          <w:lang w:val="en-US"/>
        </w:rPr>
      </w:pPr>
      <w:r>
        <w:rPr>
          <w:lang w:val="en-US"/>
        </w:rPr>
        <w:t>If adopted, this type of improvement could be enabled by “hardware-based” capability signaling as proposed in [</w:t>
      </w:r>
      <w:r w:rsidR="001A391C">
        <w:rPr>
          <w:lang w:val="en-US"/>
        </w:rPr>
        <w:t>5</w:t>
      </w:r>
      <w:r>
        <w:rPr>
          <w:lang w:val="en-US"/>
        </w:rPr>
        <w:t>]</w:t>
      </w:r>
      <w:r w:rsidR="00510A20">
        <w:rPr>
          <w:lang w:val="en-US"/>
        </w:rPr>
        <w:t xml:space="preserve"> recognizing that all PA’s may</w:t>
      </w:r>
      <w:r w:rsidR="001A391C">
        <w:rPr>
          <w:lang w:val="en-US"/>
        </w:rPr>
        <w:t xml:space="preserve"> not</w:t>
      </w:r>
      <w:r w:rsidR="00510A20">
        <w:rPr>
          <w:lang w:val="en-US"/>
        </w:rPr>
        <w:t xml:space="preserve"> have the same performance characteristic</w:t>
      </w:r>
      <w:r w:rsidR="001A391C">
        <w:rPr>
          <w:lang w:val="en-US"/>
        </w:rPr>
        <w:t xml:space="preserve"> as a trade-off against power efficiency or other design parameters</w:t>
      </w:r>
      <w:r w:rsidR="00510A20">
        <w:rPr>
          <w:lang w:val="en-US"/>
        </w:rPr>
        <w:t>.  For example, it has been observed that ET-based vs. APT-based PA’s perform differently across different waveforms.</w:t>
      </w:r>
      <w:r w:rsidR="00C51949">
        <w:rPr>
          <w:lang w:val="en-US"/>
        </w:rPr>
        <w:t xml:space="preserve">  More PA’s should be evaluated to ensure that what is presented is representative of available PA performance.</w:t>
      </w:r>
      <w:r w:rsidR="00A11063">
        <w:rPr>
          <w:lang w:val="en-US"/>
        </w:rPr>
        <w:t xml:space="preserve">  This may be difficult to characterize in a general sense</w:t>
      </w:r>
      <w:r w:rsidR="00510A20">
        <w:rPr>
          <w:lang w:val="en-US"/>
        </w:rPr>
        <w:t xml:space="preserve"> since there is significant variability in performance characteristics of different PA designs</w:t>
      </w:r>
      <w:r w:rsidR="001A391C">
        <w:rPr>
          <w:lang w:val="en-US"/>
        </w:rPr>
        <w:t xml:space="preserve"> as observed in [1]</w:t>
      </w:r>
      <w:r w:rsidR="00510A20">
        <w:rPr>
          <w:lang w:val="en-US"/>
        </w:rPr>
        <w:t>.</w:t>
      </w:r>
    </w:p>
    <w:p w14:paraId="28FD58E5" w14:textId="12405781" w:rsidR="00BA3976" w:rsidRDefault="00BA3976" w:rsidP="00E1542B">
      <w:pPr>
        <w:pStyle w:val="ListParagraph"/>
        <w:numPr>
          <w:ilvl w:val="0"/>
          <w:numId w:val="49"/>
        </w:numPr>
        <w:rPr>
          <w:lang w:val="en-US"/>
        </w:rPr>
      </w:pPr>
      <w:r>
        <w:rPr>
          <w:lang w:val="en-US"/>
        </w:rPr>
        <w:t>We assume that this is not the case</w:t>
      </w:r>
      <w:r w:rsidR="000E672F">
        <w:rPr>
          <w:lang w:val="en-US"/>
        </w:rPr>
        <w:t xml:space="preserve">, although PA calibration to emulate worst case can be somewhat ambiguous and </w:t>
      </w:r>
      <w:r w:rsidR="001A391C">
        <w:rPr>
          <w:lang w:val="en-US"/>
        </w:rPr>
        <w:t xml:space="preserve">can </w:t>
      </w:r>
      <w:r w:rsidR="000E672F">
        <w:rPr>
          <w:lang w:val="en-US"/>
        </w:rPr>
        <w:t>lead to differing results from different companies.</w:t>
      </w:r>
    </w:p>
    <w:p w14:paraId="1A481745" w14:textId="72CFF34B" w:rsidR="00BA3976" w:rsidRPr="000E672F" w:rsidRDefault="00BA3976" w:rsidP="00D9240C">
      <w:pPr>
        <w:pStyle w:val="ListParagraph"/>
        <w:numPr>
          <w:ilvl w:val="0"/>
          <w:numId w:val="49"/>
        </w:numPr>
        <w:rPr>
          <w:lang w:val="en-US"/>
        </w:rPr>
      </w:pPr>
      <w:r w:rsidRPr="000E672F">
        <w:rPr>
          <w:lang w:val="en-US"/>
        </w:rPr>
        <w:t xml:space="preserve">If this is the claim, further verification would be necessary </w:t>
      </w:r>
      <w:r w:rsidR="000E672F" w:rsidRPr="000E672F">
        <w:rPr>
          <w:lang w:val="en-US"/>
        </w:rPr>
        <w:t>since</w:t>
      </w:r>
      <w:r w:rsidRPr="000E672F">
        <w:rPr>
          <w:lang w:val="en-US"/>
        </w:rPr>
        <w:t xml:space="preserve"> the </w:t>
      </w:r>
      <w:r w:rsidR="00510A20" w:rsidRPr="000E672F">
        <w:rPr>
          <w:lang w:val="en-US"/>
        </w:rPr>
        <w:t xml:space="preserve">Rel-15 specifications </w:t>
      </w:r>
      <w:r w:rsidR="000E672F" w:rsidRPr="000E672F">
        <w:rPr>
          <w:lang w:val="en-US"/>
        </w:rPr>
        <w:t xml:space="preserve">were studied extensively and ultimately based on </w:t>
      </w:r>
      <w:r w:rsidR="00D96E13" w:rsidRPr="000E672F">
        <w:rPr>
          <w:lang w:val="en-US"/>
        </w:rPr>
        <w:t>simulation from multiple companies [</w:t>
      </w:r>
      <w:r w:rsidR="001A391C">
        <w:rPr>
          <w:lang w:val="en-US"/>
        </w:rPr>
        <w:t>8</w:t>
      </w:r>
      <w:r w:rsidR="00D96E13" w:rsidRPr="000E672F">
        <w:rPr>
          <w:lang w:val="en-US"/>
        </w:rPr>
        <w:t>], [</w:t>
      </w:r>
      <w:r w:rsidR="001A391C">
        <w:rPr>
          <w:lang w:val="en-US"/>
        </w:rPr>
        <w:t>9</w:t>
      </w:r>
      <w:r w:rsidR="00D96E13" w:rsidRPr="000E672F">
        <w:rPr>
          <w:lang w:val="en-US"/>
        </w:rPr>
        <w:t xml:space="preserve">] and </w:t>
      </w:r>
      <w:r w:rsidR="00510A20" w:rsidRPr="000E672F">
        <w:rPr>
          <w:lang w:val="en-US"/>
        </w:rPr>
        <w:t>measurements [</w:t>
      </w:r>
      <w:r w:rsidR="001A391C">
        <w:rPr>
          <w:lang w:val="en-US"/>
        </w:rPr>
        <w:t>10</w:t>
      </w:r>
      <w:r w:rsidR="000E672F" w:rsidRPr="000E672F">
        <w:rPr>
          <w:lang w:val="en-US"/>
        </w:rPr>
        <w:t>]</w:t>
      </w:r>
      <w:r w:rsidR="00510A20" w:rsidRPr="000E672F">
        <w:rPr>
          <w:lang w:val="en-US"/>
        </w:rPr>
        <w:t xml:space="preserve">.  Moreover, </w:t>
      </w:r>
      <w:r w:rsidR="008648C8" w:rsidRPr="000E672F">
        <w:rPr>
          <w:lang w:val="en-US"/>
        </w:rPr>
        <w:t xml:space="preserve">given the wide variation observed in different PA designs </w:t>
      </w:r>
      <w:r w:rsidR="00D9240C" w:rsidRPr="000E672F">
        <w:rPr>
          <w:lang w:val="en-US"/>
        </w:rPr>
        <w:t>and technologies</w:t>
      </w:r>
      <w:r w:rsidR="008648C8" w:rsidRPr="000E672F">
        <w:rPr>
          <w:lang w:val="en-US"/>
        </w:rPr>
        <w:t>, the values specified may not be due to excessive margin but rather to high variability.</w:t>
      </w:r>
    </w:p>
    <w:p w14:paraId="2B3D9355" w14:textId="4D5CA5A5" w:rsidR="00310888" w:rsidRDefault="00C76941" w:rsidP="00F67B4B">
      <w:pPr>
        <w:rPr>
          <w:lang w:val="en-US"/>
        </w:rPr>
      </w:pPr>
      <w:r>
        <w:rPr>
          <w:lang w:val="en-US"/>
        </w:rPr>
        <w:t xml:space="preserve">The </w:t>
      </w:r>
      <w:r w:rsidR="00921BAD">
        <w:rPr>
          <w:lang w:val="en-US"/>
        </w:rPr>
        <w:t xml:space="preserve">specific </w:t>
      </w:r>
      <w:r>
        <w:rPr>
          <w:lang w:val="en-US"/>
        </w:rPr>
        <w:t>proposal</w:t>
      </w:r>
      <w:r w:rsidR="00921BAD">
        <w:rPr>
          <w:lang w:val="en-US"/>
        </w:rPr>
        <w:t>s</w:t>
      </w:r>
      <w:r>
        <w:rPr>
          <w:lang w:val="en-US"/>
        </w:rPr>
        <w:t xml:space="preserve"> for improvement in [</w:t>
      </w:r>
      <w:r w:rsidR="001A391C">
        <w:rPr>
          <w:lang w:val="en-US"/>
        </w:rPr>
        <w:t>7</w:t>
      </w:r>
      <w:r>
        <w:rPr>
          <w:lang w:val="en-US"/>
        </w:rPr>
        <w:t>]</w:t>
      </w:r>
      <w:r w:rsidR="00921BAD">
        <w:rPr>
          <w:lang w:val="en-US"/>
        </w:rPr>
        <w:t xml:space="preserve"> suggest that the reason for improvement is </w:t>
      </w:r>
      <w:r w:rsidR="001E2126">
        <w:rPr>
          <w:lang w:val="en-US"/>
        </w:rPr>
        <w:t>either 1 or 2</w:t>
      </w:r>
      <w:r w:rsidR="00921BAD">
        <w:rPr>
          <w:lang w:val="en-US"/>
        </w:rPr>
        <w:t xml:space="preserve"> as listed above</w:t>
      </w:r>
      <w:r w:rsidR="001E2126">
        <w:rPr>
          <w:lang w:val="en-US"/>
        </w:rPr>
        <w:t>.  The first proposal in [</w:t>
      </w:r>
      <w:r w:rsidR="001A391C">
        <w:rPr>
          <w:lang w:val="en-US"/>
        </w:rPr>
        <w:t>7</w:t>
      </w:r>
      <w:r w:rsidR="001E2126">
        <w:rPr>
          <w:lang w:val="en-US"/>
        </w:rPr>
        <w:t>] to remove the PSD check is based on an observation that the PSD varies significantly i</w:t>
      </w:r>
      <w:r w:rsidR="001A391C">
        <w:rPr>
          <w:lang w:val="en-US"/>
        </w:rPr>
        <w:t>n</w:t>
      </w:r>
      <w:r w:rsidR="001E2126">
        <w:rPr>
          <w:lang w:val="en-US"/>
        </w:rPr>
        <w:t xml:space="preserve"> the observed measurements.  However, since the observed measurements on A-MPR are significantly smaller than the requirements specified in Rel-15 where equal PSD was assumed, it is possible that other waveforms with unequal PSD may be identified to provide additional parameters in optimizing A-MPR.  The second proposal in [</w:t>
      </w:r>
      <w:r w:rsidR="001A391C">
        <w:rPr>
          <w:lang w:val="en-US"/>
        </w:rPr>
        <w:t>7</w:t>
      </w:r>
      <w:r w:rsidR="001E2126">
        <w:rPr>
          <w:lang w:val="en-US"/>
        </w:rPr>
        <w:t xml:space="preserve">] suggests identifying a “reference” point and defining 2:1 or 0.5:1 </w:t>
      </w:r>
      <w:proofErr w:type="gramStart"/>
      <w:r w:rsidR="001E2126">
        <w:rPr>
          <w:lang w:val="en-US"/>
        </w:rPr>
        <w:t>slopes</w:t>
      </w:r>
      <w:proofErr w:type="gramEnd"/>
      <w:r w:rsidR="001E2126">
        <w:rPr>
          <w:lang w:val="en-US"/>
        </w:rPr>
        <w:t xml:space="preserve"> in power sharing behavior as power diverges from the reference while at the same time staying below the measured/simulated curve in order to retain some margin in the specification.  However, the gain from this proposal comes from </w:t>
      </w:r>
      <w:r w:rsidR="00310888">
        <w:rPr>
          <w:lang w:val="en-US"/>
        </w:rPr>
        <w:t xml:space="preserve">a PA that significantly exceeds the Rel-15 requirement rather than an inherent benefit in a 2:1 or 0.5:1 formulation in power sharing.  In other words, the gain </w:t>
      </w:r>
      <w:proofErr w:type="gramStart"/>
      <w:r w:rsidR="00310888">
        <w:rPr>
          <w:lang w:val="en-US"/>
        </w:rPr>
        <w:t>is based on an assumption</w:t>
      </w:r>
      <w:proofErr w:type="gramEnd"/>
      <w:r w:rsidR="00310888">
        <w:rPr>
          <w:lang w:val="en-US"/>
        </w:rPr>
        <w:t xml:space="preserve"> of a more linear PA than what was used to derive Rel-15 specification.  If agreed, this could be signaled as part of a “hardware-based” capability; however, the need to define 2:1 or 0.5:1 </w:t>
      </w:r>
      <w:proofErr w:type="gramStart"/>
      <w:r w:rsidR="00310888">
        <w:rPr>
          <w:lang w:val="en-US"/>
        </w:rPr>
        <w:t>slopes</w:t>
      </w:r>
      <w:proofErr w:type="gramEnd"/>
      <w:r w:rsidR="00310888">
        <w:rPr>
          <w:lang w:val="en-US"/>
        </w:rPr>
        <w:t xml:space="preserve"> </w:t>
      </w:r>
      <w:r w:rsidR="001A391C">
        <w:rPr>
          <w:lang w:val="en-US"/>
        </w:rPr>
        <w:t>can be separately considered</w:t>
      </w:r>
      <w:r w:rsidR="00310888">
        <w:rPr>
          <w:lang w:val="en-US"/>
        </w:rPr>
        <w:t>.  Improvement could still be achieved with maintaining the sum power constraint, but simply shifting the curve upwards; i.e., simply lowering the A-</w:t>
      </w:r>
      <w:proofErr w:type="spellStart"/>
      <w:r w:rsidR="00310888">
        <w:rPr>
          <w:lang w:val="en-US"/>
        </w:rPr>
        <w:t>MPR</w:t>
      </w:r>
      <w:r w:rsidR="00310888" w:rsidRPr="00310888">
        <w:rPr>
          <w:vertAlign w:val="subscript"/>
          <w:lang w:val="en-US"/>
        </w:rPr>
        <w:t>tot</w:t>
      </w:r>
      <w:proofErr w:type="spellEnd"/>
      <w:r w:rsidR="00310888">
        <w:rPr>
          <w:lang w:val="en-US"/>
        </w:rPr>
        <w:t xml:space="preserve"> value without the need to specify and compute slope and power levels as the power of one carrier increases or decreases.</w:t>
      </w:r>
    </w:p>
    <w:p w14:paraId="641E0552" w14:textId="77777777" w:rsidR="001748B7" w:rsidRDefault="001748B7" w:rsidP="001748B7">
      <w:pPr>
        <w:pStyle w:val="Heading1"/>
        <w:tabs>
          <w:tab w:val="clear" w:pos="432"/>
          <w:tab w:val="num" w:pos="522"/>
        </w:tabs>
        <w:ind w:left="522" w:hanging="522"/>
        <w:rPr>
          <w:lang w:val="en-US"/>
        </w:rPr>
      </w:pPr>
      <w:r>
        <w:rPr>
          <w:lang w:val="en-US"/>
        </w:rPr>
        <w:lastRenderedPageBreak/>
        <w:t>Conclusion</w:t>
      </w:r>
    </w:p>
    <w:p w14:paraId="0E3706A9" w14:textId="50B61155" w:rsidR="00310888" w:rsidRDefault="001748B7" w:rsidP="00F67B4B">
      <w:pPr>
        <w:rPr>
          <w:lang w:val="en-US"/>
        </w:rPr>
      </w:pPr>
      <w:r>
        <w:rPr>
          <w:lang w:val="en-US"/>
        </w:rPr>
        <w:t xml:space="preserve">In this contribution, measurement and simulation results </w:t>
      </w:r>
      <w:r w:rsidR="00C51949">
        <w:rPr>
          <w:lang w:val="en-US"/>
        </w:rPr>
        <w:t>from [</w:t>
      </w:r>
      <w:r w:rsidR="001A391C">
        <w:rPr>
          <w:lang w:val="en-US"/>
        </w:rPr>
        <w:t>7</w:t>
      </w:r>
      <w:r w:rsidR="00C51949">
        <w:rPr>
          <w:lang w:val="en-US"/>
        </w:rPr>
        <w:t>] were compared against the Rel-15 specified A-MPR as a benchmark.  To meaningfully compare the two, the same waveforms and signal conditions should be used.  In this case, since the Rel-15 specified A-MPR was derived with an equal PSD RB allocation, the equivalent waveform from [</w:t>
      </w:r>
      <w:r w:rsidR="001A391C">
        <w:rPr>
          <w:lang w:val="en-US"/>
        </w:rPr>
        <w:t>7</w:t>
      </w:r>
      <w:r w:rsidR="00C51949">
        <w:rPr>
          <w:lang w:val="en-US"/>
        </w:rPr>
        <w:t>] was compared.  A significant difference in A-MPR was found for what is understood to be the same waveform and therefore expected to show similar results.  Possible reasons for such discrepancy were listed</w:t>
      </w:r>
      <w:r w:rsidR="00310888">
        <w:rPr>
          <w:lang w:val="en-US"/>
        </w:rPr>
        <w:t>.  It is important to understand the reason for the difference/improvement in order to understand how to properly include in the Rel-16 A-MPR optimization effort.</w:t>
      </w:r>
    </w:p>
    <w:p w14:paraId="2FAD0B4C" w14:textId="77777777" w:rsidR="0090577D" w:rsidRDefault="0090577D" w:rsidP="00505D2D">
      <w:pPr>
        <w:pStyle w:val="Heading1"/>
        <w:numPr>
          <w:ilvl w:val="0"/>
          <w:numId w:val="0"/>
        </w:numPr>
        <w:ind w:left="432" w:hanging="432"/>
        <w:rPr>
          <w:lang w:val="en-US"/>
        </w:rPr>
      </w:pPr>
      <w:r>
        <w:rPr>
          <w:lang w:val="en-US"/>
        </w:rPr>
        <w:t>Reference</w:t>
      </w:r>
    </w:p>
    <w:p w14:paraId="05FD328C" w14:textId="6A7295A1" w:rsidR="00D470CE" w:rsidRDefault="00D470CE" w:rsidP="00340042">
      <w:pPr>
        <w:numPr>
          <w:ilvl w:val="0"/>
          <w:numId w:val="2"/>
        </w:numPr>
        <w:tabs>
          <w:tab w:val="left" w:pos="1080"/>
        </w:tabs>
        <w:rPr>
          <w:lang w:val="en-US" w:eastAsia="x-none"/>
        </w:rPr>
      </w:pPr>
      <w:bookmarkStart w:id="1" w:name="_Hlk859252"/>
      <w:r>
        <w:rPr>
          <w:lang w:val="en-US" w:eastAsia="x-none"/>
        </w:rPr>
        <w:t>R4-1901930, “R-IM3 Sensitivity to LTE and NR Powers in B41/n41 EN-DC,” Sprint</w:t>
      </w:r>
    </w:p>
    <w:p w14:paraId="10FBC0DB" w14:textId="676E1A8B" w:rsidR="00F9318A" w:rsidRDefault="00F9318A" w:rsidP="00340042">
      <w:pPr>
        <w:numPr>
          <w:ilvl w:val="0"/>
          <w:numId w:val="2"/>
        </w:numPr>
        <w:tabs>
          <w:tab w:val="left" w:pos="1080"/>
        </w:tabs>
        <w:rPr>
          <w:lang w:val="en-US" w:eastAsia="x-none"/>
        </w:rPr>
      </w:pPr>
      <w:r>
        <w:rPr>
          <w:lang w:val="en-US" w:eastAsia="x-none"/>
        </w:rPr>
        <w:t>R4-1903559, “2.5 GHz One PA Back-off Measurements for Baseline and Improved Intra-band ENDC MPR and AMPR,” Skyworks Solutions, Inc.</w:t>
      </w:r>
    </w:p>
    <w:p w14:paraId="06817745" w14:textId="5D9DCD4F" w:rsidR="00F5486F" w:rsidRDefault="00F5486F" w:rsidP="00340042">
      <w:pPr>
        <w:numPr>
          <w:ilvl w:val="0"/>
          <w:numId w:val="2"/>
        </w:numPr>
        <w:tabs>
          <w:tab w:val="left" w:pos="1080"/>
        </w:tabs>
        <w:rPr>
          <w:lang w:val="en-US" w:eastAsia="x-none"/>
        </w:rPr>
      </w:pPr>
      <w:r>
        <w:rPr>
          <w:lang w:val="en-US" w:eastAsia="x-none"/>
        </w:rPr>
        <w:t>R4-1903557, “2.5 GHz Two PA Back-off Measurements for Baseline and Improved Intra-band ENDC MPR and AMPR,” Skyworks Solutions, Inc.</w:t>
      </w:r>
    </w:p>
    <w:p w14:paraId="09DA44E4" w14:textId="60A2D46F" w:rsidR="001C7FFC" w:rsidRDefault="001C7FFC" w:rsidP="00340042">
      <w:pPr>
        <w:numPr>
          <w:ilvl w:val="0"/>
          <w:numId w:val="2"/>
        </w:numPr>
        <w:tabs>
          <w:tab w:val="left" w:pos="1080"/>
        </w:tabs>
        <w:rPr>
          <w:lang w:val="en-US" w:eastAsia="x-none"/>
        </w:rPr>
      </w:pPr>
      <w:r>
        <w:rPr>
          <w:lang w:val="en-US" w:eastAsia="x-none"/>
        </w:rPr>
        <w:t>R4-1902498, “WF on Rel-16 Improvement of A-MPR for B41/n41 EN-DC,” Sprint</w:t>
      </w:r>
    </w:p>
    <w:p w14:paraId="61BC8C99" w14:textId="31E1B197" w:rsidR="00203CB2" w:rsidRDefault="00203CB2" w:rsidP="00340042">
      <w:pPr>
        <w:numPr>
          <w:ilvl w:val="0"/>
          <w:numId w:val="2"/>
        </w:numPr>
        <w:tabs>
          <w:tab w:val="left" w:pos="1080"/>
        </w:tabs>
        <w:rPr>
          <w:lang w:val="en-US" w:eastAsia="x-none"/>
        </w:rPr>
      </w:pPr>
      <w:r>
        <w:rPr>
          <w:lang w:val="en-US" w:eastAsia="x-none"/>
        </w:rPr>
        <w:t>R4-1907495, “Way Forward on B41/n41 A-MPR assumptions,” Sprint, Skyworks</w:t>
      </w:r>
    </w:p>
    <w:p w14:paraId="3A66C778" w14:textId="45ECE355" w:rsidR="00C67396" w:rsidRDefault="00C67396" w:rsidP="00C67396">
      <w:pPr>
        <w:numPr>
          <w:ilvl w:val="0"/>
          <w:numId w:val="2"/>
        </w:numPr>
        <w:tabs>
          <w:tab w:val="left" w:pos="1080"/>
        </w:tabs>
        <w:rPr>
          <w:lang w:val="en-US" w:eastAsia="x-none"/>
        </w:rPr>
      </w:pPr>
      <w:r>
        <w:rPr>
          <w:lang w:val="en-US" w:eastAsia="x-none"/>
        </w:rPr>
        <w:t>R4-1907114, “</w:t>
      </w:r>
      <w:r w:rsidRPr="00F67B4B">
        <w:rPr>
          <w:lang w:val="en-US" w:eastAsia="x-none"/>
        </w:rPr>
        <w:t xml:space="preserve">EN-DC emission sensitivity to power </w:t>
      </w:r>
      <w:proofErr w:type="spellStart"/>
      <w:r w:rsidRPr="00F67B4B">
        <w:rPr>
          <w:lang w:val="en-US" w:eastAsia="x-none"/>
        </w:rPr>
        <w:t>backoff</w:t>
      </w:r>
      <w:proofErr w:type="spellEnd"/>
      <w:r>
        <w:rPr>
          <w:lang w:val="en-US" w:eastAsia="x-none"/>
        </w:rPr>
        <w:t>,” Qualcomm Incorporated</w:t>
      </w:r>
    </w:p>
    <w:p w14:paraId="2BDA1583" w14:textId="79EF58F6" w:rsidR="00B46F7A" w:rsidRPr="00B46F7A" w:rsidRDefault="00B46F7A" w:rsidP="00B46F7A">
      <w:pPr>
        <w:numPr>
          <w:ilvl w:val="0"/>
          <w:numId w:val="2"/>
        </w:numPr>
        <w:tabs>
          <w:tab w:val="left" w:pos="1080"/>
        </w:tabs>
        <w:rPr>
          <w:lang w:val="en-US" w:eastAsia="x-none"/>
        </w:rPr>
      </w:pPr>
      <w:r>
        <w:rPr>
          <w:lang w:val="en-US" w:eastAsia="x-none"/>
        </w:rPr>
        <w:t>R4-1904363, “</w:t>
      </w:r>
      <w:r w:rsidRPr="00F66788">
        <w:rPr>
          <w:lang w:val="en-US" w:eastAsia="x-none"/>
        </w:rPr>
        <w:t>Back-off measurements for REL-16 DC_(n)71AA PSD checks and A-MPR optimization</w:t>
      </w:r>
      <w:r>
        <w:rPr>
          <w:lang w:val="en-US" w:eastAsia="x-none"/>
        </w:rPr>
        <w:t>,” Skyworks Solutions, Inc.</w:t>
      </w:r>
    </w:p>
    <w:p w14:paraId="16B39471" w14:textId="057913DD" w:rsidR="00340042" w:rsidRDefault="00340042" w:rsidP="00340042">
      <w:pPr>
        <w:numPr>
          <w:ilvl w:val="0"/>
          <w:numId w:val="2"/>
        </w:numPr>
        <w:tabs>
          <w:tab w:val="left" w:pos="1080"/>
        </w:tabs>
        <w:rPr>
          <w:lang w:val="en-US" w:eastAsia="x-none"/>
        </w:rPr>
      </w:pPr>
      <w:r>
        <w:rPr>
          <w:lang w:val="en-US" w:eastAsia="x-none"/>
        </w:rPr>
        <w:t>R4-1804026, “A-MPR for DC_(n)71B,” Nokia</w:t>
      </w:r>
    </w:p>
    <w:p w14:paraId="0E01C862" w14:textId="77777777" w:rsidR="00340042" w:rsidRDefault="00862384" w:rsidP="001219FC">
      <w:pPr>
        <w:numPr>
          <w:ilvl w:val="0"/>
          <w:numId w:val="2"/>
        </w:numPr>
        <w:tabs>
          <w:tab w:val="left" w:pos="1080"/>
        </w:tabs>
        <w:rPr>
          <w:lang w:val="en-US" w:eastAsia="x-none"/>
        </w:rPr>
      </w:pPr>
      <w:r>
        <w:rPr>
          <w:lang w:val="en-US" w:eastAsia="x-none"/>
        </w:rPr>
        <w:t>R4-1</w:t>
      </w:r>
      <w:r w:rsidR="00340042">
        <w:rPr>
          <w:lang w:val="en-US" w:eastAsia="x-none"/>
        </w:rPr>
        <w:t>806668</w:t>
      </w:r>
      <w:r>
        <w:rPr>
          <w:lang w:val="en-US" w:eastAsia="x-none"/>
        </w:rPr>
        <w:t>, “</w:t>
      </w:r>
      <w:r w:rsidR="00340042">
        <w:rPr>
          <w:lang w:val="en-US" w:eastAsia="x-none"/>
        </w:rPr>
        <w:t>Required A-MPR results for EN-DC_(n)71B UE,” LG Electronics</w:t>
      </w:r>
    </w:p>
    <w:p w14:paraId="2CC94E92" w14:textId="717674E0" w:rsidR="00340042" w:rsidRDefault="00340042" w:rsidP="001219FC">
      <w:pPr>
        <w:numPr>
          <w:ilvl w:val="0"/>
          <w:numId w:val="2"/>
        </w:numPr>
        <w:tabs>
          <w:tab w:val="left" w:pos="1080"/>
        </w:tabs>
        <w:rPr>
          <w:lang w:val="en-US" w:eastAsia="x-none"/>
        </w:rPr>
      </w:pPr>
      <w:r>
        <w:rPr>
          <w:lang w:val="en-US" w:eastAsia="x-none"/>
        </w:rPr>
        <w:t>R4-1807833, “Measurements for Band 41/n41 EN-DC A-MPR,” Sprint</w:t>
      </w:r>
    </w:p>
    <w:bookmarkEnd w:id="1"/>
    <w:p w14:paraId="3574AD49" w14:textId="77777777" w:rsidR="007F3094" w:rsidRDefault="007F3094" w:rsidP="007F3094">
      <w:pPr>
        <w:tabs>
          <w:tab w:val="left" w:pos="1080"/>
        </w:tabs>
        <w:rPr>
          <w:lang w:val="en-US" w:eastAsia="x-none"/>
        </w:rPr>
      </w:pPr>
    </w:p>
    <w:sectPr w:rsidR="007F3094"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510FD" w14:textId="77777777" w:rsidR="000917A8" w:rsidRDefault="000917A8">
      <w:r>
        <w:separator/>
      </w:r>
    </w:p>
  </w:endnote>
  <w:endnote w:type="continuationSeparator" w:id="0">
    <w:p w14:paraId="783AC127" w14:textId="77777777" w:rsidR="000917A8" w:rsidRDefault="0009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F1DC"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403B18"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50706"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14B4CE5"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F52D" w14:textId="77777777" w:rsidR="000917A8" w:rsidRDefault="000917A8">
      <w:r>
        <w:separator/>
      </w:r>
    </w:p>
  </w:footnote>
  <w:footnote w:type="continuationSeparator" w:id="0">
    <w:p w14:paraId="24F8B1FA" w14:textId="77777777" w:rsidR="000917A8" w:rsidRDefault="00091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CF7"/>
    <w:multiLevelType w:val="hybridMultilevel"/>
    <w:tmpl w:val="6E1C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5C40"/>
    <w:multiLevelType w:val="hybridMultilevel"/>
    <w:tmpl w:val="B6E4C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2F1C"/>
    <w:multiLevelType w:val="hybridMultilevel"/>
    <w:tmpl w:val="0C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82939"/>
    <w:multiLevelType w:val="hybridMultilevel"/>
    <w:tmpl w:val="5D30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85139"/>
    <w:multiLevelType w:val="hybridMultilevel"/>
    <w:tmpl w:val="852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24282"/>
    <w:multiLevelType w:val="hybridMultilevel"/>
    <w:tmpl w:val="9BF23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CA7046"/>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1532A"/>
    <w:multiLevelType w:val="hybridMultilevel"/>
    <w:tmpl w:val="BEBC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13EA3"/>
    <w:multiLevelType w:val="hybridMultilevel"/>
    <w:tmpl w:val="6F3A7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F7B0C"/>
    <w:multiLevelType w:val="hybridMultilevel"/>
    <w:tmpl w:val="7A4C4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509E9"/>
    <w:multiLevelType w:val="hybridMultilevel"/>
    <w:tmpl w:val="9AEE2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F4F46"/>
    <w:multiLevelType w:val="hybridMultilevel"/>
    <w:tmpl w:val="C164A7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25A43"/>
    <w:multiLevelType w:val="hybridMultilevel"/>
    <w:tmpl w:val="EA76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2BA1"/>
    <w:multiLevelType w:val="hybridMultilevel"/>
    <w:tmpl w:val="E38E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24BC1"/>
    <w:multiLevelType w:val="hybridMultilevel"/>
    <w:tmpl w:val="D2F8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0560E"/>
    <w:multiLevelType w:val="hybridMultilevel"/>
    <w:tmpl w:val="365600D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3D33EF"/>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BD5A0A"/>
    <w:multiLevelType w:val="hybridMultilevel"/>
    <w:tmpl w:val="F030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13AA8"/>
    <w:multiLevelType w:val="hybridMultilevel"/>
    <w:tmpl w:val="E5F6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9446EBC"/>
    <w:multiLevelType w:val="hybridMultilevel"/>
    <w:tmpl w:val="2F68F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2721D"/>
    <w:multiLevelType w:val="hybridMultilevel"/>
    <w:tmpl w:val="323A4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63068"/>
    <w:multiLevelType w:val="hybridMultilevel"/>
    <w:tmpl w:val="5BCAE724"/>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AEE2119"/>
    <w:multiLevelType w:val="hybridMultilevel"/>
    <w:tmpl w:val="FDD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5B78B7"/>
    <w:multiLevelType w:val="hybridMultilevel"/>
    <w:tmpl w:val="B2F61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C726C1"/>
    <w:multiLevelType w:val="hybridMultilevel"/>
    <w:tmpl w:val="5676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EC70A0"/>
    <w:multiLevelType w:val="hybridMultilevel"/>
    <w:tmpl w:val="D8D8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54790"/>
    <w:multiLevelType w:val="hybridMultilevel"/>
    <w:tmpl w:val="502A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84469E"/>
    <w:multiLevelType w:val="hybridMultilevel"/>
    <w:tmpl w:val="CF0C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F4E42"/>
    <w:multiLevelType w:val="hybridMultilevel"/>
    <w:tmpl w:val="13921B56"/>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4" w15:restartNumberingAfterBreak="0">
    <w:nsid w:val="7A682C17"/>
    <w:multiLevelType w:val="hybridMultilevel"/>
    <w:tmpl w:val="898EA0DE"/>
    <w:lvl w:ilvl="0" w:tplc="0409000B">
      <w:start w:val="54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94D11"/>
    <w:multiLevelType w:val="hybridMultilevel"/>
    <w:tmpl w:val="9AC86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4"/>
  </w:num>
  <w:num w:numId="3">
    <w:abstractNumId w:val="39"/>
  </w:num>
  <w:num w:numId="4">
    <w:abstractNumId w:val="45"/>
  </w:num>
  <w:num w:numId="5">
    <w:abstractNumId w:val="32"/>
  </w:num>
  <w:num w:numId="6">
    <w:abstractNumId w:val="19"/>
  </w:num>
  <w:num w:numId="7">
    <w:abstractNumId w:val="7"/>
  </w:num>
  <w:num w:numId="8">
    <w:abstractNumId w:val="37"/>
  </w:num>
  <w:num w:numId="9">
    <w:abstractNumId w:val="21"/>
  </w:num>
  <w:num w:numId="10">
    <w:abstractNumId w:val="30"/>
  </w:num>
  <w:num w:numId="11">
    <w:abstractNumId w:val="47"/>
  </w:num>
  <w:num w:numId="12">
    <w:abstractNumId w:val="38"/>
  </w:num>
  <w:num w:numId="13">
    <w:abstractNumId w:val="24"/>
  </w:num>
  <w:num w:numId="14">
    <w:abstractNumId w:val="4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
  </w:num>
  <w:num w:numId="17">
    <w:abstractNumId w:val="44"/>
  </w:num>
  <w:num w:numId="18">
    <w:abstractNumId w:val="31"/>
  </w:num>
  <w:num w:numId="19">
    <w:abstractNumId w:val="14"/>
  </w:num>
  <w:num w:numId="20">
    <w:abstractNumId w:val="36"/>
  </w:num>
  <w:num w:numId="21">
    <w:abstractNumId w:val="10"/>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23"/>
  </w:num>
  <w:num w:numId="25">
    <w:abstractNumId w:val="27"/>
  </w:num>
  <w:num w:numId="26">
    <w:abstractNumId w:val="16"/>
  </w:num>
  <w:num w:numId="27">
    <w:abstractNumId w:val="1"/>
  </w:num>
  <w:num w:numId="28">
    <w:abstractNumId w:val="25"/>
  </w:num>
  <w:num w:numId="29">
    <w:abstractNumId w:val="29"/>
  </w:num>
  <w:num w:numId="30">
    <w:abstractNumId w:val="28"/>
  </w:num>
  <w:num w:numId="31">
    <w:abstractNumId w:val="13"/>
  </w:num>
  <w:num w:numId="32">
    <w:abstractNumId w:val="4"/>
  </w:num>
  <w:num w:numId="33">
    <w:abstractNumId w:val="33"/>
  </w:num>
  <w:num w:numId="34">
    <w:abstractNumId w:val="41"/>
  </w:num>
  <w:num w:numId="35">
    <w:abstractNumId w:val="22"/>
  </w:num>
  <w:num w:numId="36">
    <w:abstractNumId w:val="20"/>
  </w:num>
  <w:num w:numId="37">
    <w:abstractNumId w:val="35"/>
  </w:num>
  <w:num w:numId="38">
    <w:abstractNumId w:val="17"/>
  </w:num>
  <w:num w:numId="39">
    <w:abstractNumId w:val="15"/>
  </w:num>
  <w:num w:numId="40">
    <w:abstractNumId w:val="18"/>
  </w:num>
  <w:num w:numId="41">
    <w:abstractNumId w:val="5"/>
  </w:num>
  <w:num w:numId="42">
    <w:abstractNumId w:val="9"/>
  </w:num>
  <w:num w:numId="43">
    <w:abstractNumId w:val="2"/>
  </w:num>
  <w:num w:numId="44">
    <w:abstractNumId w:val="43"/>
  </w:num>
  <w:num w:numId="45">
    <w:abstractNumId w:val="6"/>
  </w:num>
  <w:num w:numId="46">
    <w:abstractNumId w:val="40"/>
  </w:num>
  <w:num w:numId="47">
    <w:abstractNumId w:val="11"/>
  </w:num>
  <w:num w:numId="48">
    <w:abstractNumId w:val="46"/>
  </w:num>
  <w:num w:numId="4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EA3"/>
    <w:rsid w:val="000841A8"/>
    <w:rsid w:val="00084301"/>
    <w:rsid w:val="0008452A"/>
    <w:rsid w:val="00084BE4"/>
    <w:rsid w:val="0008501F"/>
    <w:rsid w:val="0008544F"/>
    <w:rsid w:val="00085C24"/>
    <w:rsid w:val="00085DB7"/>
    <w:rsid w:val="0008682B"/>
    <w:rsid w:val="00086D93"/>
    <w:rsid w:val="00090BB8"/>
    <w:rsid w:val="000917A8"/>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58CF"/>
    <w:rsid w:val="000E5C51"/>
    <w:rsid w:val="000E60A4"/>
    <w:rsid w:val="000E6208"/>
    <w:rsid w:val="000E672F"/>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514"/>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391C"/>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C7FFC"/>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126"/>
    <w:rsid w:val="001E22AF"/>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3CB2"/>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888"/>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7548"/>
    <w:rsid w:val="00320AB6"/>
    <w:rsid w:val="00320B8A"/>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042"/>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4AD"/>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0A20"/>
    <w:rsid w:val="00511476"/>
    <w:rsid w:val="00511EB5"/>
    <w:rsid w:val="00512B93"/>
    <w:rsid w:val="00512F02"/>
    <w:rsid w:val="005137EF"/>
    <w:rsid w:val="00515269"/>
    <w:rsid w:val="00515646"/>
    <w:rsid w:val="005167E8"/>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0F74"/>
    <w:rsid w:val="0056188B"/>
    <w:rsid w:val="00561E0B"/>
    <w:rsid w:val="00562C3D"/>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0FA8"/>
    <w:rsid w:val="00661E36"/>
    <w:rsid w:val="006622BF"/>
    <w:rsid w:val="00663770"/>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E7B"/>
    <w:rsid w:val="00741063"/>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2B1A"/>
    <w:rsid w:val="00753A6B"/>
    <w:rsid w:val="00753B19"/>
    <w:rsid w:val="0075407B"/>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DEE"/>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0FCC"/>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48C8"/>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778BF"/>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348"/>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262"/>
    <w:rsid w:val="009B73DC"/>
    <w:rsid w:val="009B79B7"/>
    <w:rsid w:val="009C04FC"/>
    <w:rsid w:val="009C0F3A"/>
    <w:rsid w:val="009C15EB"/>
    <w:rsid w:val="009C1E2B"/>
    <w:rsid w:val="009C22CD"/>
    <w:rsid w:val="009C258B"/>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6DFA"/>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61EC"/>
    <w:rsid w:val="00A0685D"/>
    <w:rsid w:val="00A06930"/>
    <w:rsid w:val="00A0728D"/>
    <w:rsid w:val="00A074D5"/>
    <w:rsid w:val="00A1038F"/>
    <w:rsid w:val="00A10771"/>
    <w:rsid w:val="00A10D63"/>
    <w:rsid w:val="00A110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8F"/>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04"/>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13BD"/>
    <w:rsid w:val="00B432A5"/>
    <w:rsid w:val="00B43D9B"/>
    <w:rsid w:val="00B44B1D"/>
    <w:rsid w:val="00B46047"/>
    <w:rsid w:val="00B46F7A"/>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D7DB3"/>
    <w:rsid w:val="00BE02EC"/>
    <w:rsid w:val="00BE0884"/>
    <w:rsid w:val="00BE0D12"/>
    <w:rsid w:val="00BE175F"/>
    <w:rsid w:val="00BE1E8B"/>
    <w:rsid w:val="00BE2082"/>
    <w:rsid w:val="00BE21E8"/>
    <w:rsid w:val="00BE22CC"/>
    <w:rsid w:val="00BE22E0"/>
    <w:rsid w:val="00BE287E"/>
    <w:rsid w:val="00BE3383"/>
    <w:rsid w:val="00BE38EB"/>
    <w:rsid w:val="00BE3E92"/>
    <w:rsid w:val="00BE3F08"/>
    <w:rsid w:val="00BE4B1B"/>
    <w:rsid w:val="00BE4DB0"/>
    <w:rsid w:val="00BF0A47"/>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66"/>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39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CD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8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0CE"/>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40C"/>
    <w:rsid w:val="00D926C8"/>
    <w:rsid w:val="00D93592"/>
    <w:rsid w:val="00D93A6E"/>
    <w:rsid w:val="00D9422C"/>
    <w:rsid w:val="00D9497B"/>
    <w:rsid w:val="00D94C42"/>
    <w:rsid w:val="00D95116"/>
    <w:rsid w:val="00D95406"/>
    <w:rsid w:val="00D96E13"/>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2C9"/>
    <w:rsid w:val="00EA2AAC"/>
    <w:rsid w:val="00EA308F"/>
    <w:rsid w:val="00EA334C"/>
    <w:rsid w:val="00EA40FD"/>
    <w:rsid w:val="00EA4596"/>
    <w:rsid w:val="00EA4694"/>
    <w:rsid w:val="00EA47C1"/>
    <w:rsid w:val="00EA4A7A"/>
    <w:rsid w:val="00EA544B"/>
    <w:rsid w:val="00EA596F"/>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5F5E"/>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86F"/>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788"/>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18A"/>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488"/>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09902"/>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39"/>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A5ECE-BE71-4767-A86E-11A5C027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2019-08-07T23:00:00Z</dcterms:created>
  <dcterms:modified xsi:type="dcterms:W3CDTF">2019-08-07T23:00:00Z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