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6656" w:rsidRPr="00F72744" w:rsidRDefault="00BE6656" w:rsidP="00BE6656">
      <w:pPr>
        <w:tabs>
          <w:tab w:val="center" w:pos="4153"/>
          <w:tab w:val="right" w:pos="9923"/>
        </w:tabs>
        <w:jc w:val="both"/>
        <w:rPr>
          <w:rFonts w:ascii="Arial" w:eastAsia="SimSun" w:hAnsi="Arial" w:cs="Arial"/>
          <w:b/>
          <w:bCs/>
          <w:sz w:val="28"/>
          <w:szCs w:val="28"/>
        </w:rPr>
      </w:pPr>
      <w:bookmarkStart w:id="0" w:name="dnum" w:colFirst="2" w:colLast="2"/>
      <w:bookmarkStart w:id="1" w:name="dtableau"/>
      <w:r w:rsidRPr="00F72744">
        <w:rPr>
          <w:rFonts w:ascii="Arial" w:eastAsia="SimSun" w:hAnsi="Arial" w:cs="Arial"/>
          <w:b/>
          <w:bCs/>
          <w:sz w:val="28"/>
          <w:szCs w:val="28"/>
          <w:lang w:val="en-US" w:eastAsia="zh-CN"/>
        </w:rPr>
        <w:t>3GPP TSG RAN WG4 Meeting #92</w:t>
      </w:r>
      <w:r w:rsidRPr="00F72744">
        <w:rPr>
          <w:rFonts w:ascii="Arial" w:eastAsia="SimSun" w:hAnsi="Arial" w:cs="Arial" w:hint="eastAsia"/>
          <w:b/>
          <w:bCs/>
          <w:sz w:val="28"/>
          <w:szCs w:val="28"/>
          <w:lang w:val="en-US"/>
        </w:rPr>
        <w:tab/>
      </w:r>
      <w:r w:rsidRPr="00BE6656">
        <w:rPr>
          <w:rFonts w:ascii="Arial" w:eastAsia="SimSun" w:hAnsi="Arial" w:cs="Arial"/>
          <w:b/>
          <w:bCs/>
          <w:sz w:val="28"/>
          <w:szCs w:val="28"/>
          <w:lang w:val="en-US"/>
        </w:rPr>
        <w:t>R4-1907921</w:t>
      </w:r>
      <w:bookmarkStart w:id="2" w:name="_GoBack"/>
      <w:bookmarkEnd w:id="2"/>
    </w:p>
    <w:p w:rsidR="00BE6656" w:rsidRPr="00F72744" w:rsidRDefault="00BE6656" w:rsidP="00BE6656">
      <w:pPr>
        <w:pBdr>
          <w:bottom w:val="single" w:sz="6" w:space="1" w:color="auto"/>
        </w:pBdr>
        <w:tabs>
          <w:tab w:val="center" w:pos="4153"/>
          <w:tab w:val="right" w:pos="8306"/>
          <w:tab w:val="right" w:pos="9356"/>
        </w:tabs>
        <w:jc w:val="both"/>
        <w:rPr>
          <w:rFonts w:ascii="Arial" w:eastAsia="SimSun" w:hAnsi="Arial" w:cs="Arial"/>
          <w:b/>
          <w:bCs/>
          <w:sz w:val="28"/>
          <w:szCs w:val="28"/>
        </w:rPr>
      </w:pPr>
      <w:r w:rsidRPr="00F72744">
        <w:rPr>
          <w:rFonts w:ascii="Arial" w:eastAsia="MS Mincho" w:hAnsi="Arial" w:cs="Arial"/>
          <w:b/>
          <w:bCs/>
          <w:sz w:val="28"/>
        </w:rPr>
        <w:t>Ljubljana, SI, 26</w:t>
      </w:r>
      <w:r w:rsidRPr="00F72744">
        <w:rPr>
          <w:rFonts w:ascii="Arial" w:eastAsia="MS Mincho" w:hAnsi="Arial" w:cs="Arial"/>
          <w:b/>
          <w:bCs/>
          <w:sz w:val="28"/>
          <w:vertAlign w:val="superscript"/>
        </w:rPr>
        <w:t>th</w:t>
      </w:r>
      <w:r w:rsidRPr="00F72744">
        <w:rPr>
          <w:rFonts w:ascii="Arial" w:eastAsia="MS Mincho" w:hAnsi="Arial" w:cs="Arial"/>
          <w:b/>
          <w:bCs/>
          <w:sz w:val="28"/>
        </w:rPr>
        <w:t>– 30</w:t>
      </w:r>
      <w:r w:rsidRPr="00F72744">
        <w:rPr>
          <w:rFonts w:ascii="Arial" w:eastAsia="MS Mincho" w:hAnsi="Arial" w:cs="Arial"/>
          <w:b/>
          <w:bCs/>
          <w:sz w:val="28"/>
          <w:vertAlign w:val="superscript"/>
        </w:rPr>
        <w:t>th</w:t>
      </w:r>
      <w:r w:rsidRPr="00F72744">
        <w:rPr>
          <w:rFonts w:ascii="Arial" w:eastAsia="MS Mincho" w:hAnsi="Arial" w:cs="Arial"/>
          <w:b/>
          <w:bCs/>
          <w:sz w:val="28"/>
        </w:rPr>
        <w:t xml:space="preserve"> Aug, 2019</w:t>
      </w:r>
    </w:p>
    <w:p w:rsidR="00BE6656" w:rsidRDefault="00BE6656" w:rsidP="00C473F0">
      <w:pPr>
        <w:rPr>
          <w:sz w:val="20"/>
          <w:szCs w:val="20"/>
        </w:rPr>
      </w:pPr>
    </w:p>
    <w:p w:rsidR="00BE6656" w:rsidRDefault="00BE6656" w:rsidP="00C473F0">
      <w:pPr>
        <w:rPr>
          <w:sz w:val="20"/>
          <w:szCs w:val="20"/>
        </w:rPr>
        <w:sectPr w:rsidR="00BE6656" w:rsidSect="00C473F0">
          <w:headerReference w:type="default" r:id="rId7"/>
          <w:pgSz w:w="11906" w:h="16838"/>
          <w:pgMar w:top="1417" w:right="1134" w:bottom="1417" w:left="1134" w:header="720" w:footer="720" w:gutter="0"/>
          <w:cols w:space="720"/>
          <w:titlePg/>
          <w:docGrid w:linePitch="360"/>
        </w:sectPr>
      </w:pPr>
    </w:p>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C473F0" w:rsidRPr="00C473F0" w:rsidTr="003F6975">
        <w:trPr>
          <w:cantSplit/>
        </w:trPr>
        <w:tc>
          <w:tcPr>
            <w:tcW w:w="1191" w:type="dxa"/>
            <w:vMerge w:val="restart"/>
          </w:tcPr>
          <w:p w:rsidR="00C473F0" w:rsidRPr="00C473F0" w:rsidRDefault="00C473F0" w:rsidP="00C473F0">
            <w:pPr>
              <w:rPr>
                <w:sz w:val="20"/>
                <w:szCs w:val="20"/>
              </w:rPr>
            </w:pPr>
            <w:r w:rsidRPr="00C473F0">
              <w:rPr>
                <w:noProof/>
                <w:sz w:val="20"/>
                <w:szCs w:val="20"/>
              </w:rPr>
              <w:lastRenderedPageBreak/>
              <w:drawing>
                <wp:inline distT="0" distB="0" distL="0" distR="0" wp14:anchorId="52F7D923" wp14:editId="0951EEC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rsidR="00C473F0" w:rsidRPr="00C473F0" w:rsidRDefault="00C473F0" w:rsidP="00C473F0">
            <w:pPr>
              <w:rPr>
                <w:sz w:val="16"/>
                <w:szCs w:val="16"/>
              </w:rPr>
            </w:pPr>
            <w:r w:rsidRPr="00C473F0">
              <w:rPr>
                <w:sz w:val="16"/>
                <w:szCs w:val="16"/>
              </w:rPr>
              <w:t>INTERNATIONAL TELECOMMUNICATION UNION</w:t>
            </w:r>
          </w:p>
          <w:p w:rsidR="00C473F0" w:rsidRPr="00C473F0" w:rsidRDefault="00C473F0" w:rsidP="00C473F0">
            <w:pPr>
              <w:rPr>
                <w:b/>
                <w:bCs/>
                <w:sz w:val="26"/>
                <w:szCs w:val="26"/>
              </w:rPr>
            </w:pPr>
            <w:r w:rsidRPr="00C473F0">
              <w:rPr>
                <w:b/>
                <w:bCs/>
                <w:sz w:val="26"/>
                <w:szCs w:val="26"/>
              </w:rPr>
              <w:t>TELECOMMUNICATION</w:t>
            </w:r>
            <w:r w:rsidRPr="00C473F0">
              <w:rPr>
                <w:b/>
                <w:bCs/>
                <w:sz w:val="26"/>
                <w:szCs w:val="26"/>
              </w:rPr>
              <w:br/>
              <w:t>STANDARDIZATION SECTOR</w:t>
            </w:r>
          </w:p>
          <w:p w:rsidR="00C473F0" w:rsidRPr="00C473F0" w:rsidRDefault="00C473F0" w:rsidP="00C473F0">
            <w:pPr>
              <w:rPr>
                <w:sz w:val="20"/>
                <w:szCs w:val="20"/>
              </w:rPr>
            </w:pPr>
            <w:r w:rsidRPr="00C473F0">
              <w:rPr>
                <w:sz w:val="20"/>
                <w:szCs w:val="20"/>
              </w:rPr>
              <w:t xml:space="preserve">STUDY PERIOD </w:t>
            </w:r>
            <w:bookmarkStart w:id="3" w:name="dstudyperiod"/>
            <w:r w:rsidRPr="00C473F0">
              <w:rPr>
                <w:sz w:val="20"/>
                <w:szCs w:val="20"/>
              </w:rPr>
              <w:t>2017-2020</w:t>
            </w:r>
            <w:bookmarkEnd w:id="3"/>
          </w:p>
        </w:tc>
        <w:tc>
          <w:tcPr>
            <w:tcW w:w="4681" w:type="dxa"/>
            <w:gridSpan w:val="2"/>
            <w:vAlign w:val="center"/>
          </w:tcPr>
          <w:p w:rsidR="00C473F0" w:rsidRPr="00C473F0" w:rsidRDefault="00C473F0" w:rsidP="00C473F0">
            <w:pPr>
              <w:pStyle w:val="Docnumber"/>
              <w:rPr>
                <w:sz w:val="32"/>
              </w:rPr>
            </w:pPr>
            <w:r>
              <w:rPr>
                <w:sz w:val="32"/>
              </w:rPr>
              <w:t>SG15-LS204</w:t>
            </w:r>
          </w:p>
        </w:tc>
      </w:tr>
      <w:tr w:rsidR="00C473F0" w:rsidRPr="00C473F0" w:rsidTr="003F6975">
        <w:trPr>
          <w:cantSplit/>
        </w:trPr>
        <w:tc>
          <w:tcPr>
            <w:tcW w:w="1191" w:type="dxa"/>
            <w:vMerge/>
          </w:tcPr>
          <w:p w:rsidR="00C473F0" w:rsidRPr="00C473F0" w:rsidRDefault="00C473F0" w:rsidP="00C473F0">
            <w:pPr>
              <w:rPr>
                <w:smallCaps/>
                <w:sz w:val="20"/>
              </w:rPr>
            </w:pPr>
            <w:bookmarkStart w:id="4" w:name="dsg" w:colFirst="2" w:colLast="2"/>
            <w:bookmarkEnd w:id="0"/>
          </w:p>
        </w:tc>
        <w:tc>
          <w:tcPr>
            <w:tcW w:w="4051" w:type="dxa"/>
            <w:gridSpan w:val="4"/>
            <w:vMerge/>
          </w:tcPr>
          <w:p w:rsidR="00C473F0" w:rsidRPr="00C473F0" w:rsidRDefault="00C473F0" w:rsidP="00C473F0">
            <w:pPr>
              <w:rPr>
                <w:smallCaps/>
                <w:sz w:val="20"/>
              </w:rPr>
            </w:pPr>
          </w:p>
        </w:tc>
        <w:tc>
          <w:tcPr>
            <w:tcW w:w="4681" w:type="dxa"/>
            <w:gridSpan w:val="2"/>
          </w:tcPr>
          <w:p w:rsidR="00C473F0" w:rsidRPr="00C473F0" w:rsidRDefault="00C473F0" w:rsidP="00C473F0">
            <w:pPr>
              <w:jc w:val="right"/>
              <w:rPr>
                <w:b/>
                <w:bCs/>
                <w:smallCaps/>
                <w:sz w:val="28"/>
                <w:szCs w:val="28"/>
              </w:rPr>
            </w:pPr>
            <w:r>
              <w:rPr>
                <w:b/>
                <w:bCs/>
                <w:smallCaps/>
                <w:sz w:val="28"/>
                <w:szCs w:val="28"/>
              </w:rPr>
              <w:t>STUDY GROUP 15</w:t>
            </w:r>
          </w:p>
        </w:tc>
      </w:tr>
      <w:bookmarkEnd w:id="4"/>
      <w:tr w:rsidR="00C473F0" w:rsidRPr="00C473F0" w:rsidTr="003F6975">
        <w:trPr>
          <w:cantSplit/>
        </w:trPr>
        <w:tc>
          <w:tcPr>
            <w:tcW w:w="1191" w:type="dxa"/>
            <w:vMerge/>
            <w:tcBorders>
              <w:bottom w:val="single" w:sz="12" w:space="0" w:color="auto"/>
            </w:tcBorders>
          </w:tcPr>
          <w:p w:rsidR="00C473F0" w:rsidRPr="00C473F0" w:rsidRDefault="00C473F0" w:rsidP="00C473F0">
            <w:pPr>
              <w:rPr>
                <w:b/>
                <w:bCs/>
                <w:sz w:val="26"/>
              </w:rPr>
            </w:pPr>
          </w:p>
        </w:tc>
        <w:tc>
          <w:tcPr>
            <w:tcW w:w="4051" w:type="dxa"/>
            <w:gridSpan w:val="4"/>
            <w:vMerge/>
            <w:tcBorders>
              <w:bottom w:val="single" w:sz="12" w:space="0" w:color="auto"/>
            </w:tcBorders>
          </w:tcPr>
          <w:p w:rsidR="00C473F0" w:rsidRPr="00C473F0" w:rsidRDefault="00C473F0" w:rsidP="00C473F0">
            <w:pPr>
              <w:rPr>
                <w:b/>
                <w:bCs/>
                <w:sz w:val="26"/>
              </w:rPr>
            </w:pPr>
          </w:p>
        </w:tc>
        <w:tc>
          <w:tcPr>
            <w:tcW w:w="4681" w:type="dxa"/>
            <w:gridSpan w:val="2"/>
            <w:tcBorders>
              <w:bottom w:val="single" w:sz="12" w:space="0" w:color="auto"/>
            </w:tcBorders>
            <w:vAlign w:val="center"/>
          </w:tcPr>
          <w:p w:rsidR="00C473F0" w:rsidRPr="00C473F0" w:rsidRDefault="00C473F0" w:rsidP="00C473F0">
            <w:pPr>
              <w:jc w:val="right"/>
              <w:rPr>
                <w:b/>
                <w:bCs/>
                <w:sz w:val="28"/>
                <w:szCs w:val="28"/>
              </w:rPr>
            </w:pPr>
            <w:r w:rsidRPr="00C473F0">
              <w:rPr>
                <w:b/>
                <w:bCs/>
                <w:sz w:val="28"/>
                <w:szCs w:val="28"/>
              </w:rPr>
              <w:t>Original: English</w:t>
            </w:r>
          </w:p>
        </w:tc>
      </w:tr>
      <w:tr w:rsidR="00C473F0" w:rsidRPr="00C473F0" w:rsidTr="003F6975">
        <w:trPr>
          <w:cantSplit/>
        </w:trPr>
        <w:tc>
          <w:tcPr>
            <w:tcW w:w="1617" w:type="dxa"/>
            <w:gridSpan w:val="3"/>
          </w:tcPr>
          <w:p w:rsidR="00C473F0" w:rsidRPr="00C473F0" w:rsidRDefault="00C473F0" w:rsidP="00C473F0">
            <w:pPr>
              <w:rPr>
                <w:b/>
                <w:bCs/>
              </w:rPr>
            </w:pPr>
            <w:bookmarkStart w:id="5" w:name="dbluepink" w:colFirst="1" w:colLast="1"/>
            <w:bookmarkStart w:id="6" w:name="dmeeting" w:colFirst="2" w:colLast="2"/>
            <w:r w:rsidRPr="00C473F0">
              <w:rPr>
                <w:b/>
                <w:bCs/>
              </w:rPr>
              <w:t>Question(s):</w:t>
            </w:r>
          </w:p>
        </w:tc>
        <w:tc>
          <w:tcPr>
            <w:tcW w:w="3625" w:type="dxa"/>
            <w:gridSpan w:val="2"/>
          </w:tcPr>
          <w:p w:rsidR="00C473F0" w:rsidRPr="00C473F0" w:rsidRDefault="002A258D" w:rsidP="00C473F0">
            <w:r>
              <w:t>13</w:t>
            </w:r>
            <w:r w:rsidR="00C473F0">
              <w:t>/15</w:t>
            </w:r>
          </w:p>
        </w:tc>
        <w:tc>
          <w:tcPr>
            <w:tcW w:w="4681" w:type="dxa"/>
            <w:gridSpan w:val="2"/>
          </w:tcPr>
          <w:p w:rsidR="00C473F0" w:rsidRPr="00C473F0" w:rsidRDefault="00C473F0" w:rsidP="00C473F0">
            <w:pPr>
              <w:jc w:val="right"/>
            </w:pPr>
            <w:r w:rsidRPr="00C473F0">
              <w:t>Geneva, 1-12 July 2019</w:t>
            </w:r>
          </w:p>
        </w:tc>
      </w:tr>
      <w:tr w:rsidR="00C473F0" w:rsidRPr="00C473F0" w:rsidTr="003F6975">
        <w:trPr>
          <w:cantSplit/>
        </w:trPr>
        <w:tc>
          <w:tcPr>
            <w:tcW w:w="9923" w:type="dxa"/>
            <w:gridSpan w:val="7"/>
          </w:tcPr>
          <w:p w:rsidR="00C473F0" w:rsidRPr="00C473F0" w:rsidRDefault="00C473F0" w:rsidP="00C473F0">
            <w:pPr>
              <w:jc w:val="center"/>
              <w:rPr>
                <w:b/>
                <w:bCs/>
              </w:rPr>
            </w:pPr>
            <w:bookmarkStart w:id="7" w:name="ddoctype" w:colFirst="0" w:colLast="0"/>
            <w:bookmarkEnd w:id="5"/>
            <w:bookmarkEnd w:id="6"/>
            <w:r w:rsidRPr="00C473F0">
              <w:rPr>
                <w:b/>
                <w:bCs/>
              </w:rPr>
              <w:t>LS</w:t>
            </w:r>
            <w:r w:rsidR="00700A41">
              <w:rPr>
                <w:b/>
                <w:bCs/>
              </w:rPr>
              <w:br/>
              <w:t>(Ref.: TD391-PLEN)</w:t>
            </w:r>
          </w:p>
        </w:tc>
      </w:tr>
      <w:tr w:rsidR="00C473F0" w:rsidRPr="00C473F0" w:rsidTr="003F6975">
        <w:trPr>
          <w:cantSplit/>
        </w:trPr>
        <w:tc>
          <w:tcPr>
            <w:tcW w:w="1617" w:type="dxa"/>
            <w:gridSpan w:val="3"/>
          </w:tcPr>
          <w:p w:rsidR="00C473F0" w:rsidRPr="00C473F0" w:rsidRDefault="00C473F0" w:rsidP="00C473F0">
            <w:pPr>
              <w:rPr>
                <w:b/>
                <w:bCs/>
              </w:rPr>
            </w:pPr>
            <w:bookmarkStart w:id="8" w:name="dsource" w:colFirst="1" w:colLast="1"/>
            <w:bookmarkEnd w:id="7"/>
            <w:r w:rsidRPr="00C473F0">
              <w:rPr>
                <w:b/>
                <w:bCs/>
              </w:rPr>
              <w:t>Source:</w:t>
            </w:r>
          </w:p>
        </w:tc>
        <w:tc>
          <w:tcPr>
            <w:tcW w:w="8306" w:type="dxa"/>
            <w:gridSpan w:val="4"/>
          </w:tcPr>
          <w:p w:rsidR="00C473F0" w:rsidRPr="00C473F0" w:rsidRDefault="00C473F0" w:rsidP="00C473F0">
            <w:r w:rsidRPr="00C473F0">
              <w:t>ITU-T S</w:t>
            </w:r>
            <w:r>
              <w:t xml:space="preserve">tudy </w:t>
            </w:r>
            <w:r w:rsidRPr="00C473F0">
              <w:t>G</w:t>
            </w:r>
            <w:r>
              <w:t>roup</w:t>
            </w:r>
            <w:r w:rsidRPr="00C473F0">
              <w:t xml:space="preserve"> 15</w:t>
            </w:r>
          </w:p>
        </w:tc>
      </w:tr>
      <w:tr w:rsidR="00C473F0" w:rsidRPr="00C473F0" w:rsidTr="003F6975">
        <w:trPr>
          <w:cantSplit/>
        </w:trPr>
        <w:tc>
          <w:tcPr>
            <w:tcW w:w="1617" w:type="dxa"/>
            <w:gridSpan w:val="3"/>
          </w:tcPr>
          <w:p w:rsidR="00C473F0" w:rsidRPr="00C473F0" w:rsidRDefault="00C473F0" w:rsidP="00C473F0">
            <w:bookmarkStart w:id="9" w:name="dtitle1" w:colFirst="1" w:colLast="1"/>
            <w:bookmarkEnd w:id="8"/>
            <w:r w:rsidRPr="00C473F0">
              <w:rPr>
                <w:b/>
                <w:bCs/>
              </w:rPr>
              <w:t>Title:</w:t>
            </w:r>
          </w:p>
        </w:tc>
        <w:tc>
          <w:tcPr>
            <w:tcW w:w="8306" w:type="dxa"/>
            <w:gridSpan w:val="4"/>
          </w:tcPr>
          <w:p w:rsidR="00C473F0" w:rsidRPr="00C473F0" w:rsidRDefault="00C473F0" w:rsidP="00C473F0">
            <w:r>
              <w:t>LS on i</w:t>
            </w:r>
            <w:r w:rsidRPr="00C473F0">
              <w:t>nter-operator TDD operation</w:t>
            </w:r>
          </w:p>
        </w:tc>
      </w:tr>
      <w:bookmarkEnd w:id="1"/>
      <w:bookmarkEnd w:id="9"/>
      <w:tr w:rsidR="00676952" w:rsidRPr="00B05920" w:rsidTr="00A41F6B">
        <w:trPr>
          <w:cantSplit/>
          <w:trHeight w:val="357"/>
        </w:trPr>
        <w:tc>
          <w:tcPr>
            <w:tcW w:w="9923" w:type="dxa"/>
            <w:gridSpan w:val="7"/>
            <w:tcBorders>
              <w:top w:val="single" w:sz="12" w:space="0" w:color="auto"/>
            </w:tcBorders>
          </w:tcPr>
          <w:p w:rsidR="00676952" w:rsidRPr="00B05920" w:rsidRDefault="00676952" w:rsidP="00A41F6B">
            <w:pPr>
              <w:jc w:val="center"/>
              <w:rPr>
                <w:b/>
              </w:rPr>
            </w:pPr>
            <w:r w:rsidRPr="00B05920">
              <w:rPr>
                <w:b/>
              </w:rPr>
              <w:t>LIAISON STATEMENT</w:t>
            </w:r>
          </w:p>
        </w:tc>
      </w:tr>
      <w:tr w:rsidR="00676952" w:rsidRPr="00B05920" w:rsidTr="00A41F6B">
        <w:trPr>
          <w:cantSplit/>
          <w:trHeight w:val="357"/>
        </w:trPr>
        <w:tc>
          <w:tcPr>
            <w:tcW w:w="2127" w:type="dxa"/>
            <w:gridSpan w:val="4"/>
          </w:tcPr>
          <w:p w:rsidR="00676952" w:rsidRPr="00B05920" w:rsidRDefault="00676952" w:rsidP="00A41F6B">
            <w:pPr>
              <w:rPr>
                <w:b/>
                <w:bCs/>
              </w:rPr>
            </w:pPr>
            <w:r w:rsidRPr="00B05920">
              <w:rPr>
                <w:b/>
                <w:bCs/>
              </w:rPr>
              <w:t xml:space="preserve">For action to: </w:t>
            </w:r>
          </w:p>
        </w:tc>
        <w:tc>
          <w:tcPr>
            <w:tcW w:w="7796" w:type="dxa"/>
            <w:gridSpan w:val="3"/>
          </w:tcPr>
          <w:p w:rsidR="00676952" w:rsidRPr="00C473F0" w:rsidRDefault="00676952" w:rsidP="00A41F6B">
            <w:pPr>
              <w:pStyle w:val="LSForAction"/>
            </w:pPr>
            <w:r w:rsidRPr="00C473F0">
              <w:rPr>
                <w:bCs w:val="0"/>
              </w:rPr>
              <w:t>3GPP RAN3, RAN4</w:t>
            </w:r>
          </w:p>
        </w:tc>
      </w:tr>
      <w:tr w:rsidR="00676952" w:rsidRPr="00B05920" w:rsidTr="00A41F6B">
        <w:trPr>
          <w:cantSplit/>
          <w:trHeight w:val="357"/>
        </w:trPr>
        <w:tc>
          <w:tcPr>
            <w:tcW w:w="2127" w:type="dxa"/>
            <w:gridSpan w:val="4"/>
          </w:tcPr>
          <w:p w:rsidR="00676952" w:rsidRPr="00B05920" w:rsidRDefault="00676952" w:rsidP="00A41F6B">
            <w:pPr>
              <w:rPr>
                <w:b/>
                <w:bCs/>
              </w:rPr>
            </w:pPr>
            <w:r w:rsidRPr="00B05920">
              <w:rPr>
                <w:b/>
                <w:bCs/>
              </w:rPr>
              <w:t>For comment to:</w:t>
            </w:r>
          </w:p>
        </w:tc>
        <w:tc>
          <w:tcPr>
            <w:tcW w:w="7796" w:type="dxa"/>
            <w:gridSpan w:val="3"/>
          </w:tcPr>
          <w:p w:rsidR="00676952" w:rsidRPr="00C473F0" w:rsidRDefault="00C473F0" w:rsidP="00A41F6B">
            <w:pPr>
              <w:pStyle w:val="LSForComment"/>
            </w:pPr>
            <w:r w:rsidRPr="00C473F0">
              <w:t>-</w:t>
            </w:r>
          </w:p>
        </w:tc>
      </w:tr>
      <w:tr w:rsidR="00676952" w:rsidRPr="00B05920" w:rsidTr="00A41F6B">
        <w:trPr>
          <w:cantSplit/>
          <w:trHeight w:val="357"/>
        </w:trPr>
        <w:tc>
          <w:tcPr>
            <w:tcW w:w="2127" w:type="dxa"/>
            <w:gridSpan w:val="4"/>
          </w:tcPr>
          <w:p w:rsidR="00676952" w:rsidRPr="00B05920" w:rsidRDefault="00676952" w:rsidP="00A41F6B">
            <w:pPr>
              <w:rPr>
                <w:b/>
                <w:bCs/>
              </w:rPr>
            </w:pPr>
            <w:r w:rsidRPr="00B05920">
              <w:rPr>
                <w:b/>
                <w:bCs/>
              </w:rPr>
              <w:t>For information to:</w:t>
            </w:r>
          </w:p>
        </w:tc>
        <w:tc>
          <w:tcPr>
            <w:tcW w:w="7796" w:type="dxa"/>
            <w:gridSpan w:val="3"/>
          </w:tcPr>
          <w:p w:rsidR="00676952" w:rsidRPr="00C473F0" w:rsidRDefault="00C473F0" w:rsidP="00A41F6B">
            <w:pPr>
              <w:pStyle w:val="LSForInfo"/>
            </w:pPr>
            <w:r w:rsidRPr="00C473F0">
              <w:t>-</w:t>
            </w:r>
          </w:p>
        </w:tc>
      </w:tr>
      <w:tr w:rsidR="00676952" w:rsidRPr="00B05920" w:rsidTr="00A41F6B">
        <w:trPr>
          <w:cantSplit/>
          <w:trHeight w:val="357"/>
        </w:trPr>
        <w:tc>
          <w:tcPr>
            <w:tcW w:w="2127" w:type="dxa"/>
            <w:gridSpan w:val="4"/>
          </w:tcPr>
          <w:p w:rsidR="00676952" w:rsidRPr="00B05920" w:rsidRDefault="00676952" w:rsidP="00A41F6B">
            <w:pPr>
              <w:rPr>
                <w:b/>
                <w:bCs/>
              </w:rPr>
            </w:pPr>
            <w:r w:rsidRPr="00B05920">
              <w:rPr>
                <w:b/>
                <w:bCs/>
              </w:rPr>
              <w:t>Approval:</w:t>
            </w:r>
          </w:p>
        </w:tc>
        <w:tc>
          <w:tcPr>
            <w:tcW w:w="7796" w:type="dxa"/>
            <w:gridSpan w:val="3"/>
          </w:tcPr>
          <w:p w:rsidR="00676952" w:rsidRPr="00C473F0" w:rsidRDefault="00676952" w:rsidP="00C473F0">
            <w:pPr>
              <w:rPr>
                <w:bCs/>
              </w:rPr>
            </w:pPr>
            <w:r w:rsidRPr="00C473F0">
              <w:rPr>
                <w:bCs/>
              </w:rPr>
              <w:t>ITU-T SG15</w:t>
            </w:r>
            <w:r w:rsidR="00C473F0" w:rsidRPr="00C473F0">
              <w:rPr>
                <w:bCs/>
              </w:rPr>
              <w:t xml:space="preserve"> (Geneva, 12 July 2019)</w:t>
            </w:r>
          </w:p>
        </w:tc>
      </w:tr>
      <w:tr w:rsidR="00676952" w:rsidRPr="00B05920" w:rsidTr="00A41F6B">
        <w:trPr>
          <w:cantSplit/>
          <w:trHeight w:val="357"/>
        </w:trPr>
        <w:tc>
          <w:tcPr>
            <w:tcW w:w="2127" w:type="dxa"/>
            <w:gridSpan w:val="4"/>
            <w:tcBorders>
              <w:bottom w:val="single" w:sz="12" w:space="0" w:color="auto"/>
            </w:tcBorders>
          </w:tcPr>
          <w:p w:rsidR="00676952" w:rsidRPr="00B05920" w:rsidRDefault="00676952" w:rsidP="00A41F6B">
            <w:pPr>
              <w:rPr>
                <w:b/>
                <w:bCs/>
              </w:rPr>
            </w:pPr>
            <w:r w:rsidRPr="00B05920">
              <w:rPr>
                <w:b/>
                <w:bCs/>
              </w:rPr>
              <w:t>Deadline:</w:t>
            </w:r>
          </w:p>
        </w:tc>
        <w:tc>
          <w:tcPr>
            <w:tcW w:w="7796" w:type="dxa"/>
            <w:gridSpan w:val="3"/>
            <w:tcBorders>
              <w:bottom w:val="single" w:sz="12" w:space="0" w:color="auto"/>
            </w:tcBorders>
          </w:tcPr>
          <w:p w:rsidR="00676952" w:rsidRPr="00B05920" w:rsidRDefault="00676952" w:rsidP="00A41F6B">
            <w:pPr>
              <w:pStyle w:val="LSDeadline"/>
            </w:pPr>
            <w:r w:rsidRPr="00B05920">
              <w:t>7 October 2019</w:t>
            </w:r>
          </w:p>
        </w:tc>
      </w:tr>
      <w:tr w:rsidR="00676952" w:rsidRPr="002A258D" w:rsidTr="00A41F6B">
        <w:trPr>
          <w:cantSplit/>
        </w:trPr>
        <w:tc>
          <w:tcPr>
            <w:tcW w:w="1607" w:type="dxa"/>
            <w:gridSpan w:val="2"/>
            <w:tcBorders>
              <w:top w:val="single" w:sz="8" w:space="0" w:color="auto"/>
              <w:bottom w:val="single" w:sz="8" w:space="0" w:color="auto"/>
            </w:tcBorders>
          </w:tcPr>
          <w:p w:rsidR="00676952" w:rsidRPr="00B05920" w:rsidRDefault="00676952" w:rsidP="00A41F6B">
            <w:pPr>
              <w:rPr>
                <w:b/>
                <w:bCs/>
              </w:rPr>
            </w:pPr>
            <w:r w:rsidRPr="00B05920">
              <w:rPr>
                <w:b/>
                <w:bCs/>
              </w:rPr>
              <w:t>Contact:</w:t>
            </w:r>
          </w:p>
        </w:tc>
        <w:tc>
          <w:tcPr>
            <w:tcW w:w="3780" w:type="dxa"/>
            <w:gridSpan w:val="4"/>
            <w:tcBorders>
              <w:top w:val="single" w:sz="8" w:space="0" w:color="auto"/>
              <w:bottom w:val="single" w:sz="8" w:space="0" w:color="auto"/>
            </w:tcBorders>
          </w:tcPr>
          <w:p w:rsidR="00676952" w:rsidRPr="00B05920" w:rsidRDefault="00454BBF" w:rsidP="00A41F6B">
            <w:sdt>
              <w:sdtPr>
                <w:rPr>
                  <w:color w:val="000000"/>
                  <w:lang w:eastAsia="zh-CN"/>
                </w:rPr>
                <w:alias w:val="ContactNameOrgCountry"/>
                <w:tag w:val="ContactNameOrgCountry"/>
                <w:id w:val="-1814245050"/>
                <w:placeholder>
                  <w:docPart w:val="94851ECBC0E8465CBD7B8636A6A29C2E"/>
                </w:placeholder>
                <w:text w:multiLine="1"/>
              </w:sdtPr>
              <w:sdtEndPr/>
              <w:sdtContent>
                <w:r w:rsidR="00676952" w:rsidRPr="00B05920">
                  <w:rPr>
                    <w:color w:val="000000"/>
                    <w:lang w:eastAsia="zh-CN"/>
                  </w:rPr>
                  <w:t>Stefano Ruffini</w:t>
                </w:r>
                <w:r w:rsidR="00676952" w:rsidRPr="00B05920">
                  <w:rPr>
                    <w:color w:val="000000"/>
                    <w:lang w:eastAsia="zh-CN"/>
                  </w:rPr>
                  <w:br/>
                  <w:t>Telefon AB - LM Ericsson</w:t>
                </w:r>
                <w:r w:rsidR="00676952" w:rsidRPr="00B05920">
                  <w:rPr>
                    <w:color w:val="000000"/>
                    <w:lang w:eastAsia="zh-CN"/>
                  </w:rPr>
                  <w:br/>
                  <w:t>Sweden</w:t>
                </w:r>
              </w:sdtContent>
            </w:sdt>
          </w:p>
        </w:tc>
        <w:sdt>
          <w:sdtPr>
            <w:alias w:val="ContactTelFaxEmail"/>
            <w:tag w:val="ContactTelFaxEmail"/>
            <w:id w:val="-836295583"/>
            <w:placeholder>
              <w:docPart w:val="DBB8D581E3C54DE2BFCFFF5E1B8A774C"/>
            </w:placeholder>
          </w:sdtPr>
          <w:sdtEndPr/>
          <w:sdtContent>
            <w:tc>
              <w:tcPr>
                <w:tcW w:w="4536" w:type="dxa"/>
                <w:tcBorders>
                  <w:top w:val="single" w:sz="8" w:space="0" w:color="auto"/>
                  <w:bottom w:val="single" w:sz="8" w:space="0" w:color="auto"/>
                </w:tcBorders>
              </w:tcPr>
              <w:p w:rsidR="00676952" w:rsidRPr="00C473F0" w:rsidRDefault="00676952" w:rsidP="00C473F0">
                <w:pPr>
                  <w:rPr>
                    <w:lang w:val="fr-CH"/>
                  </w:rPr>
                </w:pPr>
                <w:r w:rsidRPr="00C473F0">
                  <w:rPr>
                    <w:lang w:val="fr-CH"/>
                  </w:rPr>
                  <w:t>E-mail: stefano.ruffini@ericsson.com</w:t>
                </w:r>
              </w:p>
            </w:tc>
          </w:sdtContent>
        </w:sdt>
      </w:tr>
      <w:tr w:rsidR="00676952" w:rsidRPr="002A258D" w:rsidTr="00A41F6B">
        <w:trPr>
          <w:cantSplit/>
        </w:trPr>
        <w:tc>
          <w:tcPr>
            <w:tcW w:w="1607" w:type="dxa"/>
            <w:gridSpan w:val="2"/>
            <w:tcBorders>
              <w:top w:val="single" w:sz="8" w:space="0" w:color="auto"/>
              <w:bottom w:val="single" w:sz="8" w:space="0" w:color="auto"/>
            </w:tcBorders>
          </w:tcPr>
          <w:p w:rsidR="00676952" w:rsidRPr="00B05920" w:rsidRDefault="00676952" w:rsidP="00A41F6B">
            <w:pPr>
              <w:rPr>
                <w:b/>
                <w:bCs/>
              </w:rPr>
            </w:pPr>
            <w:r w:rsidRPr="00B05920">
              <w:rPr>
                <w:b/>
                <w:bCs/>
              </w:rPr>
              <w:t>Contact:</w:t>
            </w:r>
          </w:p>
        </w:tc>
        <w:tc>
          <w:tcPr>
            <w:tcW w:w="3780" w:type="dxa"/>
            <w:gridSpan w:val="4"/>
            <w:tcBorders>
              <w:top w:val="single" w:sz="8" w:space="0" w:color="auto"/>
              <w:bottom w:val="single" w:sz="8" w:space="0" w:color="auto"/>
            </w:tcBorders>
          </w:tcPr>
          <w:p w:rsidR="00676952" w:rsidRPr="00B05920" w:rsidRDefault="00454BBF" w:rsidP="00A41F6B">
            <w:sdt>
              <w:sdtPr>
                <w:rPr>
                  <w:rFonts w:eastAsia="Times New Roman"/>
                  <w:lang w:eastAsia="en-US"/>
                </w:rPr>
                <w:alias w:val="ContactNameOrgCountry"/>
                <w:tag w:val="ContactNameOrgCountry"/>
                <w:id w:val="1895690070"/>
                <w:placeholder>
                  <w:docPart w:val="1FE84DB79E19456BBCC92F715F9B5BE4"/>
                </w:placeholder>
                <w:text w:multiLine="1"/>
              </w:sdtPr>
              <w:sdtEndPr/>
              <w:sdtContent>
                <w:r w:rsidR="00676952" w:rsidRPr="00B05920">
                  <w:rPr>
                    <w:rFonts w:eastAsia="Times New Roman"/>
                    <w:lang w:eastAsia="en-US"/>
                  </w:rPr>
                  <w:t>Silvana Rodrigues</w:t>
                </w:r>
                <w:r w:rsidR="00676952" w:rsidRPr="00B05920">
                  <w:rPr>
                    <w:rFonts w:eastAsia="Times New Roman"/>
                    <w:lang w:eastAsia="en-US"/>
                  </w:rPr>
                  <w:br/>
                  <w:t>IDT</w:t>
                </w:r>
                <w:r w:rsidR="00676952" w:rsidRPr="00B05920">
                  <w:rPr>
                    <w:rFonts w:eastAsia="Times New Roman"/>
                    <w:lang w:eastAsia="en-US"/>
                  </w:rPr>
                  <w:br/>
                  <w:t>Canada</w:t>
                </w:r>
              </w:sdtContent>
            </w:sdt>
          </w:p>
        </w:tc>
        <w:sdt>
          <w:sdtPr>
            <w:alias w:val="ContactTelFaxEmail"/>
            <w:tag w:val="ContactTelFaxEmail"/>
            <w:id w:val="774140691"/>
            <w:placeholder>
              <w:docPart w:val="87330108A3B047F29322119B665F8581"/>
            </w:placeholder>
          </w:sdtPr>
          <w:sdtEndPr/>
          <w:sdtContent>
            <w:tc>
              <w:tcPr>
                <w:tcW w:w="4536" w:type="dxa"/>
                <w:tcBorders>
                  <w:top w:val="single" w:sz="8" w:space="0" w:color="auto"/>
                  <w:bottom w:val="single" w:sz="8" w:space="0" w:color="auto"/>
                </w:tcBorders>
              </w:tcPr>
              <w:p w:rsidR="00676952" w:rsidRPr="00700A41" w:rsidRDefault="00676952" w:rsidP="00C473F0">
                <w:pPr>
                  <w:rPr>
                    <w:lang w:val="fr-CH"/>
                  </w:rPr>
                </w:pPr>
                <w:r w:rsidRPr="00700A41">
                  <w:rPr>
                    <w:lang w:val="fr-CH"/>
                  </w:rPr>
                  <w:t>E-mail: silvana.rodrigues.wg@renesas.com</w:t>
                </w:r>
              </w:p>
            </w:tc>
          </w:sdtContent>
        </w:sdt>
      </w:tr>
    </w:tbl>
    <w:p w:rsidR="00676952" w:rsidRPr="00700A41" w:rsidRDefault="00676952" w:rsidP="00676952">
      <w:pPr>
        <w:rPr>
          <w:lang w:val="fr-CH"/>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676952" w:rsidRPr="00B05920" w:rsidTr="00A41F6B">
        <w:trPr>
          <w:cantSplit/>
        </w:trPr>
        <w:tc>
          <w:tcPr>
            <w:tcW w:w="1641" w:type="dxa"/>
          </w:tcPr>
          <w:p w:rsidR="00676952" w:rsidRPr="00B05920" w:rsidRDefault="00676952" w:rsidP="00A41F6B">
            <w:pPr>
              <w:rPr>
                <w:b/>
                <w:bCs/>
              </w:rPr>
            </w:pPr>
            <w:r w:rsidRPr="00B05920">
              <w:rPr>
                <w:b/>
                <w:bCs/>
              </w:rPr>
              <w:t>Keywords:</w:t>
            </w:r>
          </w:p>
        </w:tc>
        <w:tc>
          <w:tcPr>
            <w:tcW w:w="8282" w:type="dxa"/>
          </w:tcPr>
          <w:p w:rsidR="00676952" w:rsidRPr="00B05920" w:rsidRDefault="00676952" w:rsidP="00A41F6B">
            <w:r w:rsidRPr="00B05920">
              <w:t>3GPP, Time synchronization, TDD</w:t>
            </w:r>
          </w:p>
        </w:tc>
      </w:tr>
    </w:tbl>
    <w:p w:rsidR="00676952" w:rsidRPr="00B05920" w:rsidRDefault="00676952" w:rsidP="00676952">
      <w:pPr>
        <w:jc w:val="both"/>
        <w:rPr>
          <w:highlight w:val="yellow"/>
        </w:rPr>
      </w:pPr>
    </w:p>
    <w:p w:rsidR="00676952" w:rsidRPr="00B05920" w:rsidRDefault="00676952" w:rsidP="00676952">
      <w:pPr>
        <w:jc w:val="both"/>
      </w:pPr>
      <w:r w:rsidRPr="00B05920">
        <w:t>Network synchronization needs for TDD networks have been studied by Q13/15 and related requirements and solutions have been addressed in various ITU-T Recommendations (e.g., G.8271). Recent discussions focused on the need to mitigate the interference between TDD networks operated by different network operators in adjacent frequency bands (without frequency guard bands).</w:t>
      </w:r>
    </w:p>
    <w:p w:rsidR="00676952" w:rsidRPr="00B05920" w:rsidRDefault="00676952" w:rsidP="00676952">
      <w:r w:rsidRPr="00B05920">
        <w:rPr>
          <w:rFonts w:eastAsia="MS Mincho"/>
        </w:rPr>
        <w:t xml:space="preserve">3GPP </w:t>
      </w:r>
      <w:r w:rsidRPr="00B05920">
        <w:t>TS 38.401 currently specifies the following in section 9.1:</w:t>
      </w:r>
    </w:p>
    <w:p w:rsidR="00676952" w:rsidRPr="00B05920" w:rsidRDefault="00676952" w:rsidP="00676952">
      <w:r w:rsidRPr="00B05920">
        <w:t>“</w:t>
      </w:r>
    </w:p>
    <w:p w:rsidR="00676952" w:rsidRPr="00B05920" w:rsidRDefault="00676952" w:rsidP="00676952">
      <w:pPr>
        <w:rPr>
          <w:b/>
          <w:bCs/>
        </w:rPr>
      </w:pPr>
      <w:bookmarkStart w:id="10" w:name="_Toc5612640"/>
      <w:r w:rsidRPr="00B05920">
        <w:rPr>
          <w:b/>
          <w:bCs/>
        </w:rPr>
        <w:t>9.1</w:t>
      </w:r>
      <w:r w:rsidRPr="00B05920">
        <w:rPr>
          <w:b/>
          <w:bCs/>
        </w:rPr>
        <w:tab/>
        <w:t>gNB Synchronization</w:t>
      </w:r>
      <w:bookmarkEnd w:id="10"/>
    </w:p>
    <w:p w:rsidR="00676952" w:rsidRPr="00B05920" w:rsidRDefault="00676952" w:rsidP="00676952">
      <w:r w:rsidRPr="00B05920">
        <w:t>The gNB shall support a logical synchronization port for phase-, time- and/or frequency</w:t>
      </w:r>
      <w:r w:rsidRPr="00B05920">
        <w:rPr>
          <w:rFonts w:eastAsia="SimSun"/>
        </w:rPr>
        <w:t xml:space="preserve"> synchronization.</w:t>
      </w:r>
    </w:p>
    <w:p w:rsidR="00676952" w:rsidRPr="00B05920" w:rsidRDefault="00676952" w:rsidP="00676952">
      <w:pPr>
        <w:rPr>
          <w:rFonts w:eastAsia="SimSun"/>
        </w:rPr>
      </w:pPr>
      <w:r w:rsidRPr="00B05920">
        <w:rPr>
          <w:rFonts w:eastAsia="SimSun"/>
        </w:rPr>
        <w:t>Logical synchronization port for phase- and time-synchronization shall provide:</w:t>
      </w:r>
    </w:p>
    <w:p w:rsidR="00676952" w:rsidRPr="00B05920" w:rsidRDefault="00676952" w:rsidP="00676952">
      <w:pPr>
        <w:pStyle w:val="B1"/>
      </w:pPr>
      <w:r w:rsidRPr="00B05920">
        <w:t>1)</w:t>
      </w:r>
      <w:r w:rsidRPr="00B05920">
        <w:tab/>
        <w:t>accuracy that allows to meet the gNB requirements on maximum relative phase difference for all gNBs in synchronized TDD-unicast area;</w:t>
      </w:r>
    </w:p>
    <w:p w:rsidR="00676952" w:rsidRPr="00B05920" w:rsidRDefault="00676952" w:rsidP="00676952">
      <w:pPr>
        <w:pStyle w:val="B1"/>
      </w:pPr>
      <w:r w:rsidRPr="00B05920">
        <w:t>2)</w:t>
      </w:r>
      <w:r w:rsidRPr="00B05920">
        <w:tab/>
      </w:r>
      <w:r w:rsidRPr="00B05920">
        <w:rPr>
          <w:highlight w:val="yellow"/>
        </w:rPr>
        <w:t>continuous time without leap seconds traceable to common time reference for all gNBs in synchronized TDD-unicast area</w:t>
      </w:r>
      <w:r w:rsidRPr="00B05920">
        <w:t>.</w:t>
      </w:r>
    </w:p>
    <w:p w:rsidR="00676952" w:rsidRPr="00B05920" w:rsidRDefault="00676952" w:rsidP="00676952">
      <w:r w:rsidRPr="00B05920">
        <w:lastRenderedPageBreak/>
        <w:t>A logical synchronization port for phase- and time-synchronization may also be provided for e.g., all gNBs in FDD time domain inter-cell interference coordination synchronization area.</w:t>
      </w:r>
    </w:p>
    <w:p w:rsidR="00676952" w:rsidRPr="00B05920" w:rsidRDefault="00676952" w:rsidP="00676952">
      <w:r w:rsidRPr="00B05920">
        <w:t>Furthermore</w:t>
      </w:r>
      <w:r>
        <w:t>,</w:t>
      </w:r>
      <w:r w:rsidRPr="00B05920">
        <w:t xml:space="preserve"> common SFN initialization time shall be provided for all gNBs in synchronized TDD-unicast area.</w:t>
      </w:r>
    </w:p>
    <w:p w:rsidR="00676952" w:rsidRPr="00B05920" w:rsidRDefault="00676952" w:rsidP="00676952">
      <w:r w:rsidRPr="00B05920">
        <w:t>Based on this information, the gNB may derive the SFN according to the following formula:</w:t>
      </w:r>
    </w:p>
    <w:p w:rsidR="00676952" w:rsidRPr="00B05920" w:rsidRDefault="00676952" w:rsidP="00676952">
      <w:pPr>
        <w:pStyle w:val="EQ"/>
        <w:rPr>
          <w:noProof w:val="0"/>
        </w:rPr>
      </w:pPr>
      <w:r w:rsidRPr="00B05920">
        <w:rPr>
          <w:noProof w:val="0"/>
        </w:rPr>
        <w:tab/>
      </w:r>
      <w:r w:rsidRPr="00B05920">
        <w:rPr>
          <w:noProof w:val="0"/>
          <w:position w:val="-10"/>
        </w:rPr>
        <w:object w:dxaOrig="32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7pt" o:ole="">
            <v:imagedata r:id="rId9" o:title=""/>
          </v:shape>
          <o:OLEObject Type="Embed" ProgID="Equation.3" ShapeID="_x0000_i1025" DrawAspect="Content" ObjectID="_1626537254" r:id="rId10"/>
        </w:object>
      </w:r>
      <w:r w:rsidRPr="00B05920">
        <w:rPr>
          <w:noProof w:val="0"/>
        </w:rPr>
        <w:t>,</w:t>
      </w:r>
    </w:p>
    <w:p w:rsidR="00676952" w:rsidRPr="00B05920" w:rsidRDefault="00676952" w:rsidP="00676952">
      <w:r w:rsidRPr="00B05920">
        <w:t>where:</w:t>
      </w:r>
    </w:p>
    <w:p w:rsidR="00676952" w:rsidRPr="00B05920" w:rsidRDefault="00676952" w:rsidP="00676952">
      <w:pPr>
        <w:pStyle w:val="EX"/>
      </w:pPr>
      <w:r w:rsidRPr="00B05920">
        <w:t>time</w:t>
      </w:r>
      <w:r w:rsidRPr="00B05920">
        <w:tab/>
        <w:t>time adjusted by the common SFN initialization time, in units of 10 ms to match the length of radio frame and accuracy accordingly;</w:t>
      </w:r>
    </w:p>
    <w:p w:rsidR="00676952" w:rsidRPr="00B05920" w:rsidRDefault="00676952" w:rsidP="00676952">
      <w:pPr>
        <w:pStyle w:val="EX"/>
      </w:pPr>
      <w:r w:rsidRPr="00B05920">
        <w:t>period(SFN)</w:t>
      </w:r>
      <w:r w:rsidRPr="00B05920">
        <w:tab/>
        <w:t>SFN period.</w:t>
      </w:r>
    </w:p>
    <w:p w:rsidR="00676952" w:rsidRPr="00B05920" w:rsidRDefault="00676952" w:rsidP="00676952">
      <w:pPr>
        <w:pStyle w:val="EX"/>
        <w:ind w:left="0" w:firstLine="0"/>
      </w:pPr>
    </w:p>
    <w:p w:rsidR="00676952" w:rsidRPr="00B05920" w:rsidRDefault="00676952" w:rsidP="00676952">
      <w:pPr>
        <w:rPr>
          <w:rFonts w:eastAsia="MS Mincho"/>
        </w:rPr>
      </w:pPr>
      <w:r w:rsidRPr="00B05920">
        <w:rPr>
          <w:rFonts w:eastAsia="MS Mincho"/>
        </w:rPr>
        <w:t>”</w:t>
      </w:r>
    </w:p>
    <w:p w:rsidR="00676952" w:rsidRPr="00B05920" w:rsidRDefault="00676952" w:rsidP="00676952">
      <w:pPr>
        <w:pStyle w:val="EX"/>
      </w:pPr>
    </w:p>
    <w:p w:rsidR="00676952" w:rsidRPr="00B05920" w:rsidRDefault="00676952" w:rsidP="00676952">
      <w:r w:rsidRPr="00B05920">
        <w:t xml:space="preserve">In this respect there have been questions within Q13/15 whether additional requirements could be added in Clause 9.1 (see in particular text highlighted in yellow above) to mitigate the effect of potential interferences. </w:t>
      </w:r>
    </w:p>
    <w:p w:rsidR="00676952" w:rsidRPr="00B05920" w:rsidRDefault="00676952" w:rsidP="00676952">
      <w:r w:rsidRPr="00B05920">
        <w:t xml:space="preserve">One possibility is to make it explicit that the time reference must be traceable to a specific common recognized time standard source. </w:t>
      </w:r>
    </w:p>
    <w:p w:rsidR="00676952" w:rsidRPr="00B05920" w:rsidRDefault="00676952" w:rsidP="00676952">
      <w:r w:rsidRPr="00B05920">
        <w:t>In this case UTC might be a good candidate as per Recommendation ITU-R TF.460 all standard-frequency and time-signal emissions should conform to the Coordinated Universal Time (UTC). Note: given the 3GPP requirement for a “</w:t>
      </w:r>
      <w:r w:rsidRPr="00B05920">
        <w:rPr>
          <w:i/>
        </w:rPr>
        <w:t>continuous time without leap seconds</w:t>
      </w:r>
      <w:r w:rsidRPr="00B05920">
        <w:t xml:space="preserve">”, the actual implementation in this case could make use of the content of the UTC information that is being distributed and that is not impacted by leap seconds, e.g., GPS time in the case where the time reference is carried by a GPS signal.   </w:t>
      </w:r>
    </w:p>
    <w:p w:rsidR="00676952" w:rsidRPr="00B05920" w:rsidRDefault="00676952" w:rsidP="00676952">
      <w:pPr>
        <w:rPr>
          <w:rFonts w:eastAsia="MS Mincho"/>
        </w:rPr>
      </w:pPr>
    </w:p>
    <w:p w:rsidR="00676952" w:rsidRPr="00B05920" w:rsidRDefault="00676952" w:rsidP="00676952">
      <w:r w:rsidRPr="00B05920">
        <w:t>We thank you for your assistance on this matter and look forward to fruitful cooperation.</w:t>
      </w:r>
    </w:p>
    <w:p w:rsidR="00676952" w:rsidRPr="00B05920" w:rsidRDefault="00676952" w:rsidP="00676952">
      <w:pPr>
        <w:jc w:val="both"/>
        <w:rPr>
          <w:highlight w:val="yellow"/>
        </w:rPr>
      </w:pPr>
    </w:p>
    <w:p w:rsidR="00676952" w:rsidRPr="00B05920" w:rsidRDefault="00676952" w:rsidP="00676952">
      <w:pPr>
        <w:rPr>
          <w:b/>
          <w:bCs/>
        </w:rPr>
      </w:pPr>
      <w:r w:rsidRPr="00B05920">
        <w:rPr>
          <w:b/>
          <w:bCs/>
        </w:rPr>
        <w:t>Actions</w:t>
      </w:r>
    </w:p>
    <w:p w:rsidR="00676952" w:rsidRPr="00B05920" w:rsidRDefault="00676952" w:rsidP="00676952">
      <w:pPr>
        <w:jc w:val="both"/>
        <w:rPr>
          <w:lang w:eastAsia="zh-CN"/>
        </w:rPr>
      </w:pPr>
      <w:r w:rsidRPr="00B05920">
        <w:rPr>
          <w:lang w:eastAsia="zh-CN"/>
        </w:rPr>
        <w:t xml:space="preserve">Please provide comment on the above suggestion to add further details and requirements into section 9.1 of 3GPP TS 38.401 concerning the common time reference so that </w:t>
      </w:r>
      <w:r w:rsidRPr="00B05920">
        <w:t>interference between operators can be mitigated</w:t>
      </w:r>
      <w:r w:rsidRPr="00B05920">
        <w:rPr>
          <w:lang w:eastAsia="zh-CN"/>
        </w:rPr>
        <w:t>.</w:t>
      </w:r>
    </w:p>
    <w:p w:rsidR="00676952" w:rsidRPr="00B05920" w:rsidRDefault="00676952" w:rsidP="00676952">
      <w:pPr>
        <w:jc w:val="both"/>
        <w:rPr>
          <w:highlight w:val="yellow"/>
        </w:rPr>
      </w:pPr>
    </w:p>
    <w:p w:rsidR="00676952" w:rsidRPr="00B05920" w:rsidRDefault="00676952" w:rsidP="00676952">
      <w:pPr>
        <w:jc w:val="both"/>
      </w:pPr>
      <w:r w:rsidRPr="00B05920">
        <w:t xml:space="preserve">References: </w:t>
      </w:r>
    </w:p>
    <w:p w:rsidR="00676952" w:rsidRPr="00B05920" w:rsidRDefault="00676952" w:rsidP="00676952">
      <w:pPr>
        <w:pStyle w:val="ListParagraph"/>
        <w:numPr>
          <w:ilvl w:val="0"/>
          <w:numId w:val="1"/>
        </w:numPr>
        <w:jc w:val="both"/>
        <w:rPr>
          <w:rFonts w:ascii="Times New Roman" w:hAnsi="Times New Roman" w:cs="Times New Roman"/>
          <w:lang w:val="en-GB"/>
        </w:rPr>
      </w:pPr>
      <w:r w:rsidRPr="00B05920">
        <w:rPr>
          <w:rFonts w:ascii="Times New Roman" w:hAnsi="Times New Roman" w:cs="Times New Roman"/>
          <w:lang w:val="en-GB"/>
        </w:rPr>
        <w:t xml:space="preserve">ITU-R TF.535-2, Use of the term UTC, </w:t>
      </w:r>
      <w:hyperlink r:id="rId11" w:history="1">
        <w:r w:rsidRPr="00B05920">
          <w:rPr>
            <w:rStyle w:val="Hyperlink"/>
            <w:rFonts w:ascii="Times New Roman" w:hAnsi="Times New Roman" w:cs="Times New Roman"/>
            <w:lang w:val="en-GB"/>
          </w:rPr>
          <w:t>https://www.itu.int/rec/R-REC-TF.535-2-199802-I/en</w:t>
        </w:r>
      </w:hyperlink>
      <w:r w:rsidRPr="00B05920">
        <w:rPr>
          <w:rFonts w:ascii="Times New Roman" w:hAnsi="Times New Roman" w:cs="Times New Roman"/>
          <w:lang w:val="en-GB"/>
        </w:rPr>
        <w:t xml:space="preserve"> </w:t>
      </w:r>
    </w:p>
    <w:p w:rsidR="00676952" w:rsidRPr="00B05920" w:rsidRDefault="00676952" w:rsidP="00676952">
      <w:pPr>
        <w:pStyle w:val="ListParagraph"/>
        <w:numPr>
          <w:ilvl w:val="0"/>
          <w:numId w:val="1"/>
        </w:numPr>
        <w:jc w:val="both"/>
        <w:rPr>
          <w:rFonts w:ascii="Times New Roman" w:hAnsi="Times New Roman" w:cs="Times New Roman"/>
          <w:lang w:val="en-GB"/>
        </w:rPr>
      </w:pPr>
      <w:r w:rsidRPr="00B05920">
        <w:rPr>
          <w:rFonts w:ascii="Times New Roman" w:hAnsi="Times New Roman" w:cs="Times New Roman"/>
          <w:lang w:val="en-GB"/>
        </w:rPr>
        <w:t xml:space="preserve">ITU-R TF.460, Standard-frequency and time-signal emissions, </w:t>
      </w:r>
      <w:hyperlink r:id="rId12" w:history="1">
        <w:r w:rsidRPr="00B05920">
          <w:rPr>
            <w:rStyle w:val="Hyperlink"/>
            <w:rFonts w:ascii="Times New Roman" w:hAnsi="Times New Roman" w:cs="Times New Roman"/>
            <w:lang w:val="en-GB"/>
          </w:rPr>
          <w:t>https://www.itu.int/rec/R-REC-TF.460-6-200202-I/en</w:t>
        </w:r>
      </w:hyperlink>
      <w:r w:rsidRPr="00B05920">
        <w:rPr>
          <w:rFonts w:ascii="Times New Roman" w:hAnsi="Times New Roman" w:cs="Times New Roman"/>
          <w:lang w:val="en-GB"/>
        </w:rPr>
        <w:t xml:space="preserve">  </w:t>
      </w:r>
    </w:p>
    <w:p w:rsidR="00676952" w:rsidRPr="00B05920" w:rsidRDefault="00676952" w:rsidP="00676952">
      <w:pPr>
        <w:pStyle w:val="ListParagraph"/>
        <w:numPr>
          <w:ilvl w:val="0"/>
          <w:numId w:val="1"/>
        </w:numPr>
        <w:jc w:val="both"/>
        <w:rPr>
          <w:rFonts w:ascii="Times New Roman" w:hAnsi="Times New Roman" w:cs="Times New Roman"/>
          <w:lang w:val="en-GB"/>
        </w:rPr>
      </w:pPr>
      <w:r w:rsidRPr="00B05920">
        <w:rPr>
          <w:rFonts w:ascii="Times New Roman" w:hAnsi="Times New Roman" w:cs="Times New Roman"/>
          <w:lang w:val="en-GB"/>
        </w:rPr>
        <w:t>3GPP TS 38.401, NG-RAN; Architecture description</w:t>
      </w:r>
    </w:p>
    <w:p w:rsidR="00676952" w:rsidRPr="00B05920" w:rsidRDefault="00676952" w:rsidP="00676952">
      <w:pPr>
        <w:pStyle w:val="ListParagraph"/>
        <w:numPr>
          <w:ilvl w:val="0"/>
          <w:numId w:val="1"/>
        </w:numPr>
        <w:jc w:val="both"/>
        <w:rPr>
          <w:rFonts w:ascii="Times New Roman" w:hAnsi="Times New Roman" w:cs="Times New Roman"/>
          <w:lang w:val="en-GB"/>
        </w:rPr>
      </w:pPr>
      <w:r w:rsidRPr="00B05920">
        <w:rPr>
          <w:rFonts w:ascii="Times New Roman" w:hAnsi="Times New Roman" w:cs="Times New Roman"/>
          <w:lang w:val="en-GB"/>
        </w:rPr>
        <w:t xml:space="preserve">ITU-T G.8271, Time and phase synchronization aspects of telecommunication networks, </w:t>
      </w:r>
      <w:hyperlink r:id="rId13" w:history="1">
        <w:r w:rsidRPr="00B05920">
          <w:rPr>
            <w:rStyle w:val="Hyperlink"/>
            <w:rFonts w:ascii="Times New Roman" w:hAnsi="Times New Roman" w:cs="Times New Roman"/>
            <w:lang w:val="en-GB"/>
          </w:rPr>
          <w:t>https://www.itu.int/ITU-T/recommendations/rec.aspx?rec=13383</w:t>
        </w:r>
      </w:hyperlink>
      <w:r w:rsidRPr="00B05920">
        <w:rPr>
          <w:rFonts w:ascii="Times New Roman" w:hAnsi="Times New Roman" w:cs="Times New Roman"/>
          <w:lang w:val="en-GB"/>
        </w:rPr>
        <w:t xml:space="preserve"> </w:t>
      </w:r>
    </w:p>
    <w:p w:rsidR="00676952" w:rsidRPr="00B05920" w:rsidRDefault="00676952" w:rsidP="00676952">
      <w:pPr>
        <w:jc w:val="center"/>
      </w:pPr>
      <w:r w:rsidRPr="00B05920">
        <w:t>_______________________</w:t>
      </w:r>
    </w:p>
    <w:p w:rsidR="008E44FB" w:rsidRDefault="008E44FB"/>
    <w:sectPr w:rsidR="008E44FB" w:rsidSect="00C473F0">
      <w:pgSz w:w="11906" w:h="16838"/>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4BBF" w:rsidRDefault="00454BBF" w:rsidP="00C473F0">
      <w:pPr>
        <w:spacing w:before="0"/>
      </w:pPr>
      <w:r>
        <w:separator/>
      </w:r>
    </w:p>
  </w:endnote>
  <w:endnote w:type="continuationSeparator" w:id="0">
    <w:p w:rsidR="00454BBF" w:rsidRDefault="00454BBF" w:rsidP="00C473F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4BBF" w:rsidRDefault="00454BBF" w:rsidP="00C473F0">
      <w:pPr>
        <w:spacing w:before="0"/>
      </w:pPr>
      <w:r>
        <w:separator/>
      </w:r>
    </w:p>
  </w:footnote>
  <w:footnote w:type="continuationSeparator" w:id="0">
    <w:p w:rsidR="00454BBF" w:rsidRDefault="00454BBF" w:rsidP="00C473F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73F0" w:rsidRPr="00C473F0" w:rsidRDefault="00C473F0" w:rsidP="00C473F0">
    <w:pPr>
      <w:pStyle w:val="Header"/>
      <w:jc w:val="center"/>
      <w:rPr>
        <w:sz w:val="18"/>
      </w:rPr>
    </w:pPr>
    <w:r w:rsidRPr="00C473F0">
      <w:rPr>
        <w:sz w:val="18"/>
      </w:rPr>
      <w:t xml:space="preserve">- </w:t>
    </w:r>
    <w:r w:rsidRPr="00C473F0">
      <w:rPr>
        <w:sz w:val="18"/>
      </w:rPr>
      <w:fldChar w:fldCharType="begin"/>
    </w:r>
    <w:r w:rsidRPr="00C473F0">
      <w:rPr>
        <w:sz w:val="18"/>
      </w:rPr>
      <w:instrText xml:space="preserve"> PAGE  \* MERGEFORMAT </w:instrText>
    </w:r>
    <w:r w:rsidRPr="00C473F0">
      <w:rPr>
        <w:sz w:val="18"/>
      </w:rPr>
      <w:fldChar w:fldCharType="separate"/>
    </w:r>
    <w:r w:rsidR="002A258D">
      <w:rPr>
        <w:noProof/>
        <w:sz w:val="18"/>
      </w:rPr>
      <w:t>2</w:t>
    </w:r>
    <w:r w:rsidRPr="00C473F0">
      <w:rPr>
        <w:sz w:val="18"/>
      </w:rPr>
      <w:fldChar w:fldCharType="end"/>
    </w:r>
    <w:r w:rsidRPr="00C473F0">
      <w:rPr>
        <w:sz w:val="18"/>
      </w:rPr>
      <w:t xml:space="preserve"> -</w:t>
    </w:r>
  </w:p>
  <w:p w:rsidR="00C473F0" w:rsidRPr="00C473F0" w:rsidRDefault="00C473F0" w:rsidP="00C473F0">
    <w:pPr>
      <w:pStyle w:val="Header"/>
      <w:spacing w:after="240"/>
      <w:jc w:val="center"/>
      <w:rPr>
        <w:sz w:val="18"/>
      </w:rPr>
    </w:pPr>
    <w:r w:rsidRPr="00C473F0">
      <w:rPr>
        <w:sz w:val="18"/>
      </w:rPr>
      <w:fldChar w:fldCharType="begin"/>
    </w:r>
    <w:r w:rsidRPr="00C473F0">
      <w:rPr>
        <w:sz w:val="18"/>
      </w:rPr>
      <w:instrText xml:space="preserve"> STYLEREF  Docnumber  </w:instrText>
    </w:r>
    <w:r w:rsidRPr="00C473F0">
      <w:rPr>
        <w:sz w:val="18"/>
      </w:rPr>
      <w:fldChar w:fldCharType="separate"/>
    </w:r>
    <w:r w:rsidR="00BE6656">
      <w:rPr>
        <w:noProof/>
        <w:sz w:val="18"/>
      </w:rPr>
      <w:t>SG15-LS204</w:t>
    </w:r>
    <w:r w:rsidRPr="00C473F0">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AA1B24"/>
    <w:multiLevelType w:val="hybridMultilevel"/>
    <w:tmpl w:val="8C2845E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952"/>
    <w:rsid w:val="002A258D"/>
    <w:rsid w:val="00454BBF"/>
    <w:rsid w:val="00676952"/>
    <w:rsid w:val="00700A41"/>
    <w:rsid w:val="008E44FB"/>
    <w:rsid w:val="00BE6656"/>
    <w:rsid w:val="00C473F0"/>
    <w:rsid w:val="00ED78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B660F"/>
  <w15:chartTrackingRefBased/>
  <w15:docId w15:val="{59535305-F3B4-42A3-8D81-8632AE7B0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6952"/>
    <w:pPr>
      <w:spacing w:before="120" w:after="0" w:line="240" w:lineRule="auto"/>
    </w:pPr>
    <w:rPr>
      <w:rFonts w:ascii="Times New Roman" w:eastAsiaTheme="minorEastAsia" w:hAnsi="Times New Roman" w:cs="Times New Roman"/>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qFormat/>
    <w:rsid w:val="00676952"/>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character" w:styleId="Hyperlink">
    <w:name w:val="Hyperlink"/>
    <w:basedOn w:val="DefaultParagraphFont"/>
    <w:rsid w:val="00676952"/>
    <w:rPr>
      <w:rFonts w:asciiTheme="majorBidi" w:hAnsiTheme="majorBidi"/>
      <w:color w:val="0000FF"/>
      <w:u w:val="single"/>
    </w:rPr>
  </w:style>
  <w:style w:type="paragraph" w:customStyle="1" w:styleId="LSDeadline">
    <w:name w:val="LSDeadline"/>
    <w:basedOn w:val="LSForAction"/>
    <w:next w:val="Normal"/>
    <w:rsid w:val="00676952"/>
    <w:rPr>
      <w:bCs w:val="0"/>
    </w:rPr>
  </w:style>
  <w:style w:type="paragraph" w:customStyle="1" w:styleId="LSForAction">
    <w:name w:val="LSForAction"/>
    <w:basedOn w:val="Normal"/>
    <w:rsid w:val="00676952"/>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676952"/>
  </w:style>
  <w:style w:type="paragraph" w:customStyle="1" w:styleId="LSForComment">
    <w:name w:val="LSForComment"/>
    <w:basedOn w:val="LSForAction"/>
    <w:next w:val="Normal"/>
    <w:rsid w:val="00676952"/>
  </w:style>
  <w:style w:type="paragraph" w:customStyle="1" w:styleId="LSSource">
    <w:name w:val="LSSource"/>
    <w:basedOn w:val="LSForAction"/>
    <w:next w:val="Normal"/>
    <w:rsid w:val="00676952"/>
    <w:rPr>
      <w:rFonts w:eastAsiaTheme="minorHAnsi"/>
      <w:bCs w:val="0"/>
    </w:rPr>
  </w:style>
  <w:style w:type="paragraph" w:customStyle="1" w:styleId="LSTitle">
    <w:name w:val="LSTitle"/>
    <w:basedOn w:val="LSForAction"/>
    <w:next w:val="Normal"/>
    <w:rsid w:val="00676952"/>
    <w:rPr>
      <w:rFonts w:eastAsiaTheme="minorHAnsi"/>
      <w:bCs w:val="0"/>
    </w:rPr>
  </w:style>
  <w:style w:type="paragraph" w:styleId="ListParagraph">
    <w:name w:val="List Paragraph"/>
    <w:basedOn w:val="Normal"/>
    <w:uiPriority w:val="34"/>
    <w:qFormat/>
    <w:rsid w:val="00676952"/>
    <w:pPr>
      <w:spacing w:before="0" w:after="160" w:line="259" w:lineRule="auto"/>
      <w:ind w:left="720"/>
      <w:contextualSpacing/>
    </w:pPr>
    <w:rPr>
      <w:rFonts w:asciiTheme="minorHAnsi" w:eastAsiaTheme="minorHAnsi" w:hAnsiTheme="minorHAnsi" w:cstheme="minorBidi"/>
      <w:sz w:val="22"/>
      <w:szCs w:val="22"/>
      <w:lang w:val="en-US" w:eastAsia="en-US"/>
    </w:rPr>
  </w:style>
  <w:style w:type="character" w:customStyle="1" w:styleId="B1Zchn">
    <w:name w:val="B1 Zchn"/>
    <w:link w:val="B1"/>
    <w:locked/>
    <w:rsid w:val="00676952"/>
    <w:rPr>
      <w:rFonts w:ascii="Times New Roman" w:eastAsia="Times New Roman" w:hAnsi="Times New Roman" w:cs="Times New Roman"/>
      <w:sz w:val="20"/>
      <w:szCs w:val="20"/>
      <w:lang w:eastAsia="en-GB"/>
    </w:rPr>
  </w:style>
  <w:style w:type="paragraph" w:customStyle="1" w:styleId="B1">
    <w:name w:val="B1"/>
    <w:basedOn w:val="List"/>
    <w:link w:val="B1Zchn"/>
    <w:rsid w:val="00676952"/>
    <w:pPr>
      <w:overflowPunct w:val="0"/>
      <w:autoSpaceDE w:val="0"/>
      <w:autoSpaceDN w:val="0"/>
      <w:adjustRightInd w:val="0"/>
      <w:spacing w:before="0" w:after="180"/>
      <w:ind w:left="568" w:hanging="284"/>
      <w:contextualSpacing w:val="0"/>
    </w:pPr>
    <w:rPr>
      <w:rFonts w:eastAsia="Times New Roman"/>
      <w:sz w:val="20"/>
      <w:szCs w:val="20"/>
      <w:lang w:eastAsia="en-GB"/>
    </w:rPr>
  </w:style>
  <w:style w:type="paragraph" w:customStyle="1" w:styleId="EQ">
    <w:name w:val="EQ"/>
    <w:basedOn w:val="Normal"/>
    <w:next w:val="Normal"/>
    <w:rsid w:val="00676952"/>
    <w:pPr>
      <w:keepLines/>
      <w:tabs>
        <w:tab w:val="center" w:pos="4536"/>
        <w:tab w:val="right" w:pos="9072"/>
      </w:tabs>
      <w:overflowPunct w:val="0"/>
      <w:autoSpaceDE w:val="0"/>
      <w:autoSpaceDN w:val="0"/>
      <w:adjustRightInd w:val="0"/>
      <w:spacing w:before="0" w:after="180"/>
    </w:pPr>
    <w:rPr>
      <w:rFonts w:eastAsia="Times New Roman"/>
      <w:noProof/>
      <w:sz w:val="20"/>
      <w:szCs w:val="20"/>
      <w:lang w:eastAsia="en-GB"/>
    </w:rPr>
  </w:style>
  <w:style w:type="paragraph" w:customStyle="1" w:styleId="EX">
    <w:name w:val="EX"/>
    <w:basedOn w:val="Normal"/>
    <w:rsid w:val="00676952"/>
    <w:pPr>
      <w:keepLines/>
      <w:overflowPunct w:val="0"/>
      <w:autoSpaceDE w:val="0"/>
      <w:autoSpaceDN w:val="0"/>
      <w:adjustRightInd w:val="0"/>
      <w:spacing w:before="0" w:after="180"/>
      <w:ind w:left="1702" w:hanging="1418"/>
    </w:pPr>
    <w:rPr>
      <w:rFonts w:eastAsia="Times New Roman"/>
      <w:sz w:val="20"/>
      <w:szCs w:val="20"/>
      <w:lang w:eastAsia="en-GB"/>
    </w:rPr>
  </w:style>
  <w:style w:type="paragraph" w:styleId="List">
    <w:name w:val="List"/>
    <w:basedOn w:val="Normal"/>
    <w:uiPriority w:val="99"/>
    <w:semiHidden/>
    <w:unhideWhenUsed/>
    <w:rsid w:val="00676952"/>
    <w:pPr>
      <w:ind w:left="283" w:hanging="283"/>
      <w:contextualSpacing/>
    </w:pPr>
  </w:style>
  <w:style w:type="paragraph" w:styleId="Header">
    <w:name w:val="header"/>
    <w:basedOn w:val="Normal"/>
    <w:link w:val="HeaderChar"/>
    <w:uiPriority w:val="99"/>
    <w:unhideWhenUsed/>
    <w:rsid w:val="00C473F0"/>
    <w:pPr>
      <w:tabs>
        <w:tab w:val="center" w:pos="4513"/>
        <w:tab w:val="right" w:pos="9026"/>
      </w:tabs>
      <w:spacing w:before="0"/>
    </w:pPr>
  </w:style>
  <w:style w:type="character" w:customStyle="1" w:styleId="HeaderChar">
    <w:name w:val="Header Char"/>
    <w:basedOn w:val="DefaultParagraphFont"/>
    <w:link w:val="Header"/>
    <w:uiPriority w:val="99"/>
    <w:rsid w:val="00C473F0"/>
    <w:rPr>
      <w:rFonts w:ascii="Times New Roman" w:eastAsiaTheme="minorEastAsia" w:hAnsi="Times New Roman" w:cs="Times New Roman"/>
      <w:sz w:val="24"/>
      <w:szCs w:val="24"/>
      <w:lang w:eastAsia="ja-JP"/>
    </w:rPr>
  </w:style>
  <w:style w:type="paragraph" w:styleId="Footer">
    <w:name w:val="footer"/>
    <w:basedOn w:val="Normal"/>
    <w:link w:val="FooterChar"/>
    <w:uiPriority w:val="99"/>
    <w:unhideWhenUsed/>
    <w:rsid w:val="00C473F0"/>
    <w:pPr>
      <w:tabs>
        <w:tab w:val="center" w:pos="4513"/>
        <w:tab w:val="right" w:pos="9026"/>
      </w:tabs>
      <w:spacing w:before="0"/>
    </w:pPr>
  </w:style>
  <w:style w:type="character" w:customStyle="1" w:styleId="FooterChar">
    <w:name w:val="Footer Char"/>
    <w:basedOn w:val="DefaultParagraphFont"/>
    <w:link w:val="Footer"/>
    <w:uiPriority w:val="99"/>
    <w:rsid w:val="00C473F0"/>
    <w:rPr>
      <w:rFonts w:ascii="Times New Roman" w:eastAsiaTheme="minorEastAsia" w:hAnsi="Times New Roman" w:cs="Times New Roman"/>
      <w:sz w:val="24"/>
      <w:szCs w:val="24"/>
      <w:lang w:eastAsia="ja-JP"/>
    </w:rPr>
  </w:style>
  <w:style w:type="paragraph" w:customStyle="1" w:styleId="Docnumber">
    <w:name w:val="Docnumber"/>
    <w:basedOn w:val="Normal"/>
    <w:link w:val="DocnumberChar"/>
    <w:qFormat/>
    <w:rsid w:val="00C473F0"/>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40"/>
      <w:szCs w:val="20"/>
      <w:lang w:eastAsia="en-US"/>
    </w:rPr>
  </w:style>
  <w:style w:type="character" w:customStyle="1" w:styleId="DocnumberChar">
    <w:name w:val="Docnumber Char"/>
    <w:basedOn w:val="DefaultParagraphFont"/>
    <w:link w:val="Docnumber"/>
    <w:rsid w:val="00C473F0"/>
    <w:rPr>
      <w:rFonts w:ascii="Times New Roman" w:eastAsia="Times New Roman" w:hAnsi="Times New Roman" w:cs="Times New Roman"/>
      <w:b/>
      <w:bCs/>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www.itu.int/ITU-T/recommendations/rec.aspx?rec=13383"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itu.int/rec/R-REC-TF.460-6-200202-I/e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rec/R-REC-TF.535-2-199802-I/en" TargetMode="Externa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4851ECBC0E8465CBD7B8636A6A29C2E"/>
        <w:category>
          <w:name w:val="General"/>
          <w:gallery w:val="placeholder"/>
        </w:category>
        <w:types>
          <w:type w:val="bbPlcHdr"/>
        </w:types>
        <w:behaviors>
          <w:behavior w:val="content"/>
        </w:behaviors>
        <w:guid w:val="{CFF6BE5B-4064-44F4-A93A-6B97D08A5B08}"/>
      </w:docPartPr>
      <w:docPartBody>
        <w:p w:rsidR="003A6777" w:rsidRDefault="00E02C2D" w:rsidP="00E02C2D">
          <w:pPr>
            <w:pStyle w:val="94851ECBC0E8465CBD7B8636A6A29C2E"/>
          </w:pPr>
          <w:r w:rsidRPr="001229A4">
            <w:rPr>
              <w:rStyle w:val="PlaceholderText"/>
            </w:rPr>
            <w:t>Click here to enter text.</w:t>
          </w:r>
        </w:p>
      </w:docPartBody>
    </w:docPart>
    <w:docPart>
      <w:docPartPr>
        <w:name w:val="DBB8D581E3C54DE2BFCFFF5E1B8A774C"/>
        <w:category>
          <w:name w:val="General"/>
          <w:gallery w:val="placeholder"/>
        </w:category>
        <w:types>
          <w:type w:val="bbPlcHdr"/>
        </w:types>
        <w:behaviors>
          <w:behavior w:val="content"/>
        </w:behaviors>
        <w:guid w:val="{49C9A654-183E-4E7A-B691-378926A1E197}"/>
      </w:docPartPr>
      <w:docPartBody>
        <w:p w:rsidR="003A6777" w:rsidRDefault="00E02C2D" w:rsidP="00E02C2D">
          <w:pPr>
            <w:pStyle w:val="DBB8D581E3C54DE2BFCFFF5E1B8A774C"/>
          </w:pPr>
          <w:r w:rsidRPr="001229A4">
            <w:rPr>
              <w:rStyle w:val="PlaceholderText"/>
            </w:rPr>
            <w:t>Click here to enter text.</w:t>
          </w:r>
        </w:p>
      </w:docPartBody>
    </w:docPart>
    <w:docPart>
      <w:docPartPr>
        <w:name w:val="1FE84DB79E19456BBCC92F715F9B5BE4"/>
        <w:category>
          <w:name w:val="General"/>
          <w:gallery w:val="placeholder"/>
        </w:category>
        <w:types>
          <w:type w:val="bbPlcHdr"/>
        </w:types>
        <w:behaviors>
          <w:behavior w:val="content"/>
        </w:behaviors>
        <w:guid w:val="{427D3B9C-2897-493D-A9D1-1B264B52D774}"/>
      </w:docPartPr>
      <w:docPartBody>
        <w:p w:rsidR="003A6777" w:rsidRDefault="00E02C2D" w:rsidP="00E02C2D">
          <w:pPr>
            <w:pStyle w:val="1FE84DB79E19456BBCC92F715F9B5BE4"/>
          </w:pPr>
          <w:r w:rsidRPr="001229A4">
            <w:rPr>
              <w:rStyle w:val="PlaceholderText"/>
            </w:rPr>
            <w:t>Click here to enter text.</w:t>
          </w:r>
        </w:p>
      </w:docPartBody>
    </w:docPart>
    <w:docPart>
      <w:docPartPr>
        <w:name w:val="87330108A3B047F29322119B665F8581"/>
        <w:category>
          <w:name w:val="General"/>
          <w:gallery w:val="placeholder"/>
        </w:category>
        <w:types>
          <w:type w:val="bbPlcHdr"/>
        </w:types>
        <w:behaviors>
          <w:behavior w:val="content"/>
        </w:behaviors>
        <w:guid w:val="{AE19DB71-9AD0-43BD-AC51-1DDBA970EF8E}"/>
      </w:docPartPr>
      <w:docPartBody>
        <w:p w:rsidR="003A6777" w:rsidRDefault="00E02C2D" w:rsidP="00E02C2D">
          <w:pPr>
            <w:pStyle w:val="87330108A3B047F29322119B665F8581"/>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C2D"/>
    <w:rsid w:val="003A6777"/>
    <w:rsid w:val="007B3132"/>
    <w:rsid w:val="00E02C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2C2D"/>
    <w:rPr>
      <w:rFonts w:ascii="Times New Roman" w:hAnsi="Times New Roman"/>
      <w:color w:val="808080"/>
    </w:rPr>
  </w:style>
  <w:style w:type="paragraph" w:customStyle="1" w:styleId="7C43C89812A5490B94B084E972FAA164">
    <w:name w:val="7C43C89812A5490B94B084E972FAA164"/>
    <w:rsid w:val="00E02C2D"/>
  </w:style>
  <w:style w:type="paragraph" w:customStyle="1" w:styleId="F9272386990D4084B59D952A5ACF71B6">
    <w:name w:val="F9272386990D4084B59D952A5ACF71B6"/>
    <w:rsid w:val="00E02C2D"/>
  </w:style>
  <w:style w:type="paragraph" w:customStyle="1" w:styleId="94851ECBC0E8465CBD7B8636A6A29C2E">
    <w:name w:val="94851ECBC0E8465CBD7B8636A6A29C2E"/>
    <w:rsid w:val="00E02C2D"/>
  </w:style>
  <w:style w:type="paragraph" w:customStyle="1" w:styleId="DBB8D581E3C54DE2BFCFFF5E1B8A774C">
    <w:name w:val="DBB8D581E3C54DE2BFCFFF5E1B8A774C"/>
    <w:rsid w:val="00E02C2D"/>
  </w:style>
  <w:style w:type="paragraph" w:customStyle="1" w:styleId="1FE84DB79E19456BBCC92F715F9B5BE4">
    <w:name w:val="1FE84DB79E19456BBCC92F715F9B5BE4"/>
    <w:rsid w:val="00E02C2D"/>
  </w:style>
  <w:style w:type="paragraph" w:customStyle="1" w:styleId="87330108A3B047F29322119B665F8581">
    <w:name w:val="87330108A3B047F29322119B665F8581"/>
    <w:rsid w:val="00E02C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Inter-operator TDD operation</dc:title>
  <dc:subject/>
  <dc:creator>ITU-T SG 15</dc:creator>
  <cp:keywords/>
  <dc:description>SG15-LS204  For: Geneva, 1-12 July 2019_x000d_Document date: _x000d_Saved by ITU51013862 at 11:02:55 on 16/07/2019</dc:description>
  <cp:lastModifiedBy>MCC</cp:lastModifiedBy>
  <cp:revision>6</cp:revision>
  <dcterms:created xsi:type="dcterms:W3CDTF">2019-07-15T14:42:00Z</dcterms:created>
  <dcterms:modified xsi:type="dcterms:W3CDTF">2019-08-05T17:07:00Z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SG15-LS204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Geneva, 1-12 July 2019</vt:lpwstr>
  </property>
  <property fmtid="{D5CDD505-2E9C-101B-9397-08002B2CF9AE}" pid="7" name="Docauthor">
    <vt:lpwstr>ITU-T SG 15</vt:lpwstr>
  </property>
</Properties>
</file>