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77FF6" w14:textId="1F9FAFF1" w:rsidR="003A031B" w:rsidRPr="00E61854" w:rsidRDefault="003A031B" w:rsidP="003A031B">
      <w:pPr>
        <w:widowControl w:val="0"/>
        <w:tabs>
          <w:tab w:val="right" w:pos="9639"/>
          <w:tab w:val="right" w:pos="13323"/>
        </w:tabs>
        <w:spacing w:after="0"/>
        <w:jc w:val="both"/>
        <w:rPr>
          <w:rFonts w:ascii="Arial" w:hAnsi="Arial" w:cs="Arial"/>
          <w:b/>
          <w:noProof/>
          <w:sz w:val="24"/>
          <w:szCs w:val="24"/>
          <w:lang w:val="en-US" w:eastAsia="ja-JP"/>
        </w:rPr>
      </w:pPr>
      <w:r>
        <w:rPr>
          <w:rFonts w:ascii="Arial" w:hAnsi="Arial" w:cs="Arial"/>
          <w:b/>
          <w:noProof/>
          <w:sz w:val="24"/>
          <w:szCs w:val="24"/>
          <w:lang w:val="en-US"/>
        </w:rPr>
        <w:t>3GPP TSG-RAN WG</w:t>
      </w:r>
      <w:bookmarkStart w:id="0" w:name="_GoBack"/>
      <w:bookmarkEnd w:id="0"/>
      <w:r>
        <w:rPr>
          <w:rFonts w:ascii="Arial" w:hAnsi="Arial" w:cs="Arial"/>
          <w:b/>
          <w:noProof/>
          <w:sz w:val="24"/>
          <w:szCs w:val="24"/>
          <w:lang w:val="en-US"/>
        </w:rPr>
        <w:t xml:space="preserve">4 RAN4#91 </w:t>
      </w:r>
      <w:r w:rsidRPr="004B7E17">
        <w:rPr>
          <w:rFonts w:ascii="Arial" w:hAnsi="Arial" w:cs="Arial"/>
          <w:b/>
          <w:noProof/>
          <w:sz w:val="24"/>
          <w:szCs w:val="24"/>
          <w:lang w:val="en-US"/>
        </w:rPr>
        <w:tab/>
      </w:r>
      <w:r w:rsidR="00D47FCF" w:rsidRPr="00D47FCF">
        <w:rPr>
          <w:rFonts w:ascii="Arial" w:hAnsi="Arial" w:cs="Arial"/>
          <w:b/>
          <w:bCs/>
          <w:sz w:val="26"/>
          <w:szCs w:val="26"/>
        </w:rPr>
        <w:t>R4-1907186</w:t>
      </w:r>
    </w:p>
    <w:p w14:paraId="468500FB" w14:textId="77777777" w:rsidR="003A031B" w:rsidRDefault="003A031B" w:rsidP="003A031B">
      <w:pPr>
        <w:pStyle w:val="Footer"/>
        <w:jc w:val="both"/>
        <w:rPr>
          <w:i w:val="0"/>
          <w:noProof w:val="0"/>
          <w:sz w:val="24"/>
          <w:szCs w:val="24"/>
          <w:lang w:eastAsia="ja-JP"/>
        </w:rPr>
      </w:pPr>
      <w:r>
        <w:rPr>
          <w:rFonts w:eastAsia="SimSun"/>
          <w:i w:val="0"/>
          <w:noProof w:val="0"/>
          <w:sz w:val="24"/>
          <w:szCs w:val="24"/>
          <w:lang w:eastAsia="zh-CN"/>
        </w:rPr>
        <w:t>Reno, Nevada, May 13</w:t>
      </w:r>
      <w:r w:rsidRPr="00717A9D">
        <w:rPr>
          <w:rFonts w:eastAsia="SimSun"/>
          <w:i w:val="0"/>
          <w:noProof w:val="0"/>
          <w:sz w:val="24"/>
          <w:szCs w:val="24"/>
          <w:vertAlign w:val="superscript"/>
          <w:lang w:eastAsia="zh-CN"/>
        </w:rPr>
        <w:t>th</w:t>
      </w:r>
      <w:r>
        <w:rPr>
          <w:rFonts w:eastAsia="SimSun"/>
          <w:i w:val="0"/>
          <w:noProof w:val="0"/>
          <w:sz w:val="24"/>
          <w:szCs w:val="24"/>
          <w:lang w:eastAsia="zh-CN"/>
        </w:rPr>
        <w:t xml:space="preserve"> – 17</w:t>
      </w:r>
      <w:r w:rsidRPr="00CB35B3">
        <w:rPr>
          <w:rFonts w:eastAsia="SimSun"/>
          <w:i w:val="0"/>
          <w:noProof w:val="0"/>
          <w:sz w:val="24"/>
          <w:szCs w:val="24"/>
          <w:vertAlign w:val="superscript"/>
          <w:lang w:eastAsia="zh-CN"/>
        </w:rPr>
        <w:t>th</w:t>
      </w:r>
      <w:r w:rsidRPr="004B7E17">
        <w:rPr>
          <w:i w:val="0"/>
          <w:noProof w:val="0"/>
          <w:sz w:val="24"/>
          <w:szCs w:val="24"/>
          <w:lang w:eastAsia="ja-JP"/>
        </w:rPr>
        <w:t>,</w:t>
      </w:r>
      <w:r>
        <w:rPr>
          <w:i w:val="0"/>
          <w:noProof w:val="0"/>
          <w:sz w:val="24"/>
          <w:szCs w:val="24"/>
          <w:lang w:eastAsia="ja-JP"/>
        </w:rPr>
        <w:t xml:space="preserve"> </w:t>
      </w:r>
      <w:r w:rsidRPr="004B7E17">
        <w:rPr>
          <w:i w:val="0"/>
          <w:noProof w:val="0"/>
          <w:sz w:val="24"/>
          <w:szCs w:val="24"/>
          <w:lang w:eastAsia="ja-JP"/>
        </w:rPr>
        <w:t>201</w:t>
      </w:r>
      <w:r>
        <w:rPr>
          <w:i w:val="0"/>
          <w:noProof w:val="0"/>
          <w:sz w:val="24"/>
          <w:szCs w:val="24"/>
          <w:lang w:eastAsia="ja-JP"/>
        </w:rPr>
        <w:t>9</w:t>
      </w:r>
    </w:p>
    <w:p w14:paraId="7783821C" w14:textId="77777777" w:rsidR="003A031B" w:rsidRPr="00FB0094" w:rsidRDefault="003A031B" w:rsidP="003A031B">
      <w:pPr>
        <w:pStyle w:val="Footer"/>
        <w:jc w:val="both"/>
        <w:rPr>
          <w:noProof w:val="0"/>
        </w:rPr>
      </w:pPr>
    </w:p>
    <w:p w14:paraId="0B235FB7" w14:textId="46BDBF25" w:rsidR="003A031B" w:rsidRPr="000A64D8" w:rsidRDefault="003A031B" w:rsidP="003A031B">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Pr>
          <w:rFonts w:ascii="Arial" w:hAnsi="Arial"/>
          <w:sz w:val="24"/>
        </w:rPr>
        <w:t>8.5.</w:t>
      </w:r>
      <w:r w:rsidR="00AA2558">
        <w:rPr>
          <w:rFonts w:ascii="Arial" w:hAnsi="Arial"/>
          <w:sz w:val="24"/>
        </w:rPr>
        <w:t>4</w:t>
      </w:r>
    </w:p>
    <w:p w14:paraId="671BA68D" w14:textId="77777777" w:rsidR="003A031B" w:rsidRPr="000A64D8" w:rsidRDefault="003A031B" w:rsidP="003A031B">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2AD15C78" w14:textId="060449B6" w:rsidR="003A031B" w:rsidRPr="000A64D8" w:rsidRDefault="003A031B" w:rsidP="003A031B">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E1955">
        <w:rPr>
          <w:rFonts w:ascii="Arial" w:hAnsi="Arial"/>
          <w:sz w:val="22"/>
        </w:rPr>
        <w:t xml:space="preserve">Transmission and Measurement of </w:t>
      </w:r>
      <w:r w:rsidR="00F25247">
        <w:rPr>
          <w:rFonts w:ascii="Arial" w:hAnsi="Arial"/>
          <w:sz w:val="22"/>
        </w:rPr>
        <w:t>Synchronization Signals</w:t>
      </w:r>
      <w:r w:rsidR="003E1955">
        <w:rPr>
          <w:rFonts w:ascii="Arial" w:hAnsi="Arial"/>
          <w:sz w:val="22"/>
        </w:rPr>
        <w:t xml:space="preserve"> in IAB Networks</w:t>
      </w:r>
    </w:p>
    <w:p w14:paraId="3CD53AFD" w14:textId="25E5568F" w:rsidR="003A031B" w:rsidRDefault="003A031B" w:rsidP="003A031B">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E019BF">
        <w:rPr>
          <w:rFonts w:ascii="Arial" w:hAnsi="Arial"/>
          <w:sz w:val="24"/>
          <w:lang w:val="en-US"/>
        </w:rPr>
        <w:t>Discussion</w:t>
      </w:r>
    </w:p>
    <w:p w14:paraId="5B44DC1E" w14:textId="77777777" w:rsidR="003A031B" w:rsidRDefault="003A031B" w:rsidP="003A031B">
      <w:pPr>
        <w:pStyle w:val="Heading1"/>
        <w:tabs>
          <w:tab w:val="clear" w:pos="432"/>
          <w:tab w:val="num" w:pos="522"/>
        </w:tabs>
        <w:ind w:left="522" w:hanging="522"/>
        <w:rPr>
          <w:lang w:val="en-US"/>
        </w:rPr>
      </w:pPr>
      <w:r>
        <w:rPr>
          <w:lang w:val="en-US"/>
        </w:rPr>
        <w:t>Introduction</w:t>
      </w:r>
    </w:p>
    <w:p w14:paraId="7BBD4D6D" w14:textId="72D91564" w:rsidR="003A031B" w:rsidRPr="0028692E" w:rsidRDefault="003A031B" w:rsidP="003A031B">
      <w:pPr>
        <w:rPr>
          <w:lang w:val="en-US"/>
        </w:rPr>
      </w:pPr>
      <w:r>
        <w:rPr>
          <w:lang w:val="en-US"/>
        </w:rPr>
        <w:t xml:space="preserve">This article focuses on the </w:t>
      </w:r>
      <w:r w:rsidR="00592C62">
        <w:rPr>
          <w:lang w:val="en-US"/>
        </w:rPr>
        <w:t>transmission and measurement of Synchronization signals in IAB networks.</w:t>
      </w:r>
    </w:p>
    <w:p w14:paraId="626F226D" w14:textId="77777777" w:rsidR="003A031B" w:rsidRDefault="003A031B" w:rsidP="003A031B">
      <w:pPr>
        <w:pStyle w:val="Heading1"/>
      </w:pPr>
      <w:r>
        <w:t>Discussion</w:t>
      </w:r>
    </w:p>
    <w:p w14:paraId="15C1B27A" w14:textId="0E570435" w:rsidR="00E93AE5" w:rsidRDefault="006251BF" w:rsidP="003A031B">
      <w:r>
        <w:t xml:space="preserve">An IAB </w:t>
      </w:r>
      <w:r w:rsidR="00E93AE5">
        <w:t xml:space="preserve">network can consist of many IAB nodes. Each IAB node will have a mobile-termination (MT) and </w:t>
      </w:r>
      <w:proofErr w:type="spellStart"/>
      <w:r w:rsidR="00E93AE5">
        <w:t>gNB</w:t>
      </w:r>
      <w:proofErr w:type="spellEnd"/>
      <w:r w:rsidR="00E93AE5">
        <w:t>-DU functionality</w:t>
      </w:r>
      <w:r w:rsidR="00653AA5">
        <w:t xml:space="preserve"> [1]</w:t>
      </w:r>
      <w:r w:rsidR="00E93AE5">
        <w:t xml:space="preserve">. The MT part of an IAB node acts as the child of a parent node. The DU part provides </w:t>
      </w:r>
      <w:proofErr w:type="spellStart"/>
      <w:r w:rsidR="00E93AE5">
        <w:t>gNB</w:t>
      </w:r>
      <w:proofErr w:type="spellEnd"/>
      <w:r w:rsidR="00E93AE5">
        <w:t xml:space="preserve"> functionality to children nodes. Figure 1 shows an example of IAB network. Both IAB node 2 and IAB node 3 are children of IAB node 1. The MTs of these two IAB nodes receive data from the DU of IAB node 1. UE node 1 and UE node 2 are children of IAB node 2 and IAB node 3 respectively. The dotted line between IAB node 2 and IAB node 3 means that the link between IAB node 2 and 3 is good; and IAB node 2 might be able to act as a parent of IAB node 3.</w:t>
      </w:r>
    </w:p>
    <w:p w14:paraId="5C889F50" w14:textId="075DBF87" w:rsidR="003A031B" w:rsidRDefault="00E93AE5" w:rsidP="00E93AE5">
      <w:pPr>
        <w:jc w:val="center"/>
      </w:pPr>
      <w:r>
        <w:rPr>
          <w:noProof/>
        </w:rPr>
        <w:drawing>
          <wp:inline distT="0" distB="0" distL="0" distR="0" wp14:anchorId="32894861" wp14:editId="3E578D2A">
            <wp:extent cx="2352675" cy="2948931"/>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B chain.png"/>
                    <pic:cNvPicPr/>
                  </pic:nvPicPr>
                  <pic:blipFill>
                    <a:blip r:embed="rId7">
                      <a:extLst>
                        <a:ext uri="{28A0092B-C50C-407E-A947-70E740481C1C}">
                          <a14:useLocalDpi xmlns:a14="http://schemas.microsoft.com/office/drawing/2010/main" val="0"/>
                        </a:ext>
                      </a:extLst>
                    </a:blip>
                    <a:stretch>
                      <a:fillRect/>
                    </a:stretch>
                  </pic:blipFill>
                  <pic:spPr>
                    <a:xfrm>
                      <a:off x="0" y="0"/>
                      <a:ext cx="2365856" cy="2965453"/>
                    </a:xfrm>
                    <a:prstGeom prst="rect">
                      <a:avLst/>
                    </a:prstGeom>
                  </pic:spPr>
                </pic:pic>
              </a:graphicData>
            </a:graphic>
          </wp:inline>
        </w:drawing>
      </w:r>
    </w:p>
    <w:p w14:paraId="02685E47" w14:textId="466E3CE7" w:rsidR="00E93AE5" w:rsidRDefault="00E93AE5" w:rsidP="00E93AE5">
      <w:pPr>
        <w:jc w:val="center"/>
        <w:rPr>
          <w:b/>
        </w:rPr>
      </w:pPr>
      <w:r w:rsidRPr="00E93AE5">
        <w:rPr>
          <w:b/>
          <w:u w:val="single"/>
        </w:rPr>
        <w:t>Figure 1:</w:t>
      </w:r>
      <w:r w:rsidRPr="00E93AE5">
        <w:rPr>
          <w:b/>
        </w:rPr>
        <w:t xml:space="preserve"> An IAB network </w:t>
      </w:r>
    </w:p>
    <w:p w14:paraId="0E233A9E" w14:textId="57C2342E" w:rsidR="00653AA5" w:rsidRPr="00653AA5" w:rsidRDefault="00653AA5" w:rsidP="00653AA5">
      <w:r w:rsidRPr="00653AA5">
        <w:t>Different IAB nodes of an IAB network can be designed by different infra vendors. Inter-operability among different IAB nodes is significant to guarantee the performance of an IAB network.</w:t>
      </w:r>
    </w:p>
    <w:p w14:paraId="7D5E068F" w14:textId="49C3F004" w:rsidR="00653AA5" w:rsidRDefault="00653AA5" w:rsidP="00653AA5">
      <w:pPr>
        <w:rPr>
          <w:b/>
        </w:rPr>
      </w:pPr>
      <w:r>
        <w:rPr>
          <w:b/>
        </w:rPr>
        <w:t xml:space="preserve">Observation 1: </w:t>
      </w:r>
      <w:r w:rsidR="002A7BC0">
        <w:rPr>
          <w:b/>
        </w:rPr>
        <w:t>Ensuring i</w:t>
      </w:r>
      <w:r>
        <w:rPr>
          <w:b/>
        </w:rPr>
        <w:t xml:space="preserve">nter-operability among different IAB nodes is </w:t>
      </w:r>
      <w:r w:rsidR="002A7BC0">
        <w:rPr>
          <w:b/>
        </w:rPr>
        <w:t>very important</w:t>
      </w:r>
      <w:r>
        <w:rPr>
          <w:b/>
        </w:rPr>
        <w:t xml:space="preserve"> to guarantee the performance of an IAB network.</w:t>
      </w:r>
    </w:p>
    <w:p w14:paraId="5058AA0B" w14:textId="185DF996" w:rsidR="00653AA5" w:rsidRPr="00E93AE5" w:rsidRDefault="00653AA5" w:rsidP="00653AA5">
      <w:pPr>
        <w:rPr>
          <w:b/>
        </w:rPr>
      </w:pPr>
    </w:p>
    <w:p w14:paraId="7E976586" w14:textId="0A00305F" w:rsidR="000F0863" w:rsidRDefault="00C12329">
      <w:pPr>
        <w:pStyle w:val="Heading2"/>
      </w:pPr>
      <w:r>
        <w:t>Transmission of discovery signals by IAB DU</w:t>
      </w:r>
    </w:p>
    <w:p w14:paraId="4D5F2555" w14:textId="48B57D69" w:rsidR="00653AA5" w:rsidRDefault="00653AA5" w:rsidP="00C12329">
      <w:r>
        <w:t xml:space="preserve">In RAN4 RRM spec [3], requirements have been mostly designed for the UE. Both MT and DU need to operate properly to ensure the functionality of an IAB network. </w:t>
      </w:r>
    </w:p>
    <w:p w14:paraId="1C8ADFCB" w14:textId="4BD2DF65" w:rsidR="002A7BC0" w:rsidRDefault="00C12329" w:rsidP="002A7BC0">
      <w:r>
        <w:lastRenderedPageBreak/>
        <w:t>RAN1 made the following agreement</w:t>
      </w:r>
      <w:r w:rsidR="00653AA5">
        <w:t xml:space="preserve"> in the last meeting [2]. </w:t>
      </w:r>
    </w:p>
    <w:tbl>
      <w:tblPr>
        <w:tblStyle w:val="TableGrid"/>
        <w:tblW w:w="0" w:type="auto"/>
        <w:tblLook w:val="04A0" w:firstRow="1" w:lastRow="0" w:firstColumn="1" w:lastColumn="0" w:noHBand="0" w:noVBand="1"/>
      </w:tblPr>
      <w:tblGrid>
        <w:gridCol w:w="9350"/>
      </w:tblGrid>
      <w:tr w:rsidR="002A7BC0" w:rsidRPr="00CC1587" w14:paraId="31E57C00" w14:textId="77777777" w:rsidTr="00C01A2C">
        <w:tc>
          <w:tcPr>
            <w:tcW w:w="9350" w:type="dxa"/>
          </w:tcPr>
          <w:p w14:paraId="16B82CF0" w14:textId="77777777" w:rsidR="002A7BC0" w:rsidRDefault="002A7BC0" w:rsidP="00C01A2C">
            <w:pPr>
              <w:rPr>
                <w:lang w:eastAsia="x-none"/>
              </w:rPr>
            </w:pPr>
            <w:r w:rsidRPr="006370D7">
              <w:rPr>
                <w:highlight w:val="green"/>
                <w:lang w:eastAsia="x-none"/>
              </w:rPr>
              <w:t>Agreement:</w:t>
            </w:r>
          </w:p>
          <w:p w14:paraId="32A0C3E3" w14:textId="77777777" w:rsidR="002A7BC0" w:rsidRPr="00C12329" w:rsidRDefault="002A7BC0" w:rsidP="00C01A2C">
            <w:pPr>
              <w:rPr>
                <w:i/>
                <w:lang w:eastAsia="zh-CN"/>
              </w:rPr>
            </w:pPr>
            <w:r w:rsidRPr="00C12329">
              <w:rPr>
                <w:i/>
                <w:lang w:eastAsia="zh-CN"/>
              </w:rPr>
              <w:t>For IAB node discovery and measurements, an IAB node DU can be configured with zero, one or multiple STCs.</w:t>
            </w:r>
          </w:p>
          <w:p w14:paraId="5C87A6FE" w14:textId="77777777" w:rsidR="002A7BC0" w:rsidRPr="00C12329" w:rsidRDefault="002A7BC0" w:rsidP="00C01A2C">
            <w:pPr>
              <w:pStyle w:val="ListParagraph"/>
              <w:numPr>
                <w:ilvl w:val="0"/>
                <w:numId w:val="8"/>
              </w:numPr>
              <w:autoSpaceDE w:val="0"/>
              <w:autoSpaceDN w:val="0"/>
              <w:adjustRightInd w:val="0"/>
              <w:snapToGrid w:val="0"/>
              <w:spacing w:after="120"/>
              <w:ind w:leftChars="0"/>
              <w:jc w:val="both"/>
              <w:rPr>
                <w:i/>
                <w:lang w:eastAsia="zh-CN"/>
              </w:rPr>
            </w:pPr>
            <w:r w:rsidRPr="00C12329">
              <w:rPr>
                <w:i/>
                <w:lang w:eastAsia="zh-CN"/>
              </w:rPr>
              <w:t>FFS the maximum number of STCs</w:t>
            </w:r>
          </w:p>
          <w:p w14:paraId="5B1E3BB5" w14:textId="77777777" w:rsidR="002A7BC0" w:rsidRPr="00653AA5" w:rsidRDefault="002A7BC0" w:rsidP="00C01A2C">
            <w:pPr>
              <w:pStyle w:val="ListParagraph"/>
              <w:numPr>
                <w:ilvl w:val="0"/>
                <w:numId w:val="8"/>
              </w:numPr>
              <w:autoSpaceDE w:val="0"/>
              <w:autoSpaceDN w:val="0"/>
              <w:adjustRightInd w:val="0"/>
              <w:snapToGrid w:val="0"/>
              <w:spacing w:after="120"/>
              <w:ind w:leftChars="0"/>
              <w:jc w:val="both"/>
              <w:rPr>
                <w:i/>
                <w:lang w:eastAsia="zh-CN"/>
              </w:rPr>
            </w:pPr>
            <w:r w:rsidRPr="00C12329">
              <w:rPr>
                <w:i/>
                <w:lang w:eastAsia="zh-CN"/>
              </w:rPr>
              <w:t>FFS the dependency of multiple STCs</w:t>
            </w:r>
          </w:p>
        </w:tc>
      </w:tr>
    </w:tbl>
    <w:p w14:paraId="599AA3CD" w14:textId="77777777" w:rsidR="002A7BC0" w:rsidRDefault="002A7BC0" w:rsidP="002A7BC0"/>
    <w:p w14:paraId="6281A2B2" w14:textId="174FA547" w:rsidR="007C68AF" w:rsidRDefault="00653AA5" w:rsidP="002A7BC0">
      <w:r>
        <w:t>Th</w:t>
      </w:r>
      <w:r w:rsidR="002A7BC0">
        <w:t>e above</w:t>
      </w:r>
      <w:r>
        <w:t xml:space="preserve"> </w:t>
      </w:r>
      <w:r w:rsidR="001F2B9F">
        <w:t>agreement allows the network to configure an IAB DU with multiple SS block timing configurations (STCs). The IAB node DU needs to transmit synchronization signals during STCs properly so that the MTs of other IAB nodes can discover this IAB node. For example, IAB node 3 is connected to IAB node 1 in figure 1. However, since IAB node 3 seems to have better link gain with IAB node 2, IAB node 3 may discover IAB node 2 if these IAB nodes transmit and receive SS blocks based on the configured STC locations.</w:t>
      </w:r>
      <w:r w:rsidR="002A7BC0">
        <w:t xml:space="preserve"> </w:t>
      </w:r>
    </w:p>
    <w:p w14:paraId="069658B9" w14:textId="74071C4C" w:rsidR="00653AA5" w:rsidRPr="002A7BC0" w:rsidRDefault="001F2B9F" w:rsidP="00C12329">
      <w:pPr>
        <w:rPr>
          <w:b/>
        </w:rPr>
      </w:pPr>
      <w:r w:rsidRPr="002A7BC0">
        <w:rPr>
          <w:b/>
        </w:rPr>
        <w:t>Observation 2: RAN1 is allowing network to configure an IAB node with multiple STC configurations.</w:t>
      </w:r>
    </w:p>
    <w:p w14:paraId="4FD59787" w14:textId="5CD82CBB" w:rsidR="001F2B9F" w:rsidRDefault="001F2B9F" w:rsidP="00C12329">
      <w:r>
        <w:t>Apart from SS block transmissions, RAN1 has also defined different signalling schemes, e.g. resource colouring, additional TA command, etc. that are only applicable for the DU of an IAB node. IAB DU needs to follow these configurations properly to guarantee performance of the IAB network.</w:t>
      </w:r>
    </w:p>
    <w:p w14:paraId="4BE4CB8A" w14:textId="00761BD9" w:rsidR="00C12329" w:rsidRPr="00AA23B9" w:rsidRDefault="00AA23B9" w:rsidP="00C12329">
      <w:pPr>
        <w:rPr>
          <w:b/>
        </w:rPr>
      </w:pPr>
      <w:r w:rsidRPr="00AA23B9">
        <w:rPr>
          <w:b/>
        </w:rPr>
        <w:t>Proposal 1: RAN4 discusses if requirements for IAB DUs need to be captured in RRM specs.</w:t>
      </w:r>
    </w:p>
    <w:p w14:paraId="0054B99A" w14:textId="2D8E94DE" w:rsidR="003A031B" w:rsidRDefault="003A031B" w:rsidP="003A031B">
      <w:pPr>
        <w:pStyle w:val="Heading2"/>
      </w:pPr>
      <w:r>
        <w:t xml:space="preserve">Measurement </w:t>
      </w:r>
      <w:r w:rsidR="00AA23B9">
        <w:t xml:space="preserve">of discovery signals </w:t>
      </w:r>
      <w:r>
        <w:t>in IAB Networks</w:t>
      </w:r>
    </w:p>
    <w:p w14:paraId="6E92ABDC" w14:textId="7016505B" w:rsidR="00AA23B9" w:rsidRDefault="00AA23B9" w:rsidP="003A031B">
      <w:r>
        <w:t xml:space="preserve">In Rel-15, a UE can be configured with only up to two SMTC windows in intra-frequency carriers and one SMTC window in inter-frequency. The maximum periodicity of an STC node can be 160 </w:t>
      </w:r>
      <w:proofErr w:type="spellStart"/>
      <w:r>
        <w:t>ms</w:t>
      </w:r>
      <w:proofErr w:type="spellEnd"/>
      <w:r>
        <w:t>.</w:t>
      </w:r>
    </w:p>
    <w:p w14:paraId="2315A062" w14:textId="5E10209B" w:rsidR="00AA23B9" w:rsidRDefault="00AA23B9" w:rsidP="003A031B">
      <w:r>
        <w:t>Different parts of 38.133 [3] have been written based on above assumptions. Some texts from 38.133 are given below:</w:t>
      </w:r>
    </w:p>
    <w:p w14:paraId="0E6880AA" w14:textId="05587735" w:rsidR="00AA23B9" w:rsidRPr="00AA23B9" w:rsidRDefault="00AA23B9" w:rsidP="00AA23B9">
      <w:pPr>
        <w:rPr>
          <w:i/>
        </w:rPr>
      </w:pPr>
      <w:r w:rsidRPr="00AA23B9">
        <w:rPr>
          <w:i/>
        </w:rPr>
        <w:t xml:space="preserve">“If the UE has been provided with higher layer in TS 38.331 [2] </w:t>
      </w:r>
      <w:proofErr w:type="spellStart"/>
      <w:r w:rsidRPr="00AA23B9">
        <w:rPr>
          <w:i/>
        </w:rPr>
        <w:t>signaling</w:t>
      </w:r>
      <w:proofErr w:type="spellEnd"/>
      <w:r w:rsidRPr="00AA23B9">
        <w:rPr>
          <w:i/>
        </w:rPr>
        <w:t xml:space="preserve"> of smtc2</w:t>
      </w:r>
      <w:r w:rsidRPr="00AA23B9">
        <w:rPr>
          <w:b/>
          <w:i/>
        </w:rPr>
        <w:t xml:space="preserve"> </w:t>
      </w:r>
      <w:r w:rsidRPr="00AA23B9">
        <w:rPr>
          <w:i/>
        </w:rPr>
        <w:t xml:space="preserve">prior to the handover command, </w:t>
      </w:r>
      <w:proofErr w:type="spellStart"/>
      <w:r w:rsidRPr="00AA23B9">
        <w:rPr>
          <w:i/>
        </w:rPr>
        <w:t>T</w:t>
      </w:r>
      <w:r w:rsidRPr="00AA23B9">
        <w:rPr>
          <w:i/>
          <w:vertAlign w:val="subscript"/>
        </w:rPr>
        <w:t>rs</w:t>
      </w:r>
      <w:proofErr w:type="spellEnd"/>
      <w:r w:rsidRPr="00AA23B9">
        <w:rPr>
          <w:i/>
        </w:rPr>
        <w:t xml:space="preserve"> follows smtc1 or smtc2 according to the physical cell ID of the target cell.” </w:t>
      </w:r>
    </w:p>
    <w:p w14:paraId="17293FC0" w14:textId="0AC010FD" w:rsidR="00AA23B9" w:rsidRPr="00AA23B9" w:rsidRDefault="00AA23B9" w:rsidP="00AA23B9">
      <w:pPr>
        <w:rPr>
          <w:rFonts w:eastAsia="SimSun"/>
          <w:i/>
        </w:rPr>
      </w:pPr>
      <w:r w:rsidRPr="00AA23B9">
        <w:rPr>
          <w:i/>
        </w:rPr>
        <w:t xml:space="preserve">“If the </w:t>
      </w:r>
      <w:proofErr w:type="spellStart"/>
      <w:r w:rsidRPr="00AA23B9">
        <w:rPr>
          <w:i/>
        </w:rPr>
        <w:t>SCell</w:t>
      </w:r>
      <w:proofErr w:type="spellEnd"/>
      <w:r w:rsidRPr="00AA23B9">
        <w:rPr>
          <w:i/>
        </w:rPr>
        <w:t xml:space="preserve"> is known and belongs to FR1, </w:t>
      </w:r>
      <w:proofErr w:type="spellStart"/>
      <w:r w:rsidRPr="00AA23B9">
        <w:rPr>
          <w:i/>
        </w:rPr>
        <w:t>T</w:t>
      </w:r>
      <w:r w:rsidRPr="00AA23B9">
        <w:rPr>
          <w:i/>
          <w:vertAlign w:val="subscript"/>
        </w:rPr>
        <w:t>activation_time</w:t>
      </w:r>
      <w:proofErr w:type="spellEnd"/>
      <w:r w:rsidRPr="00AA23B9">
        <w:rPr>
          <w:i/>
        </w:rPr>
        <w:t xml:space="preserve"> is:</w:t>
      </w:r>
    </w:p>
    <w:p w14:paraId="247F68AA" w14:textId="77777777" w:rsidR="00AA23B9" w:rsidRPr="00AA23B9" w:rsidRDefault="00AA23B9" w:rsidP="00AA23B9">
      <w:pPr>
        <w:pStyle w:val="B3"/>
        <w:ind w:left="1386"/>
        <w:rPr>
          <w:i/>
        </w:rPr>
      </w:pPr>
      <w:r w:rsidRPr="00AA23B9">
        <w:rPr>
          <w:i/>
        </w:rPr>
        <w:t>-</w:t>
      </w:r>
      <w:r w:rsidRPr="00AA23B9">
        <w:rPr>
          <w:i/>
        </w:rPr>
        <w:tab/>
        <w:t>[</w:t>
      </w:r>
      <w:proofErr w:type="spellStart"/>
      <w:r w:rsidRPr="00AA23B9">
        <w:rPr>
          <w:i/>
        </w:rPr>
        <w:t>T</w:t>
      </w:r>
      <w:r w:rsidRPr="00AA23B9">
        <w:rPr>
          <w:i/>
          <w:vertAlign w:val="subscript"/>
        </w:rPr>
        <w:t>SMTC_SCell</w:t>
      </w:r>
      <w:proofErr w:type="spellEnd"/>
      <w:r w:rsidRPr="00AA23B9">
        <w:rPr>
          <w:i/>
        </w:rPr>
        <w:t xml:space="preserve"> + 5ms], if the </w:t>
      </w:r>
      <w:proofErr w:type="spellStart"/>
      <w:r w:rsidRPr="00AA23B9">
        <w:rPr>
          <w:i/>
        </w:rPr>
        <w:t>SCell</w:t>
      </w:r>
      <w:proofErr w:type="spellEnd"/>
      <w:r w:rsidRPr="00AA23B9">
        <w:rPr>
          <w:i/>
        </w:rPr>
        <w:t xml:space="preserve"> measurement cycle is equal to or smaller than [160ms].</w:t>
      </w:r>
    </w:p>
    <w:p w14:paraId="46DF1946" w14:textId="77777777" w:rsidR="00AA23B9" w:rsidRPr="00AA23B9" w:rsidRDefault="00AA23B9" w:rsidP="00AA23B9">
      <w:pPr>
        <w:pStyle w:val="B3"/>
        <w:ind w:left="1386"/>
        <w:rPr>
          <w:i/>
        </w:rPr>
      </w:pPr>
      <w:r w:rsidRPr="00AA23B9">
        <w:rPr>
          <w:i/>
        </w:rPr>
        <w:t>-</w:t>
      </w:r>
      <w:r w:rsidRPr="00AA23B9">
        <w:rPr>
          <w:i/>
        </w:rPr>
        <w:tab/>
        <w:t>[T</w:t>
      </w:r>
      <w:r w:rsidRPr="00AA23B9">
        <w:rPr>
          <w:i/>
          <w:vertAlign w:val="subscript"/>
        </w:rPr>
        <w:t>SMTC_MAX</w:t>
      </w:r>
      <w:r w:rsidRPr="00AA23B9">
        <w:rPr>
          <w:i/>
        </w:rPr>
        <w:t xml:space="preserve"> + </w:t>
      </w:r>
      <w:proofErr w:type="spellStart"/>
      <w:r w:rsidRPr="00AA23B9">
        <w:rPr>
          <w:i/>
        </w:rPr>
        <w:t>T</w:t>
      </w:r>
      <w:r w:rsidRPr="00AA23B9">
        <w:rPr>
          <w:i/>
          <w:vertAlign w:val="subscript"/>
        </w:rPr>
        <w:t>SMTC_SCell</w:t>
      </w:r>
      <w:proofErr w:type="spellEnd"/>
      <w:r w:rsidRPr="00AA23B9">
        <w:rPr>
          <w:i/>
        </w:rPr>
        <w:t xml:space="preserve"> + 5ms], if the </w:t>
      </w:r>
      <w:proofErr w:type="spellStart"/>
      <w:r w:rsidRPr="00AA23B9">
        <w:rPr>
          <w:i/>
        </w:rPr>
        <w:t>SCell</w:t>
      </w:r>
      <w:proofErr w:type="spellEnd"/>
      <w:r w:rsidRPr="00AA23B9">
        <w:rPr>
          <w:i/>
        </w:rPr>
        <w:t xml:space="preserve"> measurement cycle is larger than [160ms].”</w:t>
      </w:r>
    </w:p>
    <w:p w14:paraId="0F50ED9C" w14:textId="6371FD63" w:rsidR="003A031B" w:rsidRDefault="00AA23B9" w:rsidP="003A031B">
      <w:r>
        <w:t xml:space="preserve">On the other hand, for IAB node discovery and measurement, an IAB MT can be configured with up to four STC windows. The periodicity of SMTC can be up to 640 </w:t>
      </w:r>
      <w:proofErr w:type="spellStart"/>
      <w:r>
        <w:t>ms</w:t>
      </w:r>
      <w:proofErr w:type="spellEnd"/>
      <w:r>
        <w:t xml:space="preserve">. RAN1 made the following agreements regarding this [2]: </w:t>
      </w:r>
    </w:p>
    <w:tbl>
      <w:tblPr>
        <w:tblStyle w:val="TableGrid"/>
        <w:tblW w:w="0" w:type="auto"/>
        <w:tblLook w:val="04A0" w:firstRow="1" w:lastRow="0" w:firstColumn="1" w:lastColumn="0" w:noHBand="0" w:noVBand="1"/>
      </w:tblPr>
      <w:tblGrid>
        <w:gridCol w:w="9350"/>
      </w:tblGrid>
      <w:tr w:rsidR="00AA23B9" w:rsidRPr="00CC1587" w14:paraId="006B09D2" w14:textId="77777777" w:rsidTr="00C01A2C">
        <w:tc>
          <w:tcPr>
            <w:tcW w:w="9350" w:type="dxa"/>
          </w:tcPr>
          <w:p w14:paraId="6E87587B" w14:textId="77777777" w:rsidR="00AA23B9" w:rsidRPr="00C12329" w:rsidRDefault="00AA23B9" w:rsidP="00AA23B9">
            <w:pPr>
              <w:rPr>
                <w:i/>
                <w:lang w:eastAsia="x-none"/>
              </w:rPr>
            </w:pPr>
            <w:r w:rsidRPr="00C12329">
              <w:rPr>
                <w:i/>
                <w:highlight w:val="green"/>
                <w:lang w:eastAsia="x-none"/>
              </w:rPr>
              <w:t>Agreements</w:t>
            </w:r>
            <w:r w:rsidRPr="00C12329">
              <w:rPr>
                <w:i/>
                <w:lang w:eastAsia="x-none"/>
              </w:rPr>
              <w:t>:</w:t>
            </w:r>
          </w:p>
          <w:p w14:paraId="595A4983" w14:textId="77777777" w:rsidR="00AA23B9" w:rsidRPr="00C12329" w:rsidRDefault="00AA23B9" w:rsidP="00AA23B9">
            <w:pPr>
              <w:rPr>
                <w:i/>
                <w:lang w:eastAsia="zh-CN"/>
              </w:rPr>
            </w:pPr>
            <w:r w:rsidRPr="00C12329">
              <w:rPr>
                <w:i/>
                <w:lang w:eastAsia="zh-CN"/>
              </w:rPr>
              <w:t>For IAB node discovery and measurements, at least the following information should be provided in STC</w:t>
            </w:r>
          </w:p>
          <w:p w14:paraId="77C316E7" w14:textId="77777777" w:rsidR="00AA23B9" w:rsidRPr="00C12329" w:rsidRDefault="00AA23B9" w:rsidP="00AA23B9">
            <w:pPr>
              <w:pStyle w:val="ListParagraph"/>
              <w:numPr>
                <w:ilvl w:val="0"/>
                <w:numId w:val="5"/>
              </w:numPr>
              <w:autoSpaceDE w:val="0"/>
              <w:autoSpaceDN w:val="0"/>
              <w:adjustRightInd w:val="0"/>
              <w:snapToGrid w:val="0"/>
              <w:spacing w:after="120"/>
              <w:ind w:leftChars="0"/>
              <w:jc w:val="both"/>
              <w:rPr>
                <w:i/>
                <w:lang w:eastAsia="zh-CN"/>
              </w:rPr>
            </w:pPr>
            <w:r w:rsidRPr="00C12329">
              <w:rPr>
                <w:i/>
                <w:lang w:eastAsia="zh-CN"/>
              </w:rPr>
              <w:t xml:space="preserve">SSB </w:t>
            </w:r>
            <w:proofErr w:type="spellStart"/>
            <w:r w:rsidRPr="00C12329">
              <w:rPr>
                <w:i/>
                <w:lang w:eastAsia="zh-CN"/>
              </w:rPr>
              <w:t>center</w:t>
            </w:r>
            <w:proofErr w:type="spellEnd"/>
            <w:r w:rsidRPr="00C12329">
              <w:rPr>
                <w:i/>
                <w:lang w:eastAsia="zh-CN"/>
              </w:rPr>
              <w:t xml:space="preserve"> frequency</w:t>
            </w:r>
          </w:p>
          <w:p w14:paraId="1252A6D7" w14:textId="77777777" w:rsidR="00AA23B9" w:rsidRPr="00C12329" w:rsidRDefault="00AA23B9" w:rsidP="00AA23B9">
            <w:pPr>
              <w:pStyle w:val="ListParagraph"/>
              <w:numPr>
                <w:ilvl w:val="0"/>
                <w:numId w:val="5"/>
              </w:numPr>
              <w:autoSpaceDE w:val="0"/>
              <w:autoSpaceDN w:val="0"/>
              <w:adjustRightInd w:val="0"/>
              <w:snapToGrid w:val="0"/>
              <w:spacing w:after="120"/>
              <w:ind w:leftChars="0"/>
              <w:jc w:val="both"/>
              <w:rPr>
                <w:i/>
                <w:lang w:eastAsia="zh-CN"/>
              </w:rPr>
            </w:pPr>
            <w:r w:rsidRPr="00C12329">
              <w:rPr>
                <w:i/>
                <w:lang w:eastAsia="zh-CN"/>
              </w:rPr>
              <w:t>SSB subcarrier spacing</w:t>
            </w:r>
          </w:p>
          <w:p w14:paraId="07D73098" w14:textId="77777777" w:rsidR="00AA23B9" w:rsidRPr="00C12329" w:rsidRDefault="00AA23B9" w:rsidP="00AA23B9">
            <w:pPr>
              <w:pStyle w:val="ListParagraph"/>
              <w:numPr>
                <w:ilvl w:val="0"/>
                <w:numId w:val="5"/>
              </w:numPr>
              <w:autoSpaceDE w:val="0"/>
              <w:autoSpaceDN w:val="0"/>
              <w:adjustRightInd w:val="0"/>
              <w:snapToGrid w:val="0"/>
              <w:spacing w:after="120"/>
              <w:ind w:leftChars="0"/>
              <w:jc w:val="both"/>
              <w:rPr>
                <w:i/>
                <w:lang w:eastAsia="zh-CN"/>
              </w:rPr>
            </w:pPr>
            <w:r w:rsidRPr="00C12329">
              <w:rPr>
                <w:i/>
                <w:lang w:eastAsia="zh-CN"/>
              </w:rPr>
              <w:t>SSB transmission periodicity</w:t>
            </w:r>
          </w:p>
          <w:p w14:paraId="656FEA51" w14:textId="77777777" w:rsidR="00AA23B9" w:rsidRPr="00C12329" w:rsidRDefault="00AA23B9" w:rsidP="00AA23B9">
            <w:pPr>
              <w:pStyle w:val="ListParagraph"/>
              <w:numPr>
                <w:ilvl w:val="1"/>
                <w:numId w:val="5"/>
              </w:numPr>
              <w:autoSpaceDE w:val="0"/>
              <w:autoSpaceDN w:val="0"/>
              <w:adjustRightInd w:val="0"/>
              <w:snapToGrid w:val="0"/>
              <w:spacing w:after="120"/>
              <w:ind w:leftChars="0"/>
              <w:jc w:val="both"/>
              <w:rPr>
                <w:i/>
                <w:lang w:eastAsia="zh-CN"/>
              </w:rPr>
            </w:pPr>
            <w:r w:rsidRPr="00C12329">
              <w:rPr>
                <w:i/>
                <w:lang w:eastAsia="zh-CN"/>
              </w:rPr>
              <w:t>5, 10, 20, 40, 80, 160, 320</w:t>
            </w:r>
            <w:r w:rsidRPr="00C12329">
              <w:rPr>
                <w:rFonts w:hint="eastAsia"/>
                <w:i/>
                <w:lang w:eastAsia="zh-CN"/>
              </w:rPr>
              <w:t>,</w:t>
            </w:r>
            <w:r w:rsidRPr="00C12329">
              <w:rPr>
                <w:i/>
                <w:lang w:eastAsia="zh-CN"/>
              </w:rPr>
              <w:t xml:space="preserve"> 640 subframes are supported.</w:t>
            </w:r>
          </w:p>
          <w:p w14:paraId="117D20FC" w14:textId="77777777" w:rsidR="00AA23B9" w:rsidRPr="00C12329" w:rsidRDefault="00AA23B9" w:rsidP="00AA23B9">
            <w:pPr>
              <w:pStyle w:val="ListParagraph"/>
              <w:numPr>
                <w:ilvl w:val="0"/>
                <w:numId w:val="5"/>
              </w:numPr>
              <w:autoSpaceDE w:val="0"/>
              <w:autoSpaceDN w:val="0"/>
              <w:adjustRightInd w:val="0"/>
              <w:snapToGrid w:val="0"/>
              <w:spacing w:after="120"/>
              <w:ind w:leftChars="0"/>
              <w:jc w:val="both"/>
              <w:rPr>
                <w:i/>
                <w:lang w:eastAsia="zh-CN"/>
              </w:rPr>
            </w:pPr>
            <w:r w:rsidRPr="00C12329">
              <w:rPr>
                <w:i/>
                <w:lang w:eastAsia="zh-CN"/>
              </w:rPr>
              <w:t>SSB transmission timing offset in half frame(s)</w:t>
            </w:r>
          </w:p>
          <w:p w14:paraId="08672B2F" w14:textId="77777777" w:rsidR="00AA23B9" w:rsidRPr="00C12329" w:rsidRDefault="00AA23B9" w:rsidP="00AA23B9">
            <w:pPr>
              <w:pStyle w:val="ListParagraph"/>
              <w:numPr>
                <w:ilvl w:val="0"/>
                <w:numId w:val="5"/>
              </w:numPr>
              <w:autoSpaceDE w:val="0"/>
              <w:autoSpaceDN w:val="0"/>
              <w:adjustRightInd w:val="0"/>
              <w:snapToGrid w:val="0"/>
              <w:spacing w:after="120"/>
              <w:ind w:leftChars="0"/>
              <w:jc w:val="both"/>
              <w:rPr>
                <w:i/>
                <w:lang w:eastAsia="zh-CN"/>
              </w:rPr>
            </w:pPr>
            <w:r w:rsidRPr="00C12329">
              <w:rPr>
                <w:i/>
                <w:lang w:eastAsia="zh-CN"/>
              </w:rPr>
              <w:t xml:space="preserve">The index of SSBs to transmit </w:t>
            </w:r>
          </w:p>
          <w:p w14:paraId="78F0500F" w14:textId="77777777" w:rsidR="00AA23B9" w:rsidRPr="00C12329" w:rsidRDefault="00AA23B9" w:rsidP="00AA23B9">
            <w:pPr>
              <w:pStyle w:val="ListParagraph"/>
              <w:numPr>
                <w:ilvl w:val="1"/>
                <w:numId w:val="5"/>
              </w:numPr>
              <w:autoSpaceDE w:val="0"/>
              <w:autoSpaceDN w:val="0"/>
              <w:adjustRightInd w:val="0"/>
              <w:snapToGrid w:val="0"/>
              <w:spacing w:after="120"/>
              <w:ind w:leftChars="0"/>
              <w:jc w:val="both"/>
              <w:rPr>
                <w:i/>
                <w:lang w:eastAsia="zh-CN"/>
              </w:rPr>
            </w:pPr>
            <w:r w:rsidRPr="00C12329">
              <w:rPr>
                <w:i/>
                <w:lang w:eastAsia="zh-CN"/>
              </w:rPr>
              <w:t>The SSBs to be transmitted in the half frame</w:t>
            </w:r>
          </w:p>
          <w:p w14:paraId="363C532D" w14:textId="77777777" w:rsidR="00AA23B9" w:rsidRPr="00C12329" w:rsidRDefault="00AA23B9" w:rsidP="00AA23B9">
            <w:pPr>
              <w:pStyle w:val="ListParagraph"/>
              <w:numPr>
                <w:ilvl w:val="0"/>
                <w:numId w:val="5"/>
              </w:numPr>
              <w:autoSpaceDE w:val="0"/>
              <w:autoSpaceDN w:val="0"/>
              <w:adjustRightInd w:val="0"/>
              <w:snapToGrid w:val="0"/>
              <w:spacing w:after="120"/>
              <w:ind w:leftChars="0"/>
              <w:jc w:val="both"/>
              <w:rPr>
                <w:i/>
                <w:lang w:eastAsia="zh-CN"/>
              </w:rPr>
            </w:pPr>
            <w:r w:rsidRPr="00C12329">
              <w:rPr>
                <w:i/>
                <w:lang w:eastAsia="zh-CN"/>
              </w:rPr>
              <w:t>FFS configuration information other than above</w:t>
            </w:r>
          </w:p>
          <w:p w14:paraId="434FA569" w14:textId="77777777" w:rsidR="00AA23B9" w:rsidRPr="00C12329" w:rsidRDefault="00AA23B9" w:rsidP="00AA23B9">
            <w:pPr>
              <w:pStyle w:val="ListParagraph"/>
              <w:numPr>
                <w:ilvl w:val="0"/>
                <w:numId w:val="5"/>
              </w:numPr>
              <w:autoSpaceDE w:val="0"/>
              <w:autoSpaceDN w:val="0"/>
              <w:adjustRightInd w:val="0"/>
              <w:snapToGrid w:val="0"/>
              <w:spacing w:after="120"/>
              <w:ind w:leftChars="0"/>
              <w:jc w:val="both"/>
              <w:rPr>
                <w:i/>
                <w:lang w:eastAsia="zh-CN"/>
              </w:rPr>
            </w:pPr>
            <w:r w:rsidRPr="00C12329">
              <w:rPr>
                <w:rFonts w:hint="eastAsia"/>
                <w:i/>
                <w:lang w:eastAsia="zh-CN"/>
              </w:rPr>
              <w:t>FFS</w:t>
            </w:r>
            <w:r w:rsidRPr="00C12329">
              <w:rPr>
                <w:i/>
                <w:lang w:eastAsia="zh-CN"/>
              </w:rPr>
              <w:t xml:space="preserve"> some of the parameters can have default values, e.g. reuse the same value of the cell-defining SSBs.</w:t>
            </w:r>
          </w:p>
          <w:p w14:paraId="61899299" w14:textId="77777777" w:rsidR="00AA23B9" w:rsidRPr="00C12329" w:rsidRDefault="00AA23B9" w:rsidP="00AA23B9">
            <w:pPr>
              <w:pStyle w:val="ListParagraph"/>
              <w:numPr>
                <w:ilvl w:val="0"/>
                <w:numId w:val="5"/>
              </w:numPr>
              <w:autoSpaceDE w:val="0"/>
              <w:autoSpaceDN w:val="0"/>
              <w:adjustRightInd w:val="0"/>
              <w:snapToGrid w:val="0"/>
              <w:spacing w:after="120"/>
              <w:ind w:leftChars="0"/>
              <w:jc w:val="both"/>
              <w:rPr>
                <w:i/>
                <w:lang w:eastAsia="zh-CN"/>
              </w:rPr>
            </w:pPr>
            <w:r w:rsidRPr="00C12329">
              <w:rPr>
                <w:i/>
                <w:lang w:eastAsia="zh-CN"/>
              </w:rPr>
              <w:t xml:space="preserve">Note: The detailed </w:t>
            </w:r>
            <w:proofErr w:type="spellStart"/>
            <w:r w:rsidRPr="00C12329">
              <w:rPr>
                <w:i/>
                <w:lang w:eastAsia="zh-CN"/>
              </w:rPr>
              <w:t>signaling</w:t>
            </w:r>
            <w:proofErr w:type="spellEnd"/>
            <w:r w:rsidRPr="00C12329">
              <w:rPr>
                <w:i/>
                <w:lang w:eastAsia="zh-CN"/>
              </w:rPr>
              <w:t xml:space="preserve"> design is up to RAN3.</w:t>
            </w:r>
          </w:p>
          <w:p w14:paraId="75C9CF2C" w14:textId="77777777" w:rsidR="00AA23B9" w:rsidRPr="00C12329" w:rsidRDefault="00AA23B9" w:rsidP="00AA23B9">
            <w:pPr>
              <w:rPr>
                <w:i/>
              </w:rPr>
            </w:pPr>
          </w:p>
          <w:p w14:paraId="5A1DB1C9" w14:textId="77777777" w:rsidR="00AA23B9" w:rsidRPr="00C12329" w:rsidRDefault="00AA23B9" w:rsidP="00AA23B9">
            <w:pPr>
              <w:rPr>
                <w:i/>
                <w:lang w:eastAsia="x-none"/>
              </w:rPr>
            </w:pPr>
            <w:r w:rsidRPr="00C12329">
              <w:rPr>
                <w:i/>
                <w:highlight w:val="green"/>
                <w:lang w:eastAsia="x-none"/>
              </w:rPr>
              <w:t>Agreements</w:t>
            </w:r>
            <w:r w:rsidRPr="00C12329">
              <w:rPr>
                <w:i/>
                <w:lang w:eastAsia="x-none"/>
              </w:rPr>
              <w:t>:</w:t>
            </w:r>
          </w:p>
          <w:p w14:paraId="610F89F8" w14:textId="5253AB69" w:rsidR="00AA23B9" w:rsidRPr="00AA23B9" w:rsidRDefault="00AA23B9" w:rsidP="00AA23B9">
            <w:pPr>
              <w:numPr>
                <w:ilvl w:val="0"/>
                <w:numId w:val="6"/>
              </w:numPr>
              <w:spacing w:after="0"/>
              <w:rPr>
                <w:i/>
                <w:lang w:eastAsia="zh-CN"/>
              </w:rPr>
            </w:pPr>
            <w:r w:rsidRPr="00C12329">
              <w:rPr>
                <w:i/>
                <w:lang w:eastAsia="zh-CN"/>
              </w:rPr>
              <w:t>For IAB node discovery and measurement, the maximum number of SMTC windows that can be configured for an I</w:t>
            </w:r>
            <w:r w:rsidRPr="00C12329">
              <w:rPr>
                <w:rFonts w:hint="eastAsia"/>
                <w:i/>
                <w:lang w:eastAsia="zh-CN"/>
              </w:rPr>
              <w:t>AB</w:t>
            </w:r>
            <w:r w:rsidRPr="00C12329">
              <w:rPr>
                <w:i/>
                <w:lang w:eastAsia="zh-CN"/>
              </w:rPr>
              <w:t xml:space="preserve"> node is 4.</w:t>
            </w:r>
          </w:p>
          <w:p w14:paraId="56A12DE8" w14:textId="50D045B8" w:rsidR="00AA23B9" w:rsidRPr="00AA23B9" w:rsidRDefault="00AA23B9" w:rsidP="00AA23B9">
            <w:pPr>
              <w:autoSpaceDE w:val="0"/>
              <w:autoSpaceDN w:val="0"/>
              <w:adjustRightInd w:val="0"/>
              <w:snapToGrid w:val="0"/>
              <w:spacing w:after="120"/>
              <w:jc w:val="both"/>
              <w:rPr>
                <w:i/>
                <w:lang w:eastAsia="zh-CN"/>
              </w:rPr>
            </w:pPr>
          </w:p>
        </w:tc>
      </w:tr>
    </w:tbl>
    <w:p w14:paraId="637BFD96" w14:textId="77777777" w:rsidR="00AA23B9" w:rsidRDefault="00AA23B9" w:rsidP="003A031B"/>
    <w:p w14:paraId="7A759693" w14:textId="693E3033" w:rsidR="00881E9F" w:rsidRDefault="00AA23B9" w:rsidP="003A031B">
      <w:r>
        <w:t>The updated number of SMTC configurations and SMTC periodicity needs to be captured in IAB RRM specs.</w:t>
      </w:r>
    </w:p>
    <w:p w14:paraId="775E86D8" w14:textId="1064A3EA" w:rsidR="00A22CA2" w:rsidRPr="002A7BC0" w:rsidRDefault="00AA23B9" w:rsidP="003A031B">
      <w:pPr>
        <w:rPr>
          <w:b/>
        </w:rPr>
      </w:pPr>
      <w:r w:rsidRPr="0082688D">
        <w:rPr>
          <w:b/>
        </w:rPr>
        <w:t xml:space="preserve">Proposal 2: RAN4 captures the updated </w:t>
      </w:r>
      <w:r w:rsidR="0082688D" w:rsidRPr="0082688D">
        <w:rPr>
          <w:b/>
        </w:rPr>
        <w:t>maximum number of SMTC configurations and SMTC periodicity</w:t>
      </w:r>
      <w:r w:rsidR="002A7BC0">
        <w:rPr>
          <w:b/>
        </w:rPr>
        <w:t xml:space="preserve"> for IAB networks</w:t>
      </w:r>
      <w:r w:rsidR="0082688D" w:rsidRPr="0082688D">
        <w:rPr>
          <w:b/>
        </w:rPr>
        <w:t xml:space="preserve"> in RRM specs. </w:t>
      </w:r>
    </w:p>
    <w:p w14:paraId="380E8637" w14:textId="77777777" w:rsidR="00A22CA2" w:rsidRPr="00196F68" w:rsidRDefault="00A22CA2" w:rsidP="003A031B"/>
    <w:p w14:paraId="29F5CF80" w14:textId="1FA6CB66" w:rsidR="002A7BC0" w:rsidRPr="002A7BC0" w:rsidRDefault="003A031B" w:rsidP="002A7BC0">
      <w:pPr>
        <w:pStyle w:val="Heading1"/>
        <w:jc w:val="both"/>
      </w:pPr>
      <w:r>
        <w:t>Conclusion</w:t>
      </w:r>
    </w:p>
    <w:p w14:paraId="23251F14" w14:textId="069C59D7" w:rsidR="002A7BC0" w:rsidRPr="002A7BC0" w:rsidRDefault="002A7BC0" w:rsidP="002A7BC0">
      <w:pPr>
        <w:rPr>
          <w:b/>
        </w:rPr>
      </w:pPr>
      <w:r>
        <w:rPr>
          <w:b/>
        </w:rPr>
        <w:t>Observation 1: Ensuring inter-operability among different IAB nodes is very important to guarantee the performance of an IAB network.</w:t>
      </w:r>
    </w:p>
    <w:p w14:paraId="521D23BD" w14:textId="2F79A9FB" w:rsidR="002A7BC0" w:rsidRPr="002A7BC0" w:rsidRDefault="002A7BC0" w:rsidP="002A7BC0">
      <w:pPr>
        <w:rPr>
          <w:b/>
        </w:rPr>
      </w:pPr>
      <w:r w:rsidRPr="002A7BC0">
        <w:rPr>
          <w:b/>
        </w:rPr>
        <w:t>Observation 2: RAN1 is allowing network to configure an IAB node with multiple STC configurations.</w:t>
      </w:r>
    </w:p>
    <w:p w14:paraId="698C222F" w14:textId="197BF080" w:rsidR="002A7BC0" w:rsidRPr="002A7BC0" w:rsidRDefault="002A7BC0" w:rsidP="002A7BC0">
      <w:pPr>
        <w:rPr>
          <w:b/>
        </w:rPr>
      </w:pPr>
      <w:r w:rsidRPr="00AA23B9">
        <w:rPr>
          <w:b/>
        </w:rPr>
        <w:t>Proposal 1: RAN4 discusses if requirements for IAB DUs need to be captured in RRM specs.</w:t>
      </w:r>
    </w:p>
    <w:p w14:paraId="3B2FE4F5" w14:textId="77777777" w:rsidR="002A7BC0" w:rsidRPr="002A7BC0" w:rsidRDefault="002A7BC0" w:rsidP="002A7BC0">
      <w:pPr>
        <w:rPr>
          <w:b/>
        </w:rPr>
      </w:pPr>
      <w:r w:rsidRPr="0082688D">
        <w:rPr>
          <w:b/>
        </w:rPr>
        <w:t>Proposal 2: RAN4 captures the updated maximum number of SMTC configurations and SMTC periodicity</w:t>
      </w:r>
      <w:r>
        <w:rPr>
          <w:b/>
        </w:rPr>
        <w:t xml:space="preserve"> for IAB networks</w:t>
      </w:r>
      <w:r w:rsidRPr="0082688D">
        <w:rPr>
          <w:b/>
        </w:rPr>
        <w:t xml:space="preserve"> in RRM specs. </w:t>
      </w:r>
    </w:p>
    <w:p w14:paraId="698FDACF" w14:textId="77777777" w:rsidR="002A7BC0" w:rsidRPr="002A7BC0" w:rsidRDefault="002A7BC0" w:rsidP="002A7BC0"/>
    <w:p w14:paraId="34EC366F" w14:textId="77777777" w:rsidR="003A031B" w:rsidRPr="003628B5" w:rsidRDefault="003A031B" w:rsidP="003A031B">
      <w:pPr>
        <w:pStyle w:val="Heading1"/>
        <w:rPr>
          <w:lang w:val="en-US" w:eastAsia="ja-JP"/>
        </w:rPr>
      </w:pPr>
      <w:r>
        <w:rPr>
          <w:lang w:val="en-US" w:eastAsia="ja-JP"/>
        </w:rPr>
        <w:t>References</w:t>
      </w:r>
    </w:p>
    <w:p w14:paraId="64F10BA0" w14:textId="75AFF392" w:rsidR="003A031B" w:rsidRDefault="00653AA5" w:rsidP="003A031B">
      <w:pPr>
        <w:numPr>
          <w:ilvl w:val="0"/>
          <w:numId w:val="2"/>
        </w:numPr>
        <w:jc w:val="both"/>
        <w:rPr>
          <w:lang w:eastAsia="zh-CN"/>
        </w:rPr>
      </w:pPr>
      <w:r>
        <w:rPr>
          <w:lang w:eastAsia="zh-CN"/>
        </w:rPr>
        <w:t>3GPP TR 38.874, Study on Integrated Access and Backhaul (Release 16).</w:t>
      </w:r>
    </w:p>
    <w:p w14:paraId="7A202504" w14:textId="16171AB3" w:rsidR="00653AA5" w:rsidRDefault="00653AA5" w:rsidP="003A031B">
      <w:pPr>
        <w:numPr>
          <w:ilvl w:val="0"/>
          <w:numId w:val="2"/>
        </w:numPr>
        <w:jc w:val="both"/>
        <w:rPr>
          <w:lang w:eastAsia="zh-CN"/>
        </w:rPr>
      </w:pPr>
      <w:r>
        <w:rPr>
          <w:lang w:eastAsia="zh-CN"/>
        </w:rPr>
        <w:t>3GPP TSG RAN WG1 Meeting #96bis, Chairman’s Notes.</w:t>
      </w:r>
    </w:p>
    <w:p w14:paraId="0F67FCC7" w14:textId="5B3E8BBC" w:rsidR="00653AA5" w:rsidRPr="00EA1B8F" w:rsidRDefault="00AA23B9" w:rsidP="003A031B">
      <w:pPr>
        <w:numPr>
          <w:ilvl w:val="0"/>
          <w:numId w:val="2"/>
        </w:numPr>
        <w:jc w:val="both"/>
        <w:rPr>
          <w:lang w:eastAsia="zh-CN"/>
        </w:rPr>
      </w:pPr>
      <w:r>
        <w:rPr>
          <w:lang w:eastAsia="zh-CN"/>
        </w:rPr>
        <w:t>3GPP TS 38.133, V 15.5.0, Requirements for support of radio resource management (Release 15)</w:t>
      </w:r>
    </w:p>
    <w:p w14:paraId="0E57E806" w14:textId="77777777" w:rsidR="003A031B" w:rsidRDefault="003A031B" w:rsidP="003A031B"/>
    <w:p w14:paraId="4A6A0CFA" w14:textId="77777777" w:rsidR="00F0363E" w:rsidRDefault="00F0363E"/>
    <w:sectPr w:rsidR="00F0363E"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7E70A" w14:textId="77777777" w:rsidR="005B7643" w:rsidRDefault="005B7643">
      <w:pPr>
        <w:spacing w:after="0"/>
      </w:pPr>
      <w:r>
        <w:separator/>
      </w:r>
    </w:p>
  </w:endnote>
  <w:endnote w:type="continuationSeparator" w:id="0">
    <w:p w14:paraId="372490DE" w14:textId="77777777" w:rsidR="005B7643" w:rsidRDefault="005B76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E5B67" w14:textId="77777777" w:rsidR="004E29C3" w:rsidRDefault="00C123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4D55209" w14:textId="77777777" w:rsidR="004E29C3" w:rsidRDefault="005B76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93DD7" w14:textId="77777777" w:rsidR="004E29C3" w:rsidRDefault="00C123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FF663EF" w14:textId="77777777" w:rsidR="004E29C3" w:rsidRDefault="005B764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F8666" w14:textId="77777777" w:rsidR="005B7643" w:rsidRDefault="005B7643">
      <w:pPr>
        <w:spacing w:after="0"/>
      </w:pPr>
      <w:r>
        <w:separator/>
      </w:r>
    </w:p>
  </w:footnote>
  <w:footnote w:type="continuationSeparator" w:id="0">
    <w:p w14:paraId="6A403DB9" w14:textId="77777777" w:rsidR="005B7643" w:rsidRDefault="005B76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26D8B"/>
    <w:multiLevelType w:val="hybridMultilevel"/>
    <w:tmpl w:val="B664A3B4"/>
    <w:lvl w:ilvl="0" w:tplc="70BEAD2C">
      <w:start w:val="1"/>
      <w:numFmt w:val="bullet"/>
      <w:lvlText w:val="•"/>
      <w:lvlJc w:val="left"/>
      <w:pPr>
        <w:ind w:left="420" w:hanging="420"/>
      </w:pPr>
      <w:rPr>
        <w:rFonts w:ascii="Arial" w:hAnsi="Arial" w:cs="Times New Roman" w:hint="default"/>
      </w:rPr>
    </w:lvl>
    <w:lvl w:ilvl="1" w:tplc="FBF8ECBE">
      <w:numFmt w:val="bullet"/>
      <w:lvlText w:val="-"/>
      <w:lvlJc w:val="left"/>
      <w:pPr>
        <w:ind w:left="840" w:hanging="420"/>
      </w:pPr>
      <w:rPr>
        <w:rFonts w:ascii="Calibri" w:eastAsia="Times New Roman"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780229"/>
    <w:multiLevelType w:val="hybridMultilevel"/>
    <w:tmpl w:val="4ACA8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AF4845"/>
    <w:multiLevelType w:val="hybridMultilevel"/>
    <w:tmpl w:val="9BE29A1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7" w15:restartNumberingAfterBreak="0">
    <w:nsid w:val="69D430F7"/>
    <w:multiLevelType w:val="hybridMultilevel"/>
    <w:tmpl w:val="7D6645DE"/>
    <w:lvl w:ilvl="0" w:tplc="14149574">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386214A"/>
    <w:multiLevelType w:val="hybridMultilevel"/>
    <w:tmpl w:val="975406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8"/>
  </w:num>
  <w:num w:numId="5">
    <w:abstractNumId w:val="1"/>
  </w:num>
  <w:num w:numId="6">
    <w:abstractNumId w:val="9"/>
  </w:num>
  <w:num w:numId="7">
    <w:abstractNumId w:val="6"/>
  </w:num>
  <w:num w:numId="8">
    <w:abstractNumId w:val="7"/>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31B"/>
    <w:rsid w:val="000F0863"/>
    <w:rsid w:val="001C39DD"/>
    <w:rsid w:val="001F2B9F"/>
    <w:rsid w:val="002A7BC0"/>
    <w:rsid w:val="003A031B"/>
    <w:rsid w:val="003E1955"/>
    <w:rsid w:val="00592C62"/>
    <w:rsid w:val="005B7643"/>
    <w:rsid w:val="006251BF"/>
    <w:rsid w:val="00627E03"/>
    <w:rsid w:val="00653AA5"/>
    <w:rsid w:val="007C68AF"/>
    <w:rsid w:val="0082688D"/>
    <w:rsid w:val="00881E9F"/>
    <w:rsid w:val="00A22CA2"/>
    <w:rsid w:val="00AA23B9"/>
    <w:rsid w:val="00AA2558"/>
    <w:rsid w:val="00AD1DB9"/>
    <w:rsid w:val="00BC5D5A"/>
    <w:rsid w:val="00C12329"/>
    <w:rsid w:val="00D47FCF"/>
    <w:rsid w:val="00E019BF"/>
    <w:rsid w:val="00E92A19"/>
    <w:rsid w:val="00E93AE5"/>
    <w:rsid w:val="00EC3007"/>
    <w:rsid w:val="00EF29AE"/>
    <w:rsid w:val="00F0363E"/>
    <w:rsid w:val="00F252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0D72B"/>
  <w15:chartTrackingRefBased/>
  <w15:docId w15:val="{2659B24B-BF8D-40E5-A6A2-EED90E777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031B"/>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A031B"/>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A031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3A031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A031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3A031B"/>
    <w:pPr>
      <w:numPr>
        <w:ilvl w:val="5"/>
      </w:numPr>
      <w:outlineLvl w:val="4"/>
    </w:pPr>
    <w:rPr>
      <w:sz w:val="22"/>
    </w:rPr>
  </w:style>
  <w:style w:type="paragraph" w:styleId="Heading7">
    <w:name w:val="heading 7"/>
    <w:basedOn w:val="Normal"/>
    <w:next w:val="Normal"/>
    <w:link w:val="Heading7Char"/>
    <w:qFormat/>
    <w:rsid w:val="003A031B"/>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3A031B"/>
    <w:pPr>
      <w:numPr>
        <w:ilvl w:val="7"/>
      </w:numPr>
      <w:outlineLvl w:val="7"/>
    </w:pPr>
  </w:style>
  <w:style w:type="paragraph" w:styleId="Heading9">
    <w:name w:val="heading 9"/>
    <w:basedOn w:val="Heading8"/>
    <w:next w:val="Normal"/>
    <w:link w:val="Heading9Char"/>
    <w:qFormat/>
    <w:rsid w:val="003A031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A031B"/>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A031B"/>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3A031B"/>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A031B"/>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3A031B"/>
    <w:rPr>
      <w:rFonts w:ascii="Arial" w:eastAsia="MS Mincho" w:hAnsi="Arial" w:cs="Times New Roman"/>
      <w:szCs w:val="20"/>
      <w:lang w:val="en-GB"/>
    </w:rPr>
  </w:style>
  <w:style w:type="character" w:customStyle="1" w:styleId="Heading7Char">
    <w:name w:val="Heading 7 Char"/>
    <w:basedOn w:val="DefaultParagraphFont"/>
    <w:link w:val="Heading7"/>
    <w:rsid w:val="003A031B"/>
    <w:rPr>
      <w:rFonts w:ascii="Arial" w:eastAsia="MS Mincho" w:hAnsi="Arial" w:cs="Times New Roman"/>
      <w:sz w:val="20"/>
      <w:szCs w:val="20"/>
      <w:lang w:val="en-GB"/>
    </w:rPr>
  </w:style>
  <w:style w:type="character" w:customStyle="1" w:styleId="Heading8Char">
    <w:name w:val="Heading 8 Char"/>
    <w:basedOn w:val="DefaultParagraphFont"/>
    <w:link w:val="Heading8"/>
    <w:rsid w:val="003A031B"/>
    <w:rPr>
      <w:rFonts w:ascii="Arial" w:eastAsia="MS Mincho" w:hAnsi="Arial" w:cs="Times New Roman"/>
      <w:sz w:val="36"/>
      <w:szCs w:val="20"/>
      <w:lang w:val="en-GB"/>
    </w:rPr>
  </w:style>
  <w:style w:type="character" w:customStyle="1" w:styleId="Heading9Char">
    <w:name w:val="Heading 9 Char"/>
    <w:basedOn w:val="DefaultParagraphFont"/>
    <w:link w:val="Heading9"/>
    <w:rsid w:val="003A031B"/>
    <w:rPr>
      <w:rFonts w:ascii="Arial" w:eastAsia="MS Mincho" w:hAnsi="Arial" w:cs="Times New Roman"/>
      <w:sz w:val="36"/>
      <w:szCs w:val="20"/>
      <w:lang w:val="en-GB"/>
    </w:rPr>
  </w:style>
  <w:style w:type="paragraph" w:styleId="Footer">
    <w:name w:val="footer"/>
    <w:basedOn w:val="Header"/>
    <w:link w:val="FooterChar"/>
    <w:uiPriority w:val="99"/>
    <w:rsid w:val="003A031B"/>
    <w:pPr>
      <w:widowControl w:val="0"/>
      <w:tabs>
        <w:tab w:val="clear" w:pos="4680"/>
        <w:tab w:val="clear" w:pos="9360"/>
      </w:tabs>
      <w:jc w:val="center"/>
    </w:pPr>
    <w:rPr>
      <w:rFonts w:ascii="Arial" w:hAnsi="Arial"/>
      <w:b/>
      <w:i/>
      <w:noProof/>
      <w:sz w:val="18"/>
      <w:lang w:val="en-US"/>
    </w:rPr>
  </w:style>
  <w:style w:type="character" w:customStyle="1" w:styleId="FooterChar">
    <w:name w:val="Footer Char"/>
    <w:basedOn w:val="DefaultParagraphFont"/>
    <w:link w:val="Footer"/>
    <w:uiPriority w:val="99"/>
    <w:rsid w:val="003A031B"/>
    <w:rPr>
      <w:rFonts w:ascii="Arial" w:eastAsia="MS Mincho" w:hAnsi="Arial" w:cs="Times New Roman"/>
      <w:b/>
      <w:i/>
      <w:noProof/>
      <w:sz w:val="18"/>
      <w:szCs w:val="20"/>
    </w:rPr>
  </w:style>
  <w:style w:type="character" w:styleId="PageNumber">
    <w:name w:val="page number"/>
    <w:basedOn w:val="DefaultParagraphFont"/>
    <w:rsid w:val="003A031B"/>
  </w:style>
  <w:style w:type="paragraph" w:styleId="ListParagraph">
    <w:name w:val="List Paragraph"/>
    <w:aliases w:val="- Bullets,リスト段落,?? ??,?????,????,Lista1,목록 단락,列出段落1,中等深浅网格 1 - 着色 21,列出段落,列表段落,¥¡¡¡¡ì¬º¥¹¥È¶ÎÂä,ÁÐ³ö¶ÎÂä,列表段落1,—ño’i—Ž,¥ê¥¹¥È¶ÎÂä"/>
    <w:basedOn w:val="Normal"/>
    <w:link w:val="ListParagraphChar"/>
    <w:uiPriority w:val="34"/>
    <w:qFormat/>
    <w:rsid w:val="003A031B"/>
    <w:pPr>
      <w:ind w:leftChars="400" w:left="800"/>
    </w:pPr>
    <w:rPr>
      <w:rFonts w:eastAsia="Malgun Gothic"/>
      <w:lang w:eastAsia="ko-KR"/>
    </w:rPr>
  </w:style>
  <w:style w:type="character" w:customStyle="1" w:styleId="ListParagraphChar">
    <w:name w:val="List Paragraph Char"/>
    <w:aliases w:val="- Bullets Char,リスト段落 Char,?? ?? Char,????? Char,???? Char,Lista1 Char,목록 단락 Char,列出段落1 Char,中等深浅网格 1 - 着色 21 Char,列出段落 Char,列表段落 Char,¥¡¡¡¡ì¬º¥¹¥È¶ÎÂä Char,ÁÐ³ö¶ÎÂä Char,列表段落1 Char,—ño’i—Ž Char,¥ê¥¹¥È¶ÎÂä Char"/>
    <w:link w:val="ListParagraph"/>
    <w:uiPriority w:val="34"/>
    <w:qFormat/>
    <w:locked/>
    <w:rsid w:val="003A031B"/>
    <w:rPr>
      <w:rFonts w:ascii="Times New Roman" w:eastAsia="Malgun Gothic" w:hAnsi="Times New Roman" w:cs="Times New Roman"/>
      <w:sz w:val="20"/>
      <w:szCs w:val="20"/>
      <w:lang w:val="en-GB" w:eastAsia="ko-KR"/>
    </w:rPr>
  </w:style>
  <w:style w:type="table" w:styleId="TableGrid">
    <w:name w:val="Table Grid"/>
    <w:basedOn w:val="TableNormal"/>
    <w:rsid w:val="003A03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3A031B"/>
    <w:pPr>
      <w:tabs>
        <w:tab w:val="center" w:pos="4680"/>
        <w:tab w:val="right" w:pos="9360"/>
      </w:tabs>
      <w:spacing w:after="0"/>
    </w:pPr>
  </w:style>
  <w:style w:type="character" w:customStyle="1" w:styleId="HeaderChar">
    <w:name w:val="Header Char"/>
    <w:basedOn w:val="DefaultParagraphFont"/>
    <w:link w:val="Header"/>
    <w:uiPriority w:val="99"/>
    <w:semiHidden/>
    <w:rsid w:val="003A031B"/>
    <w:rPr>
      <w:rFonts w:ascii="Times New Roman" w:eastAsia="MS Mincho" w:hAnsi="Times New Roman" w:cs="Times New Roman"/>
      <w:sz w:val="20"/>
      <w:szCs w:val="20"/>
      <w:lang w:val="en-GB"/>
    </w:rPr>
  </w:style>
  <w:style w:type="character" w:styleId="Hyperlink">
    <w:name w:val="Hyperlink"/>
    <w:uiPriority w:val="99"/>
    <w:rsid w:val="00AD1DB9"/>
    <w:rPr>
      <w:color w:val="0000FF"/>
      <w:u w:val="single"/>
    </w:rPr>
  </w:style>
  <w:style w:type="paragraph" w:customStyle="1" w:styleId="maintext">
    <w:name w:val="main text"/>
    <w:basedOn w:val="Normal"/>
    <w:link w:val="maintextChar"/>
    <w:qFormat/>
    <w:rsid w:val="00AD1DB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D1DB9"/>
    <w:rPr>
      <w:rFonts w:ascii="Times New Roman" w:eastAsia="Malgun Gothic" w:hAnsi="Times New Roman" w:cs="Times New Roman"/>
      <w:sz w:val="20"/>
      <w:szCs w:val="20"/>
      <w:lang w:val="en-GB" w:eastAsia="ko-KR"/>
    </w:rPr>
  </w:style>
  <w:style w:type="paragraph" w:customStyle="1" w:styleId="B3">
    <w:name w:val="B3"/>
    <w:basedOn w:val="Normal"/>
    <w:rsid w:val="00BC5D5A"/>
    <w:pPr>
      <w:ind w:left="1135" w:hanging="284"/>
    </w:pPr>
    <w:rPr>
      <w:rFonts w:eastAsia="SimSun"/>
    </w:rPr>
  </w:style>
  <w:style w:type="paragraph" w:styleId="BalloonText">
    <w:name w:val="Balloon Text"/>
    <w:basedOn w:val="Normal"/>
    <w:link w:val="BalloonTextChar"/>
    <w:uiPriority w:val="99"/>
    <w:semiHidden/>
    <w:unhideWhenUsed/>
    <w:rsid w:val="00BC5D5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5D5A"/>
    <w:rPr>
      <w:rFonts w:ascii="Segoe UI" w:eastAsia="MS Mincho"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9435316">
      <w:bodyDiv w:val="1"/>
      <w:marLeft w:val="0"/>
      <w:marRight w:val="0"/>
      <w:marTop w:val="0"/>
      <w:marBottom w:val="0"/>
      <w:divBdr>
        <w:top w:val="none" w:sz="0" w:space="0" w:color="auto"/>
        <w:left w:val="none" w:sz="0" w:space="0" w:color="auto"/>
        <w:bottom w:val="none" w:sz="0" w:space="0" w:color="auto"/>
        <w:right w:val="none" w:sz="0" w:space="0" w:color="auto"/>
      </w:divBdr>
    </w:div>
    <w:div w:id="1735854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815</Words>
  <Characters>4651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2019-05-03T22:38:00Z</dcterms:created>
  <dcterms:modified xsi:type="dcterms:W3CDTF">2019-05-03T22:38:00Z</dcterms:modified>
</cp:coreProperties>
</file>