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3CDEA" w14:textId="7BA00C80" w:rsidR="008518D5" w:rsidRDefault="008518D5" w:rsidP="008518D5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RAN4#91</w:t>
      </w:r>
      <w:r>
        <w:rPr>
          <w:rFonts w:ascii="Arial" w:hAnsi="Arial" w:cs="Arial"/>
          <w:b/>
          <w:noProof/>
          <w:sz w:val="24"/>
          <w:szCs w:val="24"/>
          <w:lang w:val="en-US"/>
        </w:rPr>
        <w:tab/>
      </w:r>
      <w:bookmarkStart w:id="0" w:name="_GoBack"/>
      <w:r w:rsidR="00A43D2D" w:rsidRPr="00A43D2D">
        <w:rPr>
          <w:rFonts w:ascii="Arial" w:hAnsi="Arial" w:cs="Arial"/>
          <w:b/>
          <w:bCs/>
          <w:sz w:val="26"/>
          <w:szCs w:val="26"/>
        </w:rPr>
        <w:t>R4-1907183</w:t>
      </w:r>
      <w:bookmarkEnd w:id="0"/>
    </w:p>
    <w:p w14:paraId="7FEF44E6" w14:textId="7210961C" w:rsidR="008518D5" w:rsidRDefault="008518D5" w:rsidP="008518D5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 May 13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17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i w:val="0"/>
          <w:noProof w:val="0"/>
          <w:sz w:val="24"/>
          <w:szCs w:val="24"/>
          <w:lang w:eastAsia="ja-JP"/>
        </w:rPr>
        <w:t>, 2019</w:t>
      </w:r>
    </w:p>
    <w:p w14:paraId="193322EB" w14:textId="77777777" w:rsidR="008518D5" w:rsidRDefault="008518D5" w:rsidP="008518D5">
      <w:pPr>
        <w:pStyle w:val="Footer"/>
        <w:jc w:val="both"/>
        <w:rPr>
          <w:noProof w:val="0"/>
        </w:rPr>
      </w:pPr>
    </w:p>
    <w:p w14:paraId="59CF527C" w14:textId="77777777" w:rsidR="008518D5" w:rsidRDefault="008518D5" w:rsidP="008518D5">
      <w:pPr>
        <w:tabs>
          <w:tab w:val="left" w:pos="1980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8.5.1</w:t>
      </w:r>
    </w:p>
    <w:p w14:paraId="019C32F8" w14:textId="77777777" w:rsidR="008518D5" w:rsidRDefault="008518D5" w:rsidP="008518D5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605C185A" w14:textId="038D1445" w:rsidR="008518D5" w:rsidRDefault="008518D5" w:rsidP="008518D5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  <w:t>IAB node radio transmission and reception</w:t>
      </w:r>
    </w:p>
    <w:p w14:paraId="481F20BE" w14:textId="77777777" w:rsidR="008518D5" w:rsidRDefault="008518D5" w:rsidP="008518D5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6D37FB7A" w14:textId="77777777" w:rsidR="008518D5" w:rsidRDefault="008518D5" w:rsidP="008518D5">
      <w:pPr>
        <w:pStyle w:val="Heading1"/>
        <w:tabs>
          <w:tab w:val="clear" w:pos="432"/>
          <w:tab w:val="num" w:pos="522"/>
        </w:tabs>
        <w:ind w:left="522" w:hanging="522"/>
        <w:rPr>
          <w:rFonts w:eastAsia="MS Mincho"/>
          <w:lang w:val="en-US" w:eastAsia="ja-JP"/>
        </w:rPr>
      </w:pPr>
      <w:r>
        <w:rPr>
          <w:rFonts w:eastAsia="MS Mincho"/>
          <w:lang w:val="en-US"/>
        </w:rPr>
        <w:t>Introduction</w:t>
      </w:r>
    </w:p>
    <w:p w14:paraId="17B76B16" w14:textId="672FC827" w:rsidR="008518D5" w:rsidRDefault="008518D5" w:rsidP="008518D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 WI on introduction of Integrated access and backhaul for NR was agreed in RAN#82 [1]. </w:t>
      </w:r>
      <w:r w:rsidR="00125206">
        <w:rPr>
          <w:lang w:val="en-US" w:eastAsia="ja-JP"/>
        </w:rPr>
        <w:t xml:space="preserve">During the last meeting, the work plan for RAN4 #91 was agreed [2]. </w:t>
      </w:r>
      <w:r>
        <w:rPr>
          <w:lang w:val="en-US" w:eastAsia="ja-JP"/>
        </w:rPr>
        <w:t>In this paper</w:t>
      </w:r>
      <w:r w:rsidR="00125206">
        <w:rPr>
          <w:lang w:val="en-US" w:eastAsia="ja-JP"/>
        </w:rPr>
        <w:t>,</w:t>
      </w:r>
      <w:r>
        <w:rPr>
          <w:lang w:val="en-US" w:eastAsia="ja-JP"/>
        </w:rPr>
        <w:t xml:space="preserve"> we propose </w:t>
      </w:r>
      <w:r w:rsidR="00125206">
        <w:rPr>
          <w:lang w:val="en-US" w:eastAsia="ja-JP"/>
        </w:rPr>
        <w:t xml:space="preserve">skeletons of </w:t>
      </w:r>
      <w:r>
        <w:rPr>
          <w:lang w:val="en-US" w:eastAsia="ja-JP"/>
        </w:rPr>
        <w:t xml:space="preserve">a RAN4 </w:t>
      </w:r>
      <w:r w:rsidR="00125206">
        <w:rPr>
          <w:lang w:val="en-US" w:eastAsia="ja-JP"/>
        </w:rPr>
        <w:t xml:space="preserve">spec, </w:t>
      </w:r>
      <w:r>
        <w:rPr>
          <w:lang w:val="en-US" w:eastAsia="ja-JP"/>
        </w:rPr>
        <w:t>work plan</w:t>
      </w:r>
      <w:r w:rsidR="00125206">
        <w:rPr>
          <w:lang w:val="en-US" w:eastAsia="ja-JP"/>
        </w:rPr>
        <w:t xml:space="preserve"> </w:t>
      </w:r>
      <w:r>
        <w:rPr>
          <w:lang w:val="en-US" w:eastAsia="ja-JP"/>
        </w:rPr>
        <w:t>and some initial considerations on the RAN4 work.</w:t>
      </w:r>
    </w:p>
    <w:p w14:paraId="44C933F3" w14:textId="07798504" w:rsidR="00125206" w:rsidRDefault="00125206">
      <w:pPr>
        <w:pStyle w:val="Heading1"/>
      </w:pPr>
      <w:r>
        <w:t>Skeleton of RAN4 spec</w:t>
      </w:r>
    </w:p>
    <w:p w14:paraId="12B3A301" w14:textId="50771A28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 WI on introduction of a new type of RAN node that provides relaying services was introduced in the Integrated access and backhaul for NR WID [1]. The objectives also require RAN4 work covering multiple aspects: RF requirements for both access and backhaul links, RRM requirements for both access and backhaul links and performance </w:t>
      </w:r>
      <w:r w:rsidR="00E37BE5">
        <w:rPr>
          <w:lang w:val="en-US" w:eastAsia="ja-JP"/>
        </w:rPr>
        <w:t>requirements (</w:t>
      </w:r>
      <w:r>
        <w:rPr>
          <w:lang w:val="en-US" w:eastAsia="ja-JP"/>
        </w:rPr>
        <w:t xml:space="preserve">both RRM and </w:t>
      </w: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>) for these. The RAN4 work will be relatively broad involving most areas that RAN4 is covering.</w:t>
      </w:r>
    </w:p>
    <w:p w14:paraId="10810933" w14:textId="4B0A56E0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>The new node is expected to borrow a lot of the requirements developed for UEs</w:t>
      </w:r>
      <w:r w:rsidR="00E37BE5">
        <w:rPr>
          <w:lang w:val="en-US" w:eastAsia="ja-JP"/>
        </w:rPr>
        <w:t xml:space="preserve"> </w:t>
      </w:r>
      <w:r>
        <w:rPr>
          <w:lang w:val="en-US" w:eastAsia="ja-JP"/>
        </w:rPr>
        <w:t xml:space="preserve">(backhaul link) and </w:t>
      </w:r>
      <w:proofErr w:type="spellStart"/>
      <w:r>
        <w:rPr>
          <w:lang w:val="en-US" w:eastAsia="ja-JP"/>
        </w:rPr>
        <w:t>gNBs</w:t>
      </w:r>
      <w:proofErr w:type="spellEnd"/>
      <w:r w:rsidR="00E37BE5">
        <w:rPr>
          <w:lang w:val="en-US" w:eastAsia="ja-JP"/>
        </w:rPr>
        <w:t xml:space="preserve"> </w:t>
      </w:r>
      <w:r>
        <w:rPr>
          <w:lang w:val="en-US" w:eastAsia="ja-JP"/>
        </w:rPr>
        <w:t xml:space="preserve">(access link). However, there will likely also be some special or “tweaked” requirements for IAB nodes. </w:t>
      </w:r>
    </w:p>
    <w:p w14:paraId="414AA6F8" w14:textId="77777777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>In the RF area, most of the work is expected to be on the co-existence study and related discussions to define the ACLR/ACS requirements. Also, a possible new power class definition is in the scope. For FR2, this could cover new peak power and spherical coverage requirements.</w:t>
      </w:r>
    </w:p>
    <w:p w14:paraId="67F44FD5" w14:textId="04334A26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>For the RRM requirements, we expect most of the work to be on the</w:t>
      </w:r>
      <w:r w:rsidR="00E37BE5">
        <w:rPr>
          <w:lang w:val="en-US" w:eastAsia="ja-JP"/>
        </w:rPr>
        <w:t xml:space="preserve"> timing</w:t>
      </w:r>
      <w:r>
        <w:rPr>
          <w:lang w:val="en-US" w:eastAsia="ja-JP"/>
        </w:rPr>
        <w:t xml:space="preserve"> synchronization</w:t>
      </w:r>
      <w:r w:rsidR="00E37BE5">
        <w:rPr>
          <w:lang w:val="en-US" w:eastAsia="ja-JP"/>
        </w:rPr>
        <w:t>, mobility</w:t>
      </w:r>
      <w:r>
        <w:rPr>
          <w:lang w:val="en-US" w:eastAsia="ja-JP"/>
        </w:rPr>
        <w:t xml:space="preserve"> and related requirements, and possible enhancements to measurement requirements relative to existing power classes to improve the reliability of the backhaul link. </w:t>
      </w:r>
    </w:p>
    <w:p w14:paraId="22A7931F" w14:textId="77777777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For the </w:t>
      </w: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 xml:space="preserve"> requirements, we expect most of the work to cover the extent of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UE performance tests and new tests, if new channels are defined or new scenarios are identified.</w:t>
      </w:r>
    </w:p>
    <w:p w14:paraId="7A9335F4" w14:textId="77777777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requirements for the IAB node will cover several aspects, RF, RRM and </w:t>
      </w: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 xml:space="preserve"> for both links. Overall it is likely that many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and UE requirements will be reused together with some new requirements applicable only to these nodes. </w:t>
      </w:r>
    </w:p>
    <w:p w14:paraId="4A713C4D" w14:textId="77777777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During the last meeting, some companies commented that the RRM part should be in the RRM specs. However, it would be easier for a designer if all the requirements are in the same spec. Having separate requirements in the current specifications would make finding the necessary specifications very difficult while complicating the existing specifications. </w:t>
      </w:r>
    </w:p>
    <w:p w14:paraId="223556E6" w14:textId="701C2BD9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Besides, maintaining all IAB requirements in the same spec is also much simpler than adding things to 133. </w:t>
      </w:r>
    </w:p>
    <w:p w14:paraId="11C3BF97" w14:textId="1C99483D" w:rsidR="00AE7F08" w:rsidRDefault="00AE7F08" w:rsidP="00AE7F08">
      <w:pPr>
        <w:jc w:val="both"/>
        <w:rPr>
          <w:lang w:val="en-US" w:eastAsia="ja-JP"/>
        </w:rPr>
      </w:pPr>
      <w:r>
        <w:rPr>
          <w:lang w:val="en-US" w:eastAsia="ja-JP"/>
        </w:rPr>
        <w:t xml:space="preserve">Hence, we propose to introduce a new specification that covers all the requirements. </w:t>
      </w:r>
    </w:p>
    <w:p w14:paraId="1D99C798" w14:textId="77777777" w:rsidR="00AE7F08" w:rsidRDefault="00AE7F08" w:rsidP="00AE7F08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1. Introduce a new specification in the 38.1xx series that covers all the requirements applicable to IAB nodes.</w:t>
      </w:r>
    </w:p>
    <w:p w14:paraId="0D0FD6CC" w14:textId="77777777" w:rsidR="007E31C3" w:rsidRDefault="007E31C3" w:rsidP="00AE7F08">
      <w:pPr>
        <w:rPr>
          <w:b/>
        </w:rPr>
      </w:pPr>
    </w:p>
    <w:p w14:paraId="5BF0B1DC" w14:textId="3EB05092" w:rsidR="00125206" w:rsidRPr="007808B9" w:rsidRDefault="00AE7F08" w:rsidP="00AE7F08">
      <w:pPr>
        <w:rPr>
          <w:b/>
        </w:rPr>
      </w:pPr>
      <w:r w:rsidRPr="007808B9">
        <w:rPr>
          <w:b/>
        </w:rPr>
        <w:t xml:space="preserve">Proposal 2: The sections of the 38.1xx spec, covering IAB requirements, should </w:t>
      </w:r>
      <w:r w:rsidR="0004187B" w:rsidRPr="007808B9">
        <w:rPr>
          <w:b/>
        </w:rPr>
        <w:t>pursue the following skeleton:</w:t>
      </w:r>
    </w:p>
    <w:p w14:paraId="4626CBD3" w14:textId="661898AC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Scope</w:t>
      </w:r>
    </w:p>
    <w:p w14:paraId="58A5DC85" w14:textId="0E79C581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References</w:t>
      </w:r>
    </w:p>
    <w:p w14:paraId="0AD7A8F7" w14:textId="201813E4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Definitions, etc</w:t>
      </w:r>
    </w:p>
    <w:p w14:paraId="56BFD231" w14:textId="33A80FB5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General</w:t>
      </w:r>
    </w:p>
    <w:p w14:paraId="516F5D88" w14:textId="4AA73401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Operating bands and channel arrangement</w:t>
      </w:r>
    </w:p>
    <w:p w14:paraId="0875B9FF" w14:textId="132B9A83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Transmitter characteristics</w:t>
      </w:r>
    </w:p>
    <w:p w14:paraId="79982BE1" w14:textId="34C7BC4E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Receiver characteristics</w:t>
      </w:r>
    </w:p>
    <w:p w14:paraId="6D8FDC77" w14:textId="0CA0D3C1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Radio resource management support</w:t>
      </w:r>
    </w:p>
    <w:p w14:paraId="10E83E80" w14:textId="622A8DCF" w:rsidR="0004187B" w:rsidRPr="007808B9" w:rsidRDefault="0004187B" w:rsidP="0004187B">
      <w:pPr>
        <w:pStyle w:val="ListParagraph"/>
        <w:numPr>
          <w:ilvl w:val="0"/>
          <w:numId w:val="4"/>
        </w:numPr>
        <w:rPr>
          <w:b/>
        </w:rPr>
      </w:pPr>
      <w:r w:rsidRPr="007808B9">
        <w:rPr>
          <w:b/>
        </w:rPr>
        <w:t>Performance requirements</w:t>
      </w:r>
    </w:p>
    <w:p w14:paraId="158F36D6" w14:textId="77777777" w:rsidR="0004187B" w:rsidRPr="00125206" w:rsidRDefault="0004187B" w:rsidP="0004187B"/>
    <w:p w14:paraId="7293F6E4" w14:textId="64273442" w:rsidR="008518D5" w:rsidRDefault="00125206" w:rsidP="008518D5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Detailed RAN4 Work Plan </w:t>
      </w:r>
    </w:p>
    <w:p w14:paraId="66E2468D" w14:textId="7148E583" w:rsidR="007808B9" w:rsidRDefault="008518D5" w:rsidP="008518D5">
      <w:pPr>
        <w:jc w:val="both"/>
        <w:rPr>
          <w:lang w:val="en-US" w:eastAsia="ja-JP"/>
        </w:rPr>
      </w:pPr>
      <w:r>
        <w:rPr>
          <w:lang w:val="en-US" w:eastAsia="ja-JP"/>
        </w:rPr>
        <w:t>The</w:t>
      </w:r>
      <w:r w:rsidR="007808B9">
        <w:rPr>
          <w:lang w:val="en-US" w:eastAsia="ja-JP"/>
        </w:rPr>
        <w:t xml:space="preserve"> work plan for RAN#90 Bis and RAN #91 were already agreed in the last meeting [3].</w:t>
      </w:r>
    </w:p>
    <w:p w14:paraId="26C39023" w14:textId="5AE9C989" w:rsidR="008518D5" w:rsidRDefault="007808B9" w:rsidP="008518D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overall work plan for all the remaining meetings are given below. </w:t>
      </w:r>
      <w:r w:rsidR="008518D5">
        <w:rPr>
          <w:lang w:val="en-US" w:eastAsia="ja-JP"/>
        </w:rPr>
        <w:t>The work for the RF part could be split into the access link and backhaul links and discuss</w:t>
      </w:r>
      <w:r w:rsidR="00E37BE5">
        <w:rPr>
          <w:lang w:val="en-US" w:eastAsia="ja-JP"/>
        </w:rPr>
        <w:t>ed</w:t>
      </w:r>
      <w:r w:rsidR="008518D5">
        <w:rPr>
          <w:lang w:val="en-US" w:eastAsia="ja-JP"/>
        </w:rPr>
        <w:t xml:space="preserve"> in parallel. </w:t>
      </w:r>
    </w:p>
    <w:p w14:paraId="377D5812" w14:textId="36FBD0C7" w:rsidR="008518D5" w:rsidRDefault="007808B9" w:rsidP="008518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3: RAN4 agrees the following work plan for IAB.</w:t>
      </w:r>
    </w:p>
    <w:p w14:paraId="0D42F656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90 Bis</w:t>
      </w:r>
    </w:p>
    <w:p w14:paraId="21E37449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RF: Initial discussion on co-existence study, discussion of simulation assumptions for alignment. Initial discussion on RF requirements</w:t>
      </w:r>
    </w:p>
    <w:p w14:paraId="2DF0E54B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91</w:t>
      </w:r>
    </w:p>
    <w:p w14:paraId="7556AB41" w14:textId="083BD37E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General: approval of work plan</w:t>
      </w:r>
    </w:p>
    <w:p w14:paraId="0D9940BF" w14:textId="2A1150D4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General: approve skeleton of new specifications</w:t>
      </w:r>
    </w:p>
    <w:p w14:paraId="4B559256" w14:textId="77777777" w:rsidR="007808B9" w:rsidRDefault="007808B9" w:rsidP="007808B9">
      <w:pPr>
        <w:numPr>
          <w:ilvl w:val="1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 xml:space="preserve">New TS for RF and </w:t>
      </w:r>
      <w:proofErr w:type="spellStart"/>
      <w:r>
        <w:rPr>
          <w:lang w:val="en-US" w:eastAsia="ja-JP"/>
        </w:rPr>
        <w:t>demod</w:t>
      </w:r>
      <w:proofErr w:type="spellEnd"/>
    </w:p>
    <w:p w14:paraId="2CDBDADD" w14:textId="77777777" w:rsidR="007808B9" w:rsidRDefault="007808B9" w:rsidP="007808B9">
      <w:pPr>
        <w:numPr>
          <w:ilvl w:val="1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 xml:space="preserve">Decide whether RRM will be included in new TS or in 38.133  </w:t>
      </w:r>
    </w:p>
    <w:p w14:paraId="0968202A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RF: Initial agreement on simulation assumptions for co-existence study and simulator alignment. Discussion on RF requirements</w:t>
      </w:r>
    </w:p>
    <w:p w14:paraId="7AA6907E" w14:textId="77777777" w:rsidR="007808B9" w:rsidRDefault="007808B9" w:rsidP="007808B9">
      <w:pPr>
        <w:numPr>
          <w:ilvl w:val="1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 xml:space="preserve">Identify FR1 bands </w:t>
      </w:r>
    </w:p>
    <w:p w14:paraId="63023C8A" w14:textId="77777777" w:rsidR="007808B9" w:rsidRDefault="007808B9" w:rsidP="007808B9">
      <w:pPr>
        <w:numPr>
          <w:ilvl w:val="1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Decide on which scenarios to use for co-existence study</w:t>
      </w:r>
    </w:p>
    <w:p w14:paraId="67D96341" w14:textId="77777777" w:rsidR="007808B9" w:rsidRDefault="007808B9" w:rsidP="007808B9">
      <w:pPr>
        <w:numPr>
          <w:ilvl w:val="1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Initial agreement on co-channel baseline assumptions to be used to derive the reference throughput</w:t>
      </w:r>
    </w:p>
    <w:p w14:paraId="452A3D68" w14:textId="24EFE9E4" w:rsidR="007808B9" w:rsidRPr="007808B9" w:rsidRDefault="007808B9" w:rsidP="007808B9">
      <w:pPr>
        <w:numPr>
          <w:ilvl w:val="0"/>
          <w:numId w:val="2"/>
        </w:numPr>
        <w:jc w:val="both"/>
        <w:rPr>
          <w:b/>
          <w:u w:val="single"/>
          <w:lang w:val="en-US" w:eastAsia="ja-JP"/>
        </w:rPr>
      </w:pPr>
      <w:r>
        <w:rPr>
          <w:lang w:val="en-US" w:eastAsia="ja-JP"/>
        </w:rPr>
        <w:t xml:space="preserve">RRM: Initial discussion on needed core requirements for backhaul links. </w:t>
      </w:r>
    </w:p>
    <w:p w14:paraId="12BE7D89" w14:textId="1FE5924C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92</w:t>
      </w:r>
    </w:p>
    <w:p w14:paraId="30E2BAF3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RF: Initial simulation results. co-existence study simulation results and requirements for ACLR/ACS. Continue discussion on other RF requirements</w:t>
      </w:r>
    </w:p>
    <w:p w14:paraId="052ACF60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Discussion on requirements for backhaul links</w:t>
      </w:r>
    </w:p>
    <w:p w14:paraId="56625A35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92 Bis</w:t>
      </w:r>
    </w:p>
    <w:p w14:paraId="162B9646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lastRenderedPageBreak/>
        <w:t>RF: Agree requirements for ACLR/ACS. Continue discussion on other RF requirements, discussion on draft CRs</w:t>
      </w:r>
    </w:p>
    <w:p w14:paraId="2130A7F0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Discussion on core requirements for backhaul links, discussion on draft CRs</w:t>
      </w:r>
    </w:p>
    <w:p w14:paraId="62A777FB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93</w:t>
      </w:r>
    </w:p>
    <w:p w14:paraId="4DB2B133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RF: Finalize RF requirements, approval of CRs</w:t>
      </w:r>
    </w:p>
    <w:p w14:paraId="5B44C346" w14:textId="018FEB5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Discuss core requirements, initial discussion on performance requirements and simulation assumptions</w:t>
      </w:r>
    </w:p>
    <w:p w14:paraId="780434C9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>: Initial discussions on needed requirements, simulation assumptions (if any)</w:t>
      </w:r>
    </w:p>
    <w:p w14:paraId="5469F37C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94</w:t>
      </w:r>
    </w:p>
    <w:p w14:paraId="7FAECE9C" w14:textId="5CAFA448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Finalize core requirements. Discussion on performance requirements, initial simulation results</w:t>
      </w:r>
    </w:p>
    <w:p w14:paraId="70392C75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>: Approve set of requirements, initial simulations results (if needed)</w:t>
      </w:r>
    </w:p>
    <w:p w14:paraId="5C6B7306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94Bis</w:t>
      </w:r>
    </w:p>
    <w:p w14:paraId="21288406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Refined simulation results, draft CRs</w:t>
      </w:r>
      <w:r>
        <w:rPr>
          <w:lang w:val="en-US" w:eastAsia="ja-JP"/>
        </w:rPr>
        <w:tab/>
      </w:r>
    </w:p>
    <w:p w14:paraId="2A5DA1AA" w14:textId="77777777" w:rsid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proofErr w:type="spellStart"/>
      <w:r>
        <w:rPr>
          <w:lang w:val="en-US" w:eastAsia="ja-JP"/>
        </w:rPr>
        <w:t>Demod</w:t>
      </w:r>
      <w:proofErr w:type="spellEnd"/>
      <w:r>
        <w:rPr>
          <w:lang w:val="en-US" w:eastAsia="ja-JP"/>
        </w:rPr>
        <w:t>: Refined simulation results, final CRs (if needed)</w:t>
      </w:r>
    </w:p>
    <w:p w14:paraId="650FB52C" w14:textId="77777777" w:rsidR="007808B9" w:rsidRDefault="007808B9" w:rsidP="007808B9">
      <w:pPr>
        <w:jc w:val="both"/>
        <w:rPr>
          <w:b/>
          <w:u w:val="single"/>
          <w:lang w:val="en-US" w:eastAsia="ja-JP"/>
        </w:rPr>
      </w:pPr>
      <w:r>
        <w:rPr>
          <w:b/>
          <w:u w:val="single"/>
          <w:lang w:val="en-US" w:eastAsia="ja-JP"/>
        </w:rPr>
        <w:t>RAN4# 95</w:t>
      </w:r>
    </w:p>
    <w:p w14:paraId="403B768B" w14:textId="78EC5D15" w:rsidR="007808B9" w:rsidRP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r>
        <w:rPr>
          <w:lang w:val="en-US" w:eastAsia="ja-JP"/>
        </w:rPr>
        <w:t>RRM: final simulation results if needed, approval of all CRs and finalize the work</w:t>
      </w:r>
    </w:p>
    <w:p w14:paraId="1A9A4BB7" w14:textId="69C8F2BA" w:rsidR="007808B9" w:rsidRPr="007808B9" w:rsidRDefault="007808B9" w:rsidP="007808B9">
      <w:pPr>
        <w:numPr>
          <w:ilvl w:val="0"/>
          <w:numId w:val="2"/>
        </w:numPr>
        <w:jc w:val="both"/>
        <w:rPr>
          <w:lang w:val="en-US" w:eastAsia="ja-JP"/>
        </w:rPr>
      </w:pPr>
      <w:proofErr w:type="spellStart"/>
      <w:r w:rsidRPr="007808B9">
        <w:rPr>
          <w:lang w:val="en-US" w:eastAsia="ja-JP"/>
        </w:rPr>
        <w:t>Demod</w:t>
      </w:r>
      <w:proofErr w:type="spellEnd"/>
      <w:r w:rsidRPr="007808B9">
        <w:rPr>
          <w:lang w:val="en-US" w:eastAsia="ja-JP"/>
        </w:rPr>
        <w:t>: final simulation results if needed, approval of all CRs and finalize the work (if needed)</w:t>
      </w:r>
    </w:p>
    <w:p w14:paraId="47688ADC" w14:textId="77777777" w:rsidR="008518D5" w:rsidRDefault="008518D5" w:rsidP="008518D5">
      <w:pPr>
        <w:pStyle w:val="Heading1"/>
        <w:jc w:val="both"/>
        <w:rPr>
          <w:rFonts w:eastAsia="MS Mincho"/>
        </w:rPr>
      </w:pPr>
      <w:r>
        <w:rPr>
          <w:rFonts w:eastAsia="MS Mincho"/>
        </w:rPr>
        <w:t>Conclusion</w:t>
      </w:r>
    </w:p>
    <w:p w14:paraId="208C74BA" w14:textId="631A9EF9" w:rsidR="008518D5" w:rsidRDefault="008518D5" w:rsidP="008518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1. Introduce a new specification in the 38.1xx series that covers all the requirements applicable to IAB nodes.</w:t>
      </w:r>
    </w:p>
    <w:p w14:paraId="4C4F4946" w14:textId="77777777" w:rsidR="007808B9" w:rsidRPr="007808B9" w:rsidRDefault="007808B9" w:rsidP="007808B9">
      <w:pPr>
        <w:rPr>
          <w:b/>
        </w:rPr>
      </w:pPr>
      <w:r w:rsidRPr="007808B9">
        <w:rPr>
          <w:b/>
        </w:rPr>
        <w:t>Proposal 2: The sections of the 38.1xx spec, covering IAB requirements, should pursue the following skeleton:</w:t>
      </w:r>
    </w:p>
    <w:p w14:paraId="18BAE1D1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Scope</w:t>
      </w:r>
    </w:p>
    <w:p w14:paraId="5475CB2B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References</w:t>
      </w:r>
    </w:p>
    <w:p w14:paraId="46000BF5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Definitions, etc</w:t>
      </w:r>
    </w:p>
    <w:p w14:paraId="0AD79FF5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General</w:t>
      </w:r>
    </w:p>
    <w:p w14:paraId="0D202757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Operating bands and channel arrangement</w:t>
      </w:r>
    </w:p>
    <w:p w14:paraId="2591E3F6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Transmitter characteristics</w:t>
      </w:r>
    </w:p>
    <w:p w14:paraId="68E32669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Receiver characteristics</w:t>
      </w:r>
    </w:p>
    <w:p w14:paraId="6D458660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Radio resource management support</w:t>
      </w:r>
    </w:p>
    <w:p w14:paraId="1F40F0DC" w14:textId="77777777" w:rsidR="007808B9" w:rsidRPr="007808B9" w:rsidRDefault="007808B9" w:rsidP="007808B9">
      <w:pPr>
        <w:pStyle w:val="ListParagraph"/>
        <w:numPr>
          <w:ilvl w:val="0"/>
          <w:numId w:val="7"/>
        </w:numPr>
        <w:rPr>
          <w:b/>
        </w:rPr>
      </w:pPr>
      <w:r w:rsidRPr="007808B9">
        <w:rPr>
          <w:b/>
        </w:rPr>
        <w:t>Performance requirements</w:t>
      </w:r>
    </w:p>
    <w:p w14:paraId="0F51B311" w14:textId="77E4F09F" w:rsidR="007808B9" w:rsidRDefault="007808B9" w:rsidP="008518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3: RAN4 approves the work plan shown in section 3 of the contribution.</w:t>
      </w:r>
    </w:p>
    <w:p w14:paraId="4A441C22" w14:textId="77777777" w:rsidR="008518D5" w:rsidRDefault="008518D5" w:rsidP="008518D5">
      <w:pPr>
        <w:pStyle w:val="Heading1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References</w:t>
      </w:r>
    </w:p>
    <w:p w14:paraId="31F833EC" w14:textId="2F1E7775" w:rsidR="008518D5" w:rsidRDefault="008518D5" w:rsidP="008518D5">
      <w:pPr>
        <w:numPr>
          <w:ilvl w:val="0"/>
          <w:numId w:val="3"/>
        </w:numPr>
        <w:jc w:val="both"/>
        <w:rPr>
          <w:lang w:eastAsia="zh-CN"/>
        </w:rPr>
      </w:pPr>
      <w:r>
        <w:rPr>
          <w:lang w:val="en-US" w:eastAsia="ja-JP"/>
        </w:rPr>
        <w:t>RP-182882, “New WID: Integrated Access and Backhaul for NR</w:t>
      </w:r>
      <w:r>
        <w:rPr>
          <w:lang w:eastAsia="ja-JP"/>
        </w:rPr>
        <w:t>”, Qualcomm Incorporated</w:t>
      </w:r>
    </w:p>
    <w:p w14:paraId="3ED97D93" w14:textId="1499D62B" w:rsidR="00125206" w:rsidRDefault="00125206" w:rsidP="008518D5">
      <w:pPr>
        <w:numPr>
          <w:ilvl w:val="0"/>
          <w:numId w:val="3"/>
        </w:numPr>
        <w:jc w:val="both"/>
        <w:rPr>
          <w:lang w:eastAsia="zh-CN"/>
        </w:rPr>
      </w:pPr>
      <w:r>
        <w:rPr>
          <w:lang w:eastAsia="zh-CN"/>
        </w:rPr>
        <w:t>Chai</w:t>
      </w:r>
      <w:r w:rsidR="00AE7F08">
        <w:rPr>
          <w:lang w:eastAsia="zh-CN"/>
        </w:rPr>
        <w:t>rman’s notes, 3GPP TSG-RAN WG4 Meeting #90bis.</w:t>
      </w:r>
    </w:p>
    <w:p w14:paraId="662A9208" w14:textId="740FF015" w:rsidR="00A9699D" w:rsidRDefault="007808B9" w:rsidP="007808B9">
      <w:pPr>
        <w:numPr>
          <w:ilvl w:val="0"/>
          <w:numId w:val="3"/>
        </w:numPr>
        <w:jc w:val="both"/>
      </w:pPr>
      <w:r>
        <w:rPr>
          <w:lang w:eastAsia="zh-CN"/>
        </w:rPr>
        <w:t>R4-195104, IAB RAN4 Work Plan, Qualcomm Incorporated</w:t>
      </w:r>
    </w:p>
    <w:sectPr w:rsidR="00A96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4512F"/>
    <w:multiLevelType w:val="hybridMultilevel"/>
    <w:tmpl w:val="DD522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F6F"/>
    <w:multiLevelType w:val="hybridMultilevel"/>
    <w:tmpl w:val="DD522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8D5"/>
    <w:rsid w:val="0004187B"/>
    <w:rsid w:val="00125206"/>
    <w:rsid w:val="006F06AF"/>
    <w:rsid w:val="007808B9"/>
    <w:rsid w:val="007E31C3"/>
    <w:rsid w:val="008518D5"/>
    <w:rsid w:val="00A43D2D"/>
    <w:rsid w:val="00A9699D"/>
    <w:rsid w:val="00AE7F08"/>
    <w:rsid w:val="00E3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7C73B"/>
  <w15:chartTrackingRefBased/>
  <w15:docId w15:val="{86E3DCDB-F84F-4051-A139-E94D18FF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8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8518D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semiHidden/>
    <w:unhideWhenUsed/>
    <w:qFormat/>
    <w:rsid w:val="008518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semiHidden/>
    <w:unhideWhenUsed/>
    <w:qFormat/>
    <w:rsid w:val="008518D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semiHidden/>
    <w:unhideWhenUsed/>
    <w:qFormat/>
    <w:rsid w:val="008518D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semiHidden/>
    <w:unhideWhenUsed/>
    <w:qFormat/>
    <w:rsid w:val="008518D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518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8518D5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8518D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8518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8518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semiHidden/>
    <w:rsid w:val="008518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8518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semiHidden/>
    <w:rsid w:val="008518D5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8518D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8518D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8518D5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semiHidden/>
    <w:unhideWhenUsed/>
    <w:rsid w:val="008518D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518D5"/>
    <w:rPr>
      <w:rFonts w:ascii="Arial" w:eastAsia="MS Mincho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518D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18D5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51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D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D5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D5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8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8D5"/>
    <w:rPr>
      <w:rFonts w:ascii="Segoe UI" w:eastAsia="MS Mincho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041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3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2019-05-03T22:27:00Z</dcterms:created>
  <dcterms:modified xsi:type="dcterms:W3CDTF">2019-05-03T22:27:00Z</dcterms:modified>
</cp:coreProperties>
</file>