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D8516" w14:textId="119D47E1" w:rsidR="00543AD0" w:rsidRDefault="00750BB1">
      <w:pPr>
        <w:tabs>
          <w:tab w:val="right" w:pos="9216"/>
        </w:tabs>
        <w:spacing w:after="0"/>
        <w:rPr>
          <w:b/>
        </w:rPr>
      </w:pPr>
      <w:r>
        <w:rPr>
          <w:b/>
        </w:rPr>
        <w:t>3GPP TSG RAN WG4 Meeting #91</w:t>
      </w:r>
      <w:r w:rsidR="008E7A37">
        <w:rPr>
          <w:b/>
        </w:rPr>
        <w:tab/>
      </w:r>
      <w:r w:rsidR="00CA20F4" w:rsidRPr="00CA20F4">
        <w:rPr>
          <w:b/>
        </w:rPr>
        <w:t>R4-1906947</w:t>
      </w:r>
    </w:p>
    <w:p w14:paraId="5857916E" w14:textId="5A0A61C0" w:rsidR="00543AD0" w:rsidRDefault="00750BB1">
      <w:pPr>
        <w:rPr>
          <w:b/>
        </w:rPr>
      </w:pPr>
      <w:r>
        <w:rPr>
          <w:b/>
        </w:rPr>
        <w:t>Reno, US</w:t>
      </w:r>
      <w:r w:rsidR="008E7A37">
        <w:rPr>
          <w:b/>
        </w:rPr>
        <w:t xml:space="preserve">, </w:t>
      </w:r>
      <w:r>
        <w:rPr>
          <w:b/>
        </w:rPr>
        <w:t>May 13-17,</w:t>
      </w:r>
      <w:r w:rsidR="008E7A37">
        <w:rPr>
          <w:b/>
        </w:rPr>
        <w:t xml:space="preserve"> 2019</w:t>
      </w:r>
    </w:p>
    <w:p w14:paraId="32730D24" w14:textId="77777777" w:rsidR="00543AD0" w:rsidRDefault="00543AD0">
      <w:pPr>
        <w:pBdr>
          <w:top w:val="single" w:sz="4" w:space="1" w:color="auto"/>
        </w:pBdr>
        <w:spacing w:after="0"/>
        <w:rPr>
          <w:b/>
          <w:sz w:val="16"/>
        </w:rPr>
      </w:pPr>
    </w:p>
    <w:p w14:paraId="02CBF24D" w14:textId="6A40E727" w:rsidR="00543AD0" w:rsidRDefault="00750BB1">
      <w:pPr>
        <w:spacing w:after="60"/>
        <w:ind w:left="1555" w:hanging="1555"/>
        <w:rPr>
          <w:b/>
        </w:rPr>
      </w:pPr>
      <w:r>
        <w:rPr>
          <w:b/>
        </w:rPr>
        <w:t>Agenda Item:</w:t>
      </w:r>
      <w:r>
        <w:rPr>
          <w:b/>
        </w:rPr>
        <w:tab/>
      </w:r>
      <w:r w:rsidR="00392922" w:rsidRPr="00392922">
        <w:rPr>
          <w:b/>
        </w:rPr>
        <w:t>6.8.</w:t>
      </w:r>
      <w:r w:rsidR="00CA20F4">
        <w:rPr>
          <w:b/>
        </w:rPr>
        <w:t>3</w:t>
      </w:r>
      <w:r w:rsidR="00392922" w:rsidRPr="00392922">
        <w:rPr>
          <w:b/>
        </w:rPr>
        <w:t>.</w:t>
      </w:r>
      <w:r w:rsidR="00CA20F4">
        <w:rPr>
          <w:b/>
        </w:rPr>
        <w:t>3</w:t>
      </w:r>
    </w:p>
    <w:p w14:paraId="651B2DBE" w14:textId="77777777" w:rsidR="00543AD0" w:rsidRDefault="008E7A37">
      <w:pPr>
        <w:spacing w:after="60"/>
        <w:ind w:left="1555" w:hanging="1555"/>
        <w:rPr>
          <w:b/>
        </w:rPr>
      </w:pPr>
      <w:r>
        <w:rPr>
          <w:b/>
        </w:rPr>
        <w:t>Source:</w:t>
      </w:r>
      <w:r>
        <w:rPr>
          <w:b/>
        </w:rPr>
        <w:tab/>
        <w:t>Huawei, HiSilicon</w:t>
      </w:r>
    </w:p>
    <w:p w14:paraId="5EB6AD96" w14:textId="4E193483" w:rsidR="00543AD0" w:rsidRDefault="008E7A37">
      <w:pPr>
        <w:spacing w:after="60"/>
        <w:ind w:left="1555" w:hanging="1555"/>
        <w:rPr>
          <w:b/>
        </w:rPr>
      </w:pPr>
      <w:r>
        <w:rPr>
          <w:b/>
        </w:rPr>
        <w:t>Title:</w:t>
      </w:r>
      <w:r>
        <w:rPr>
          <w:b/>
        </w:rPr>
        <w:tab/>
      </w:r>
      <w:r w:rsidR="00392922">
        <w:rPr>
          <w:b/>
        </w:rPr>
        <w:t>Options for TAE testing using MIMO</w:t>
      </w:r>
    </w:p>
    <w:p w14:paraId="212E42FD" w14:textId="77777777" w:rsidR="00543AD0" w:rsidRDefault="008E7A37">
      <w:pPr>
        <w:spacing w:after="60"/>
        <w:ind w:left="1555" w:hanging="1555"/>
        <w:rPr>
          <w:b/>
        </w:rPr>
      </w:pPr>
      <w:r>
        <w:rPr>
          <w:b/>
        </w:rPr>
        <w:t>Document for:</w:t>
      </w:r>
      <w:r>
        <w:rPr>
          <w:b/>
        </w:rPr>
        <w:tab/>
        <w:t>Approval</w:t>
      </w:r>
    </w:p>
    <w:p w14:paraId="06CCA22E" w14:textId="77777777" w:rsidR="00543AD0" w:rsidRDefault="00543AD0">
      <w:pPr>
        <w:pBdr>
          <w:bottom w:val="single" w:sz="4" w:space="1" w:color="auto"/>
        </w:pBdr>
        <w:spacing w:after="0"/>
        <w:rPr>
          <w:b/>
          <w:sz w:val="16"/>
        </w:rPr>
      </w:pPr>
    </w:p>
    <w:p w14:paraId="73767003" w14:textId="77777777" w:rsidR="00543AD0" w:rsidRDefault="00543AD0"/>
    <w:p w14:paraId="21B410DD" w14:textId="114D81C1" w:rsidR="00543AD0" w:rsidRDefault="00750BB1">
      <w:pPr>
        <w:pStyle w:val="Heading1"/>
      </w:pPr>
      <w:r>
        <w:t>Introduction</w:t>
      </w:r>
    </w:p>
    <w:p w14:paraId="415A3073" w14:textId="577F5087" w:rsidR="00F73836" w:rsidRDefault="00750BB1">
      <w:r>
        <w:t>During RAN4#90 and RAN4</w:t>
      </w:r>
      <w:r w:rsidR="00392922">
        <w:t>#</w:t>
      </w:r>
      <w:r>
        <w:t xml:space="preserve">90B, discussions on updating the procedures for time alignment error (TAE) testing </w:t>
      </w:r>
      <w:r w:rsidR="00F73836">
        <w:t xml:space="preserve">focused on conditions for testing, as indicated by WF </w:t>
      </w:r>
      <w:r w:rsidR="00F73836">
        <w:fldChar w:fldCharType="begin"/>
      </w:r>
      <w:r w:rsidR="00F73836">
        <w:instrText xml:space="preserve"> REF _Ref6990363 \r \h </w:instrText>
      </w:r>
      <w:r w:rsidR="00F73836">
        <w:fldChar w:fldCharType="separate"/>
      </w:r>
      <w:r w:rsidR="001E249B">
        <w:t>[1]</w:t>
      </w:r>
      <w:r w:rsidR="00F73836">
        <w:fldChar w:fldCharType="end"/>
      </w:r>
      <w:r w:rsidR="00F73836">
        <w:t xml:space="preserve"> and WF </w:t>
      </w:r>
      <w:r w:rsidR="00F73836">
        <w:fldChar w:fldCharType="begin"/>
      </w:r>
      <w:r w:rsidR="00F73836">
        <w:instrText xml:space="preserve"> REF _Ref6990393 \r \h </w:instrText>
      </w:r>
      <w:r w:rsidR="00F73836">
        <w:fldChar w:fldCharType="separate"/>
      </w:r>
      <w:r w:rsidR="001E249B">
        <w:t>[3]</w:t>
      </w:r>
      <w:r w:rsidR="00F73836">
        <w:fldChar w:fldCharType="end"/>
      </w:r>
      <w:r w:rsidR="00F73836">
        <w:t xml:space="preserve">. In </w:t>
      </w:r>
      <w:r w:rsidR="00F73836">
        <w:fldChar w:fldCharType="begin"/>
      </w:r>
      <w:r w:rsidR="00F73836">
        <w:instrText xml:space="preserve"> REF _Ref6990402 \r \h </w:instrText>
      </w:r>
      <w:r w:rsidR="00F73836">
        <w:fldChar w:fldCharType="separate"/>
      </w:r>
      <w:r w:rsidR="001E249B">
        <w:t>[2]</w:t>
      </w:r>
      <w:r w:rsidR="00F73836">
        <w:fldChar w:fldCharType="end"/>
      </w:r>
      <w:r w:rsidR="00F73836">
        <w:t xml:space="preserve">, a possible approach for implementing the test was provided. This contribution examines LTE </w:t>
      </w:r>
      <w:r w:rsidR="00F73836">
        <w:fldChar w:fldCharType="begin"/>
      </w:r>
      <w:r w:rsidR="00F73836">
        <w:instrText xml:space="preserve"> REF _Ref6990473 \r \h </w:instrText>
      </w:r>
      <w:r w:rsidR="00F73836">
        <w:fldChar w:fldCharType="separate"/>
      </w:r>
      <w:r w:rsidR="001E249B">
        <w:t>[4]</w:t>
      </w:r>
      <w:r w:rsidR="00F73836">
        <w:fldChar w:fldCharType="end"/>
      </w:r>
      <w:r w:rsidR="00F73836">
        <w:t xml:space="preserve"> as well as the current specification </w:t>
      </w:r>
      <w:r w:rsidR="00F73836">
        <w:fldChar w:fldCharType="begin"/>
      </w:r>
      <w:r w:rsidR="00F73836">
        <w:instrText xml:space="preserve"> REF _Ref6990530 \r \h </w:instrText>
      </w:r>
      <w:r w:rsidR="00F73836">
        <w:fldChar w:fldCharType="separate"/>
      </w:r>
      <w:r w:rsidR="001E249B">
        <w:t>[5]</w:t>
      </w:r>
      <w:r w:rsidR="00F73836">
        <w:fldChar w:fldCharType="end"/>
      </w:r>
      <w:r w:rsidR="00F73836">
        <w:t xml:space="preserve"> for the procedures and </w:t>
      </w:r>
      <w:r w:rsidR="00392922">
        <w:t xml:space="preserve">possible </w:t>
      </w:r>
      <w:r w:rsidR="00F73836">
        <w:t>changes needed</w:t>
      </w:r>
      <w:r w:rsidR="00392922">
        <w:t xml:space="preserve"> for TS 38.141-1</w:t>
      </w:r>
      <w:r w:rsidR="00F73836">
        <w:t xml:space="preserve">. </w:t>
      </w:r>
      <w:r w:rsidR="001E249B">
        <w:t xml:space="preserve">Modifications for </w:t>
      </w:r>
      <w:r w:rsidR="00F73836">
        <w:t xml:space="preserve">TS 38.141-2 </w:t>
      </w:r>
      <w:r w:rsidR="001E249B">
        <w:t xml:space="preserve">in </w:t>
      </w:r>
      <w:r w:rsidR="001E249B">
        <w:fldChar w:fldCharType="begin"/>
      </w:r>
      <w:r w:rsidR="001E249B">
        <w:instrText xml:space="preserve"> REF _Ref7777567 \r \h </w:instrText>
      </w:r>
      <w:r w:rsidR="001E249B">
        <w:fldChar w:fldCharType="separate"/>
      </w:r>
      <w:r w:rsidR="001E249B">
        <w:t>[7]</w:t>
      </w:r>
      <w:r w:rsidR="001E249B">
        <w:fldChar w:fldCharType="end"/>
      </w:r>
      <w:r w:rsidR="001E249B">
        <w:t xml:space="preserve"> </w:t>
      </w:r>
      <w:r w:rsidR="00F73836">
        <w:t xml:space="preserve">will follow the updates </w:t>
      </w:r>
      <w:r w:rsidR="001E249B">
        <w:t>for</w:t>
      </w:r>
      <w:r w:rsidR="00F73836">
        <w:t xml:space="preserve"> </w:t>
      </w:r>
      <w:r w:rsidR="00392922">
        <w:t>TS 38.141-1</w:t>
      </w:r>
      <w:r w:rsidR="001E249B">
        <w:t xml:space="preserve"> captured in </w:t>
      </w:r>
      <w:r w:rsidR="001E249B">
        <w:fldChar w:fldCharType="begin"/>
      </w:r>
      <w:r w:rsidR="001E249B">
        <w:instrText xml:space="preserve"> REF _Ref7777561 \r \h </w:instrText>
      </w:r>
      <w:r w:rsidR="001E249B">
        <w:fldChar w:fldCharType="separate"/>
      </w:r>
      <w:r w:rsidR="001E249B">
        <w:t>[6]</w:t>
      </w:r>
      <w:r w:rsidR="001E249B">
        <w:fldChar w:fldCharType="end"/>
      </w:r>
      <w:r w:rsidR="00F73836">
        <w:t>.</w:t>
      </w:r>
    </w:p>
    <w:p w14:paraId="7BE1E4A9" w14:textId="77777777" w:rsidR="00F73836" w:rsidRDefault="00F73836" w:rsidP="00F73836">
      <w:pPr>
        <w:pStyle w:val="Heading1"/>
      </w:pPr>
      <w:r>
        <w:t>Discussion</w:t>
      </w:r>
    </w:p>
    <w:p w14:paraId="7D05AA19" w14:textId="4FD22BE2" w:rsidR="00AF48E9" w:rsidRDefault="00A618BD" w:rsidP="00A618BD">
      <w:r>
        <w:t>There are several options</w:t>
      </w:r>
      <w:r w:rsidR="00C90533">
        <w:t xml:space="preserve"> </w:t>
      </w:r>
      <w:r w:rsidR="00392922">
        <w:t xml:space="preserve">listed </w:t>
      </w:r>
      <w:r>
        <w:t xml:space="preserve">in WF </w:t>
      </w:r>
      <w:r>
        <w:fldChar w:fldCharType="begin"/>
      </w:r>
      <w:r>
        <w:instrText xml:space="preserve"> REF _Ref6990393 \r \h </w:instrText>
      </w:r>
      <w:r>
        <w:fldChar w:fldCharType="separate"/>
      </w:r>
      <w:r w:rsidR="001E249B">
        <w:t>[3]</w:t>
      </w:r>
      <w:r>
        <w:fldChar w:fldCharType="end"/>
      </w:r>
      <w:r>
        <w:t xml:space="preserve">. </w:t>
      </w:r>
    </w:p>
    <w:p w14:paraId="5AA974C3" w14:textId="77777777" w:rsidR="00AF48E9" w:rsidRPr="00392922" w:rsidRDefault="00AF48E9" w:rsidP="00AF48E9">
      <w:pPr>
        <w:numPr>
          <w:ilvl w:val="0"/>
          <w:numId w:val="4"/>
        </w:numPr>
        <w:ind w:left="360"/>
        <w:rPr>
          <w:i/>
        </w:rPr>
      </w:pPr>
      <w:r w:rsidRPr="00392922">
        <w:rPr>
          <w:i/>
        </w:rPr>
        <w:t xml:space="preserve">Companies are encouraged to provide implementation details for: </w:t>
      </w:r>
    </w:p>
    <w:p w14:paraId="31F15134" w14:textId="77777777" w:rsidR="00AF48E9" w:rsidRPr="00392922" w:rsidRDefault="00AF48E9" w:rsidP="00AF48E9">
      <w:pPr>
        <w:ind w:left="360"/>
        <w:rPr>
          <w:i/>
        </w:rPr>
      </w:pPr>
      <w:r w:rsidRPr="00392922">
        <w:rPr>
          <w:i/>
        </w:rPr>
        <w:t>Option 1. Implement TAE testing using</w:t>
      </w:r>
    </w:p>
    <w:p w14:paraId="11C5151B" w14:textId="77777777" w:rsidR="00AF48E9" w:rsidRPr="00392922" w:rsidRDefault="00AF48E9" w:rsidP="00AF48E9">
      <w:pPr>
        <w:numPr>
          <w:ilvl w:val="1"/>
          <w:numId w:val="4"/>
        </w:numPr>
        <w:rPr>
          <w:i/>
        </w:rPr>
      </w:pPr>
      <w:r w:rsidRPr="00392922">
        <w:rPr>
          <w:i/>
        </w:rPr>
        <w:t>Option 1A: MIMO: Rank 2 transmission (in which CDM applied to the DMRS)</w:t>
      </w:r>
    </w:p>
    <w:p w14:paraId="50C75EC9" w14:textId="77777777" w:rsidR="00AF48E9" w:rsidRPr="00392922" w:rsidRDefault="00AF48E9" w:rsidP="00AF48E9">
      <w:pPr>
        <w:numPr>
          <w:ilvl w:val="1"/>
          <w:numId w:val="4"/>
        </w:numPr>
        <w:rPr>
          <w:i/>
        </w:rPr>
      </w:pPr>
      <w:r w:rsidRPr="00392922">
        <w:rPr>
          <w:i/>
        </w:rPr>
        <w:t>Option 1D: implement CDM or FDM of DMRS to emulate TX diversity</w:t>
      </w:r>
    </w:p>
    <w:p w14:paraId="0B8C24C8" w14:textId="77777777" w:rsidR="00AF48E9" w:rsidRPr="00392922" w:rsidRDefault="00AF48E9" w:rsidP="00AF48E9">
      <w:pPr>
        <w:ind w:left="360"/>
        <w:rPr>
          <w:rFonts w:eastAsiaTheme="minorEastAsia"/>
          <w:i/>
          <w:lang w:eastAsia="zh-CN"/>
        </w:rPr>
      </w:pPr>
      <w:r w:rsidRPr="00392922">
        <w:rPr>
          <w:i/>
        </w:rPr>
        <w:t xml:space="preserve">Option 2. </w:t>
      </w:r>
      <w:r w:rsidRPr="00392922">
        <w:rPr>
          <w:rFonts w:eastAsiaTheme="minorEastAsia"/>
          <w:i/>
          <w:lang w:eastAsia="zh-CN"/>
        </w:rPr>
        <w:t>I</w:t>
      </w:r>
      <w:r w:rsidRPr="00392922">
        <w:rPr>
          <w:rFonts w:eastAsiaTheme="minorEastAsia" w:hint="eastAsia"/>
          <w:i/>
          <w:lang w:eastAsia="zh-CN"/>
        </w:rPr>
        <w:t>ntroduce Tx polarization if supported</w:t>
      </w:r>
      <w:r w:rsidRPr="00392922">
        <w:rPr>
          <w:i/>
        </w:rPr>
        <w:t xml:space="preserve"> for NR based specifications</w:t>
      </w:r>
      <w:r w:rsidRPr="00392922">
        <w:rPr>
          <w:rFonts w:eastAsiaTheme="minorEastAsia" w:hint="eastAsia"/>
          <w:i/>
          <w:lang w:eastAsia="zh-CN"/>
        </w:rPr>
        <w:t xml:space="preserve"> based on future work</w:t>
      </w:r>
    </w:p>
    <w:p w14:paraId="1A6BC561" w14:textId="77777777" w:rsidR="00AF48E9" w:rsidRPr="00392922" w:rsidRDefault="00AF48E9" w:rsidP="00AF48E9">
      <w:pPr>
        <w:numPr>
          <w:ilvl w:val="1"/>
          <w:numId w:val="4"/>
        </w:numPr>
        <w:rPr>
          <w:i/>
        </w:rPr>
      </w:pPr>
      <w:r w:rsidRPr="00392922">
        <w:rPr>
          <w:i/>
        </w:rPr>
        <w:t>Analysis on how TX polarization can be applied to TAE testing is encouraged by companies prior to implementation of part of the TAE requirement</w:t>
      </w:r>
    </w:p>
    <w:p w14:paraId="337FE0F9" w14:textId="77777777" w:rsidR="00AF48E9" w:rsidRPr="00392922" w:rsidRDefault="00AF48E9" w:rsidP="00AF48E9">
      <w:pPr>
        <w:numPr>
          <w:ilvl w:val="1"/>
          <w:numId w:val="4"/>
        </w:numPr>
        <w:rPr>
          <w:i/>
        </w:rPr>
      </w:pPr>
      <w:r w:rsidRPr="00392922">
        <w:rPr>
          <w:i/>
        </w:rPr>
        <w:t>Implement TAE testing using</w:t>
      </w:r>
    </w:p>
    <w:p w14:paraId="4BE675EA" w14:textId="77777777" w:rsidR="00AF48E9" w:rsidRPr="00392922" w:rsidRDefault="00AF48E9" w:rsidP="00AF48E9">
      <w:pPr>
        <w:numPr>
          <w:ilvl w:val="2"/>
          <w:numId w:val="4"/>
        </w:numPr>
        <w:rPr>
          <w:i/>
        </w:rPr>
      </w:pPr>
      <w:r w:rsidRPr="00392922">
        <w:rPr>
          <w:i/>
        </w:rPr>
        <w:t xml:space="preserve">Option 2D: implement CDM or FDM of DMRS </w:t>
      </w:r>
    </w:p>
    <w:p w14:paraId="32FFE3BB" w14:textId="563E3FE7" w:rsidR="00A618BD" w:rsidRDefault="00A618BD" w:rsidP="00A618BD">
      <w:r>
        <w:t xml:space="preserve">The first </w:t>
      </w:r>
      <w:r w:rsidR="00392922">
        <w:t xml:space="preserve">option examined </w:t>
      </w:r>
      <w:r>
        <w:t xml:space="preserve">is </w:t>
      </w:r>
      <w:r w:rsidR="00392922">
        <w:t xml:space="preserve">how </w:t>
      </w:r>
      <w:r>
        <w:t>to configure MIMO.</w:t>
      </w:r>
    </w:p>
    <w:p w14:paraId="1C18CE16" w14:textId="7EA6F2B0" w:rsidR="00C90533" w:rsidRPr="00A618BD" w:rsidRDefault="00C90533" w:rsidP="00C90533">
      <w:pPr>
        <w:pStyle w:val="Heading2"/>
      </w:pPr>
      <w:r>
        <w:t>Option 1A</w:t>
      </w:r>
    </w:p>
    <w:p w14:paraId="4B5CB65F" w14:textId="44E8D353" w:rsidR="00C50CD0" w:rsidRPr="00C50CD0" w:rsidRDefault="00812EDF" w:rsidP="00A618BD">
      <w:pPr>
        <w:pStyle w:val="Heading3"/>
      </w:pPr>
      <w:r>
        <w:t>Background</w:t>
      </w:r>
      <w:r w:rsidR="00A618BD">
        <w:t xml:space="preserve"> for option 1A</w:t>
      </w:r>
    </w:p>
    <w:p w14:paraId="2072E6EB" w14:textId="743359D9" w:rsidR="00F73836" w:rsidRDefault="00593F7B">
      <w:r>
        <w:t xml:space="preserve">In </w:t>
      </w:r>
      <w:r>
        <w:fldChar w:fldCharType="begin"/>
      </w:r>
      <w:r>
        <w:instrText xml:space="preserve"> REF _Ref6990473 \r \h </w:instrText>
      </w:r>
      <w:r>
        <w:fldChar w:fldCharType="separate"/>
      </w:r>
      <w:r w:rsidR="001E249B">
        <w:t>[4]</w:t>
      </w:r>
      <w:r>
        <w:fldChar w:fldCharType="end"/>
      </w:r>
      <w:r>
        <w:t xml:space="preserve">, subclause </w:t>
      </w:r>
      <w:r w:rsidRPr="00593F7B">
        <w:t>6.5.3.4.2</w:t>
      </w:r>
      <w:r>
        <w:t>, the procedure was indicated by the note (see below, italics and highlighting added)</w:t>
      </w:r>
    </w:p>
    <w:p w14:paraId="623D0409" w14:textId="77777777" w:rsidR="00593F7B" w:rsidRPr="00593F7B" w:rsidRDefault="00593F7B" w:rsidP="00593F7B">
      <w:pPr>
        <w:pStyle w:val="B1"/>
        <w:rPr>
          <w:i/>
        </w:rPr>
      </w:pPr>
      <w:r w:rsidRPr="00593F7B">
        <w:rPr>
          <w:i/>
        </w:rPr>
        <w:t>1)</w:t>
      </w:r>
      <w:r w:rsidRPr="00593F7B">
        <w:rPr>
          <w:i/>
        </w:rPr>
        <w:tab/>
      </w:r>
      <w:r w:rsidRPr="00593F7B" w:rsidDel="002B598B">
        <w:rPr>
          <w:i/>
        </w:rPr>
        <w:t xml:space="preserve">Set the base station to transmit E-TM1.1 </w:t>
      </w:r>
      <w:r w:rsidRPr="00593F7B">
        <w:rPr>
          <w:i/>
        </w:rPr>
        <w:t>or any DL signal using</w:t>
      </w:r>
      <w:r w:rsidRPr="00392922">
        <w:rPr>
          <w:i/>
          <w:color w:val="FF0000"/>
        </w:rPr>
        <w:t xml:space="preserve"> </w:t>
      </w:r>
      <w:r w:rsidRPr="00392922">
        <w:rPr>
          <w:i/>
          <w:strike/>
          <w:color w:val="FF0000"/>
        </w:rPr>
        <w:t xml:space="preserve">TX diversity, </w:t>
      </w:r>
      <w:r w:rsidRPr="00593F7B">
        <w:rPr>
          <w:i/>
        </w:rPr>
        <w:t xml:space="preserve">MIMO </w:t>
      </w:r>
      <w:r w:rsidRPr="00593F7B" w:rsidDel="002B598B">
        <w:rPr>
          <w:i/>
        </w:rPr>
        <w:t>transmission or carrier aggregation</w:t>
      </w:r>
      <w:r w:rsidRPr="00593F7B">
        <w:rPr>
          <w:i/>
        </w:rPr>
        <w:t>.</w:t>
      </w:r>
    </w:p>
    <w:p w14:paraId="59D0A802" w14:textId="77777777" w:rsidR="00593F7B" w:rsidRPr="00593F7B" w:rsidRDefault="00593F7B" w:rsidP="00593F7B">
      <w:pPr>
        <w:pStyle w:val="B1"/>
        <w:ind w:left="1701" w:hanging="850"/>
        <w:rPr>
          <w:i/>
        </w:rPr>
      </w:pPr>
      <w:r w:rsidRPr="00593F7B">
        <w:rPr>
          <w:i/>
        </w:rPr>
        <w:t xml:space="preserve">NOTE: </w:t>
      </w:r>
      <w:r w:rsidRPr="00593F7B">
        <w:rPr>
          <w:i/>
        </w:rPr>
        <w:tab/>
      </w:r>
      <w:r w:rsidRPr="00593F7B">
        <w:rPr>
          <w:i/>
          <w:highlight w:val="yellow"/>
        </w:rPr>
        <w:t xml:space="preserve">For </w:t>
      </w:r>
      <w:r w:rsidRPr="00392922">
        <w:rPr>
          <w:i/>
          <w:strike/>
          <w:color w:val="FF0000"/>
          <w:highlight w:val="yellow"/>
        </w:rPr>
        <w:t xml:space="preserve">TX diversity </w:t>
      </w:r>
      <w:r w:rsidRPr="00593F7B">
        <w:rPr>
          <w:i/>
          <w:highlight w:val="yellow"/>
        </w:rPr>
        <w:t>and MIMO transmission, different ports may be configured in E-TM (using p = 0 and 1)</w:t>
      </w:r>
      <w:r w:rsidRPr="00593F7B">
        <w:rPr>
          <w:i/>
          <w:lang w:eastAsia="zh-CN"/>
        </w:rPr>
        <w:t>.</w:t>
      </w:r>
    </w:p>
    <w:p w14:paraId="731181C3" w14:textId="2DE0329D" w:rsidR="00F73836" w:rsidRDefault="00593F7B">
      <w:r>
        <w:t xml:space="preserve">In </w:t>
      </w:r>
      <w:r>
        <w:fldChar w:fldCharType="begin"/>
      </w:r>
      <w:r>
        <w:instrText xml:space="preserve"> REF _Ref6990530 \r \h </w:instrText>
      </w:r>
      <w:r>
        <w:fldChar w:fldCharType="separate"/>
      </w:r>
      <w:r w:rsidR="001E249B">
        <w:t>[5]</w:t>
      </w:r>
      <w:r>
        <w:fldChar w:fldCharType="end"/>
      </w:r>
      <w:r>
        <w:t>, subclause 6.5.4.4.2, the following note is used</w:t>
      </w:r>
    </w:p>
    <w:p w14:paraId="2FEB1CAB" w14:textId="5C256867" w:rsidR="00593F7B" w:rsidRPr="00593F7B" w:rsidRDefault="00593F7B" w:rsidP="00593F7B">
      <w:pPr>
        <w:rPr>
          <w:i/>
          <w:sz w:val="20"/>
        </w:rPr>
      </w:pPr>
      <w:r w:rsidRPr="00593F7B">
        <w:rPr>
          <w:i/>
          <w:sz w:val="20"/>
        </w:rPr>
        <w:lastRenderedPageBreak/>
        <w:t>2)</w:t>
      </w:r>
      <w:r w:rsidRPr="00593F7B">
        <w:rPr>
          <w:i/>
          <w:sz w:val="20"/>
        </w:rPr>
        <w:tab/>
        <w:t>Set the connectors under test to transmit NR-FR1-TM 1.1 or any DL signal using MIMO transmission or carrier aggregation.</w:t>
      </w:r>
    </w:p>
    <w:p w14:paraId="68555D11" w14:textId="42309087" w:rsidR="00593F7B" w:rsidRPr="00593F7B" w:rsidRDefault="00593F7B" w:rsidP="00593F7B">
      <w:pPr>
        <w:rPr>
          <w:i/>
          <w:sz w:val="20"/>
        </w:rPr>
      </w:pPr>
      <w:r w:rsidRPr="00593F7B">
        <w:rPr>
          <w:i/>
          <w:sz w:val="20"/>
        </w:rPr>
        <w:t>NOTE:</w:t>
      </w:r>
      <w:r w:rsidRPr="00593F7B">
        <w:rPr>
          <w:i/>
          <w:sz w:val="20"/>
        </w:rPr>
        <w:tab/>
        <w:t>For MIMO transmission, different ports may be configured in NR-FR1-TM 1.1.</w:t>
      </w:r>
    </w:p>
    <w:p w14:paraId="01ABFF1E" w14:textId="2DBE5D15" w:rsidR="00F73836" w:rsidRDefault="00645891">
      <w:r>
        <w:t>One question is the port numbering while another question is whether the test model adequately supports multiple ports.</w:t>
      </w:r>
    </w:p>
    <w:p w14:paraId="3EE1CBD9" w14:textId="17E9A8B9" w:rsidR="00B417A5" w:rsidRDefault="00A618BD" w:rsidP="00A618BD">
      <w:pPr>
        <w:pStyle w:val="Heading3"/>
      </w:pPr>
      <w:r>
        <w:t>Physical layers</w:t>
      </w:r>
    </w:p>
    <w:p w14:paraId="152DA1C7" w14:textId="643AF428" w:rsidR="00812EDF" w:rsidRDefault="00812EDF" w:rsidP="00812EDF">
      <w:r>
        <w:t>TS 38.211 defines the layers and ports in the following subclauses:</w:t>
      </w:r>
    </w:p>
    <w:p w14:paraId="7E1156A0" w14:textId="4D03119F" w:rsidR="00812EDF" w:rsidRDefault="00812EDF" w:rsidP="00812EDF">
      <w:pPr>
        <w:numPr>
          <w:ilvl w:val="0"/>
          <w:numId w:val="9"/>
        </w:numPr>
      </w:pPr>
      <w:r>
        <w:t>Subclause 7.3.1.3: 2 layers and 1 codeword determine the payload size</w:t>
      </w:r>
    </w:p>
    <w:p w14:paraId="71BC36B0" w14:textId="24120D69" w:rsidR="00812EDF" w:rsidRDefault="00812EDF" w:rsidP="00812EDF">
      <w:pPr>
        <w:numPr>
          <w:ilvl w:val="0"/>
          <w:numId w:val="9"/>
        </w:numPr>
      </w:pPr>
      <w:r>
        <w:t xml:space="preserve">Subclause 7.3.1.4: </w:t>
      </w:r>
      <w:r w:rsidRPr="00812EDF">
        <w:rPr>
          <w:i/>
        </w:rPr>
        <w:t>p</w:t>
      </w:r>
      <w:r w:rsidRPr="00812EDF">
        <w:rPr>
          <w:vertAlign w:val="subscript"/>
        </w:rPr>
        <w:t>0</w:t>
      </w:r>
      <w:r>
        <w:t xml:space="preserve"> maps to </w:t>
      </w:r>
      <w:r w:rsidRPr="00812EDF">
        <w:rPr>
          <w:i/>
        </w:rPr>
        <w:t>x</w:t>
      </w:r>
      <w:r w:rsidRPr="00812EDF">
        <w:rPr>
          <w:vertAlign w:val="superscript"/>
        </w:rPr>
        <w:t>(0)</w:t>
      </w:r>
      <w:r>
        <w:t xml:space="preserve">, </w:t>
      </w:r>
      <w:r w:rsidRPr="00812EDF">
        <w:rPr>
          <w:i/>
        </w:rPr>
        <w:t>p</w:t>
      </w:r>
      <w:r>
        <w:rPr>
          <w:vertAlign w:val="subscript"/>
        </w:rPr>
        <w:t>1</w:t>
      </w:r>
      <w:r>
        <w:t xml:space="preserve"> maps to </w:t>
      </w:r>
      <w:r w:rsidRPr="00812EDF">
        <w:rPr>
          <w:i/>
        </w:rPr>
        <w:t>x</w:t>
      </w:r>
      <w:r w:rsidRPr="00812EDF">
        <w:rPr>
          <w:vertAlign w:val="superscript"/>
        </w:rPr>
        <w:t>(</w:t>
      </w:r>
      <w:r>
        <w:rPr>
          <w:vertAlign w:val="superscript"/>
        </w:rPr>
        <w:t>1</w:t>
      </w:r>
      <w:r w:rsidRPr="00812EDF">
        <w:rPr>
          <w:vertAlign w:val="superscript"/>
        </w:rPr>
        <w:t>)</w:t>
      </w:r>
      <w:r w:rsidRPr="00812EDF">
        <w:t xml:space="preserve"> </w:t>
      </w:r>
    </w:p>
    <w:p w14:paraId="63993056" w14:textId="38380598" w:rsidR="00812EDF" w:rsidRDefault="00812EDF" w:rsidP="00812EDF">
      <w:pPr>
        <w:numPr>
          <w:ilvl w:val="0"/>
          <w:numId w:val="9"/>
        </w:numPr>
      </w:pPr>
      <w:r>
        <w:t>Subclause</w:t>
      </w:r>
      <w:r w:rsidRPr="00812EDF">
        <w:t xml:space="preserve"> 7.4.1.1.2</w:t>
      </w:r>
      <w:r>
        <w:t>: DM-RS mapping (note the TM uses “configuration type 1” and “</w:t>
      </w:r>
      <w:r w:rsidRPr="00812EDF">
        <w:t>PDSCH mapping type A</w:t>
      </w:r>
      <w:r>
        <w:t>”</w:t>
      </w:r>
      <w:r w:rsidR="008B314B">
        <w:t>)</w:t>
      </w:r>
    </w:p>
    <w:p w14:paraId="44B59BB1" w14:textId="27AA2560" w:rsidR="00812EDF" w:rsidRDefault="003A1AD2" w:rsidP="003A1AD2">
      <w:pPr>
        <w:numPr>
          <w:ilvl w:val="1"/>
          <w:numId w:val="9"/>
        </w:numPr>
      </w:pPr>
      <w:r>
        <w:t xml:space="preserve">DM-RS cover code is determined by Table </w:t>
      </w:r>
      <w:r w:rsidRPr="00CD52A6">
        <w:t>7.4.1.1.2-1</w:t>
      </w:r>
    </w:p>
    <w:p w14:paraId="1EA613F0" w14:textId="0D98A690" w:rsidR="003A1AD2" w:rsidRDefault="003A1AD2" w:rsidP="00812EDF">
      <w:r>
        <w:t xml:space="preserve">The DCI configuration </w:t>
      </w:r>
      <w:r w:rsidR="00392922">
        <w:t xml:space="preserve">(format 1_1) </w:t>
      </w:r>
      <w:r>
        <w:t xml:space="preserve">to determine the set of ports is </w:t>
      </w:r>
      <w:r w:rsidR="00C43891">
        <w:t>described in Table 7.3.1.2.2-1</w:t>
      </w:r>
      <w:r w:rsidR="00134539">
        <w:t xml:space="preserve"> of TS 38.212</w:t>
      </w:r>
      <w:r w:rsidR="00C43891">
        <w:t>.</w:t>
      </w:r>
      <w:r w:rsidR="00134539">
        <w:t xml:space="preserve"> The value of “2” for the field “</w:t>
      </w:r>
      <w:r w:rsidR="00134539" w:rsidRPr="00134539">
        <w:t xml:space="preserve">Antenna port </w:t>
      </w:r>
      <w:r w:rsidR="00134539">
        <w:t xml:space="preserve">(s)” configures 2 ports “0” and “1”. This will correspond to CDM group “0” in </w:t>
      </w:r>
      <w:r w:rsidR="001E249B">
        <w:t xml:space="preserve">table </w:t>
      </w:r>
      <w:r w:rsidR="00134539">
        <w:t>7.4.1.1.2-1 of TS 38.211.</w:t>
      </w:r>
    </w:p>
    <w:p w14:paraId="60FE45B0" w14:textId="49C6A658" w:rsidR="0069558A" w:rsidRDefault="00072783" w:rsidP="00A618BD">
      <w:pPr>
        <w:pStyle w:val="Heading3"/>
      </w:pPr>
      <w:r>
        <w:t xml:space="preserve">Impact to </w:t>
      </w:r>
      <w:r w:rsidR="0069558A">
        <w:t>38.</w:t>
      </w:r>
      <w:r>
        <w:t>141-1</w:t>
      </w:r>
    </w:p>
    <w:p w14:paraId="4FEF3F09" w14:textId="7759C9EB" w:rsidR="0055426E" w:rsidRDefault="00072783">
      <w:r>
        <w:t xml:space="preserve">Subclause 4.9.2.3 states that the rank is 1. For MIMO transmissions, to support multiple layers that constraint must be relaxed. Subclause </w:t>
      </w:r>
      <w:r w:rsidRPr="00072783">
        <w:t>4.9.2.3.2</w:t>
      </w:r>
      <w:r>
        <w:t xml:space="preserve"> shows the mapping for one layer, not 2. Also the CDM group information is absent.</w:t>
      </w:r>
    </w:p>
    <w:p w14:paraId="343A884D" w14:textId="448BCF55" w:rsidR="001E249B" w:rsidRDefault="001E249B">
      <w:r>
        <w:t>In order to use MIMO, at least rank 2 must be supported. Given the mapping to codewords to layers, only one codeword is needed for rank 2 transmission. The mapping to ports should be provided in the standard so that the CDM is used.</w:t>
      </w:r>
    </w:p>
    <w:p w14:paraId="6E1E2C3C" w14:textId="79FA7EA5" w:rsidR="00B417A5" w:rsidRPr="00072783" w:rsidRDefault="00072783">
      <w:pPr>
        <w:rPr>
          <w:b/>
          <w:i/>
        </w:rPr>
      </w:pPr>
      <w:r w:rsidRPr="00072783">
        <w:rPr>
          <w:b/>
          <w:i/>
        </w:rPr>
        <w:t>Observation</w:t>
      </w:r>
      <w:r w:rsidR="00A618BD">
        <w:rPr>
          <w:b/>
          <w:i/>
        </w:rPr>
        <w:t xml:space="preserve"> 1</w:t>
      </w:r>
      <w:r w:rsidRPr="00072783">
        <w:rPr>
          <w:b/>
          <w:i/>
        </w:rPr>
        <w:t>: test model descriptions require minor changes to capture MIMO transmissions for TAE testing.</w:t>
      </w:r>
    </w:p>
    <w:p w14:paraId="7A1FC5DA" w14:textId="39CF4455" w:rsidR="00A618BD" w:rsidRPr="00C50CD0" w:rsidRDefault="00A618BD" w:rsidP="00A618BD">
      <w:pPr>
        <w:pStyle w:val="Heading2"/>
      </w:pPr>
      <w:r>
        <w:t>Option 1D</w:t>
      </w:r>
    </w:p>
    <w:p w14:paraId="4D79EE9A" w14:textId="77777777" w:rsidR="00A24E42" w:rsidRDefault="00A24E42">
      <w:r>
        <w:t xml:space="preserve">Examination of the mappings suggest that CDM is option 1A. FDM is determined by using the value of </w:t>
      </w:r>
      <w:r w:rsidRPr="00A24E42">
        <w:t>“</w:t>
      </w:r>
      <w:r>
        <w:t>11</w:t>
      </w:r>
      <w:r w:rsidRPr="00A24E42">
        <w:t xml:space="preserve">” for the field “Antenna port (s)” </w:t>
      </w:r>
      <w:r>
        <w:t xml:space="preserve">in Table 7.3.1.2.2-1 of TS 38.212 to configure </w:t>
      </w:r>
      <w:r w:rsidRPr="00A24E42">
        <w:t>ports “0” and “</w:t>
      </w:r>
      <w:r>
        <w:t>2</w:t>
      </w:r>
      <w:r w:rsidRPr="00A24E42">
        <w:t>”</w:t>
      </w:r>
      <w:r>
        <w:t>. The DM-RS are located on alternate REs.</w:t>
      </w:r>
    </w:p>
    <w:p w14:paraId="5FC5264E" w14:textId="6A73F793" w:rsidR="00A24E42" w:rsidRPr="00072783" w:rsidRDefault="00A24E42" w:rsidP="00A24E42">
      <w:pPr>
        <w:rPr>
          <w:b/>
          <w:i/>
        </w:rPr>
      </w:pPr>
      <w:r w:rsidRPr="00072783">
        <w:rPr>
          <w:b/>
          <w:i/>
        </w:rPr>
        <w:t>Observation</w:t>
      </w:r>
      <w:r>
        <w:rPr>
          <w:b/>
          <w:i/>
        </w:rPr>
        <w:t xml:space="preserve"> 2</w:t>
      </w:r>
      <w:r w:rsidRPr="00072783">
        <w:rPr>
          <w:b/>
          <w:i/>
        </w:rPr>
        <w:t xml:space="preserve">: </w:t>
      </w:r>
      <w:r>
        <w:rPr>
          <w:b/>
          <w:i/>
        </w:rPr>
        <w:t>FDM positioning of DM-RS is also achievable by changing configurations</w:t>
      </w:r>
      <w:r w:rsidRPr="00072783">
        <w:rPr>
          <w:b/>
          <w:i/>
        </w:rPr>
        <w:t>.</w:t>
      </w:r>
      <w:r w:rsidR="00C90533">
        <w:rPr>
          <w:b/>
          <w:i/>
        </w:rPr>
        <w:t xml:space="preserve"> Note port offset 0 and 2 are needed.</w:t>
      </w:r>
    </w:p>
    <w:p w14:paraId="3B957031" w14:textId="2DFB33C9" w:rsidR="001E249B" w:rsidRDefault="001E249B" w:rsidP="001E249B">
      <w:r>
        <w:t>In order to use MIMO, at least rank 2 must be supported. Given the mapping to codewords to layers, only one codeword is needed for rank 2 transmission. The mapping to ports should be provided in the standard so that the FDM is used. The impact of using FDM is that port mapping is not 0,1 (as indicated in other standards) but is 0,2</w:t>
      </w:r>
    </w:p>
    <w:p w14:paraId="48D851E0" w14:textId="5C0F472D" w:rsidR="00A24E42" w:rsidRPr="00C50CD0" w:rsidRDefault="00A24E42" w:rsidP="00A24E42">
      <w:pPr>
        <w:pStyle w:val="Heading1"/>
      </w:pPr>
      <w:r>
        <w:t>Conclusion</w:t>
      </w:r>
    </w:p>
    <w:p w14:paraId="1693D8F5" w14:textId="66B265FD" w:rsidR="00B417A5" w:rsidRDefault="00A24E42">
      <w:r>
        <w:t>Minor updates to 38.141-1 are needed to capture TAE testing with MIMO.</w:t>
      </w:r>
    </w:p>
    <w:p w14:paraId="3B30ED41" w14:textId="77777777" w:rsidR="00A24E42" w:rsidRPr="00072783" w:rsidRDefault="00A24E42" w:rsidP="00A24E42">
      <w:pPr>
        <w:rPr>
          <w:b/>
          <w:i/>
        </w:rPr>
      </w:pPr>
      <w:r w:rsidRPr="00072783">
        <w:rPr>
          <w:b/>
          <w:i/>
        </w:rPr>
        <w:t>Observation</w:t>
      </w:r>
      <w:r>
        <w:rPr>
          <w:b/>
          <w:i/>
        </w:rPr>
        <w:t xml:space="preserve"> 1</w:t>
      </w:r>
      <w:r w:rsidRPr="00072783">
        <w:rPr>
          <w:b/>
          <w:i/>
        </w:rPr>
        <w:t>: test model descriptions require minor changes to capture MIMO transmissions for TAE testing.</w:t>
      </w:r>
    </w:p>
    <w:p w14:paraId="512A8162" w14:textId="08B3585C" w:rsidR="00A24E42" w:rsidRDefault="00A24E42">
      <w:r>
        <w:lastRenderedPageBreak/>
        <w:t>Of the two options, CDM and FDM, both are possible. For convenience, the accompanying documents capture CDM.</w:t>
      </w:r>
    </w:p>
    <w:p w14:paraId="493181DB" w14:textId="324CEA28" w:rsidR="00A24E42" w:rsidRPr="00072783" w:rsidRDefault="00A24E42" w:rsidP="00A24E42">
      <w:pPr>
        <w:rPr>
          <w:b/>
          <w:i/>
        </w:rPr>
      </w:pPr>
      <w:r w:rsidRPr="00072783">
        <w:rPr>
          <w:b/>
          <w:i/>
        </w:rPr>
        <w:t>Observation</w:t>
      </w:r>
      <w:r>
        <w:rPr>
          <w:b/>
          <w:i/>
        </w:rPr>
        <w:t xml:space="preserve"> 2</w:t>
      </w:r>
      <w:r w:rsidRPr="00072783">
        <w:rPr>
          <w:b/>
          <w:i/>
        </w:rPr>
        <w:t xml:space="preserve">: </w:t>
      </w:r>
      <w:r>
        <w:rPr>
          <w:b/>
          <w:i/>
        </w:rPr>
        <w:t>FDM positioning of DM-RS is also achievable by changing configurations</w:t>
      </w:r>
      <w:r w:rsidRPr="00072783">
        <w:rPr>
          <w:b/>
          <w:i/>
        </w:rPr>
        <w:t>.</w:t>
      </w:r>
      <w:r w:rsidR="00702B24">
        <w:rPr>
          <w:b/>
          <w:i/>
        </w:rPr>
        <w:t xml:space="preserve"> </w:t>
      </w:r>
      <w:r w:rsidR="00702B24">
        <w:rPr>
          <w:b/>
          <w:i/>
        </w:rPr>
        <w:t xml:space="preserve">Note port offset 0 and 2 are </w:t>
      </w:r>
      <w:bookmarkStart w:id="0" w:name="_GoBack"/>
      <w:bookmarkEnd w:id="0"/>
      <w:r w:rsidR="00702B24">
        <w:rPr>
          <w:b/>
          <w:i/>
        </w:rPr>
        <w:t>needed.</w:t>
      </w:r>
    </w:p>
    <w:p w14:paraId="67632619" w14:textId="77777777" w:rsidR="00543AD0" w:rsidRDefault="008E7A37">
      <w:pPr>
        <w:pStyle w:val="Heading1"/>
        <w:numPr>
          <w:ilvl w:val="0"/>
          <w:numId w:val="0"/>
        </w:numPr>
        <w:ind w:left="432" w:hanging="432"/>
      </w:pPr>
      <w:r>
        <w:t>References</w:t>
      </w:r>
    </w:p>
    <w:p w14:paraId="61B981D2" w14:textId="4F0ED584" w:rsidR="00543AD0" w:rsidRDefault="008E7A37">
      <w:pPr>
        <w:pStyle w:val="references"/>
      </w:pPr>
      <w:bookmarkStart w:id="1" w:name="_Ref5744944"/>
      <w:bookmarkStart w:id="2" w:name="_Ref6990363"/>
      <w:r>
        <w:t>R4-1902280, “WF on Tx Diversity for TAE requirements”, Ericsson, RAN4#90, Feb. 25 – Mar. 1, 2019</w:t>
      </w:r>
      <w:bookmarkEnd w:id="1"/>
      <w:r w:rsidR="00750BB1">
        <w:t>.</w:t>
      </w:r>
      <w:bookmarkEnd w:id="2"/>
    </w:p>
    <w:p w14:paraId="3E0020DC" w14:textId="48ABC052" w:rsidR="00750BB1" w:rsidRDefault="00750BB1" w:rsidP="00750BB1">
      <w:pPr>
        <w:pStyle w:val="references"/>
      </w:pPr>
      <w:bookmarkStart w:id="3" w:name="_Ref6990402"/>
      <w:r>
        <w:t>R4-1904073, “TAE Requirement and TX Diversity”, Ericsson,</w:t>
      </w:r>
      <w:r w:rsidRPr="00750BB1">
        <w:t xml:space="preserve"> </w:t>
      </w:r>
      <w:r>
        <w:t>RAN4#90B, Apr. 8 – 12, 2019.</w:t>
      </w:r>
      <w:bookmarkEnd w:id="3"/>
    </w:p>
    <w:p w14:paraId="381D172C" w14:textId="5EFE8760" w:rsidR="00750BB1" w:rsidRDefault="00750BB1" w:rsidP="00750BB1">
      <w:pPr>
        <w:pStyle w:val="references"/>
      </w:pPr>
      <w:bookmarkStart w:id="4" w:name="_Ref6990393"/>
      <w:r w:rsidRPr="00750BB1">
        <w:t>R4-1905123</w:t>
      </w:r>
      <w:r>
        <w:t>, “</w:t>
      </w:r>
      <w:r w:rsidRPr="00750BB1">
        <w:t>WF on TAE</w:t>
      </w:r>
      <w:r>
        <w:t xml:space="preserve">”, </w:t>
      </w:r>
      <w:r w:rsidRPr="00750BB1">
        <w:t>Huawei, HiSilicon</w:t>
      </w:r>
      <w:r>
        <w:t>,</w:t>
      </w:r>
      <w:r w:rsidRPr="00750BB1">
        <w:t xml:space="preserve"> </w:t>
      </w:r>
      <w:r>
        <w:t>RAN4#90B, Apr. 8 – 12, 2019.</w:t>
      </w:r>
      <w:bookmarkEnd w:id="4"/>
    </w:p>
    <w:p w14:paraId="2F9A5FC6" w14:textId="50590519" w:rsidR="00F73836" w:rsidRDefault="00F73836" w:rsidP="00750BB1">
      <w:pPr>
        <w:pStyle w:val="references"/>
      </w:pPr>
      <w:bookmarkStart w:id="5" w:name="_Ref6990473"/>
      <w:r>
        <w:t>36.141</w:t>
      </w:r>
      <w:bookmarkEnd w:id="5"/>
    </w:p>
    <w:p w14:paraId="7E90D76D" w14:textId="68B76793" w:rsidR="00F73836" w:rsidRDefault="00F73836" w:rsidP="00750BB1">
      <w:pPr>
        <w:pStyle w:val="references"/>
      </w:pPr>
      <w:bookmarkStart w:id="6" w:name="_Ref6990530"/>
      <w:r>
        <w:t>38.141-1</w:t>
      </w:r>
      <w:bookmarkEnd w:id="6"/>
    </w:p>
    <w:p w14:paraId="4C321505" w14:textId="7887F277" w:rsidR="001E249B" w:rsidRDefault="001E249B" w:rsidP="001E249B">
      <w:pPr>
        <w:pStyle w:val="references"/>
      </w:pPr>
      <w:bookmarkStart w:id="7" w:name="_Ref7777561"/>
      <w:r>
        <w:t>R4-1906719,</w:t>
      </w:r>
      <w:r w:rsidRPr="001E249B">
        <w:t xml:space="preserve"> </w:t>
      </w:r>
      <w:r>
        <w:t xml:space="preserve">“Corrections to TS38.141-1 for Timing Alignment Error (TAE) testing”, </w:t>
      </w:r>
      <w:r w:rsidRPr="001E249B">
        <w:t>Huawei, HiSilicon</w:t>
      </w:r>
      <w:r>
        <w:t>, RAN4#91, May 13-17, 2019.</w:t>
      </w:r>
      <w:bookmarkEnd w:id="7"/>
    </w:p>
    <w:p w14:paraId="02AF7F92" w14:textId="2D621165" w:rsidR="00A24E42" w:rsidRDefault="001E249B" w:rsidP="00750BB1">
      <w:pPr>
        <w:pStyle w:val="references"/>
      </w:pPr>
      <w:bookmarkStart w:id="8" w:name="_Ref7777567"/>
      <w:r>
        <w:t>R4-1906720,</w:t>
      </w:r>
      <w:r w:rsidRPr="001E249B">
        <w:t xml:space="preserve"> </w:t>
      </w:r>
      <w:r>
        <w:t xml:space="preserve">“Implementing TAE for 38.141-2”, </w:t>
      </w:r>
      <w:r w:rsidRPr="001E249B">
        <w:t>Huawei, HiSilicon</w:t>
      </w:r>
      <w:r>
        <w:t>, RAN4#91, May 13-17, 2019.</w:t>
      </w:r>
      <w:bookmarkEnd w:id="8"/>
    </w:p>
    <w:p w14:paraId="10532C66" w14:textId="77777777" w:rsidR="00543AD0" w:rsidRDefault="00543AD0"/>
    <w:sectPr w:rsidR="00543A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CE52B" w14:textId="77777777" w:rsidR="00E465DF" w:rsidRDefault="00E465DF" w:rsidP="0093792F">
      <w:pPr>
        <w:spacing w:after="0" w:line="240" w:lineRule="auto"/>
      </w:pPr>
      <w:r>
        <w:separator/>
      </w:r>
    </w:p>
  </w:endnote>
  <w:endnote w:type="continuationSeparator" w:id="0">
    <w:p w14:paraId="673F4C56" w14:textId="77777777" w:rsidR="00E465DF" w:rsidRDefault="00E465DF" w:rsidP="00937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494CA" w14:textId="77777777" w:rsidR="00E465DF" w:rsidRDefault="00E465DF" w:rsidP="0093792F">
      <w:pPr>
        <w:spacing w:after="0" w:line="240" w:lineRule="auto"/>
      </w:pPr>
      <w:r>
        <w:separator/>
      </w:r>
    </w:p>
  </w:footnote>
  <w:footnote w:type="continuationSeparator" w:id="0">
    <w:p w14:paraId="13C01E0B" w14:textId="77777777" w:rsidR="00E465DF" w:rsidRDefault="00E465DF" w:rsidP="009379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8B57C1"/>
    <w:multiLevelType w:val="hybridMultilevel"/>
    <w:tmpl w:val="D4241C48"/>
    <w:lvl w:ilvl="0" w:tplc="CB2AAA60">
      <w:start w:val="9"/>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30D34A9F"/>
    <w:multiLevelType w:val="hybridMultilevel"/>
    <w:tmpl w:val="D5A6E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9F5F98"/>
    <w:multiLevelType w:val="multilevel"/>
    <w:tmpl w:val="479F5F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92D1A62"/>
    <w:multiLevelType w:val="multilevel"/>
    <w:tmpl w:val="492D1A6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525C5C2F"/>
    <w:multiLevelType w:val="multilevel"/>
    <w:tmpl w:val="525C5C2F"/>
    <w:lvl w:ilvl="0">
      <w:start w:val="1"/>
      <w:numFmt w:val="decimal"/>
      <w:pStyle w:val="references"/>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9B4198E"/>
    <w:multiLevelType w:val="hybridMultilevel"/>
    <w:tmpl w:val="48B82010"/>
    <w:lvl w:ilvl="0" w:tplc="0B3449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6"/>
  </w:num>
  <w:num w:numId="5">
    <w:abstractNumId w:val="6"/>
  </w:num>
  <w:num w:numId="6">
    <w:abstractNumId w:val="1"/>
  </w:num>
  <w:num w:numId="7">
    <w:abstractNumId w:val="2"/>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bordersDoNotSurroundHeader/>
  <w:bordersDoNotSurroundFooter/>
  <w:defaultTabStop w:val="720"/>
  <w:drawingGridHorizontalSpacing w:val="72"/>
  <w:drawingGridVerticalSpacing w:val="7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958"/>
    <w:rsid w:val="00012C2E"/>
    <w:rsid w:val="0002328D"/>
    <w:rsid w:val="00030C91"/>
    <w:rsid w:val="00072783"/>
    <w:rsid w:val="000803B1"/>
    <w:rsid w:val="000A7BB2"/>
    <w:rsid w:val="00117DAD"/>
    <w:rsid w:val="00134539"/>
    <w:rsid w:val="001D75B4"/>
    <w:rsid w:val="001E249B"/>
    <w:rsid w:val="00217C8B"/>
    <w:rsid w:val="00263825"/>
    <w:rsid w:val="00285EFD"/>
    <w:rsid w:val="0028631C"/>
    <w:rsid w:val="002B639B"/>
    <w:rsid w:val="00316A45"/>
    <w:rsid w:val="00392922"/>
    <w:rsid w:val="003A1AD2"/>
    <w:rsid w:val="003A58B9"/>
    <w:rsid w:val="0043558E"/>
    <w:rsid w:val="004446C8"/>
    <w:rsid w:val="00496476"/>
    <w:rsid w:val="004F7354"/>
    <w:rsid w:val="0054365D"/>
    <w:rsid w:val="00543AD0"/>
    <w:rsid w:val="00547958"/>
    <w:rsid w:val="0055426E"/>
    <w:rsid w:val="0057786E"/>
    <w:rsid w:val="00584279"/>
    <w:rsid w:val="00593F7B"/>
    <w:rsid w:val="005F16FF"/>
    <w:rsid w:val="0064379A"/>
    <w:rsid w:val="00645891"/>
    <w:rsid w:val="00671317"/>
    <w:rsid w:val="0069558A"/>
    <w:rsid w:val="006B18AC"/>
    <w:rsid w:val="00702B24"/>
    <w:rsid w:val="00726491"/>
    <w:rsid w:val="00750BB1"/>
    <w:rsid w:val="007D7A43"/>
    <w:rsid w:val="00812EDF"/>
    <w:rsid w:val="0082116E"/>
    <w:rsid w:val="00850BC1"/>
    <w:rsid w:val="008A5A4D"/>
    <w:rsid w:val="008B314B"/>
    <w:rsid w:val="008B7130"/>
    <w:rsid w:val="008E208E"/>
    <w:rsid w:val="008E7A37"/>
    <w:rsid w:val="0093792F"/>
    <w:rsid w:val="0094753A"/>
    <w:rsid w:val="00A24E42"/>
    <w:rsid w:val="00A618BD"/>
    <w:rsid w:val="00A62F65"/>
    <w:rsid w:val="00A85B28"/>
    <w:rsid w:val="00A96CA6"/>
    <w:rsid w:val="00AF48E9"/>
    <w:rsid w:val="00B408C9"/>
    <w:rsid w:val="00B417A5"/>
    <w:rsid w:val="00B7663B"/>
    <w:rsid w:val="00B90EEF"/>
    <w:rsid w:val="00BD44F8"/>
    <w:rsid w:val="00C26783"/>
    <w:rsid w:val="00C43891"/>
    <w:rsid w:val="00C50CD0"/>
    <w:rsid w:val="00C56209"/>
    <w:rsid w:val="00C6434D"/>
    <w:rsid w:val="00C90533"/>
    <w:rsid w:val="00CA20F4"/>
    <w:rsid w:val="00CB0FCF"/>
    <w:rsid w:val="00CD72F0"/>
    <w:rsid w:val="00D821C9"/>
    <w:rsid w:val="00E06974"/>
    <w:rsid w:val="00E465DF"/>
    <w:rsid w:val="00E5148D"/>
    <w:rsid w:val="00E67199"/>
    <w:rsid w:val="00E779BD"/>
    <w:rsid w:val="00EA145A"/>
    <w:rsid w:val="00EF4604"/>
    <w:rsid w:val="00F73836"/>
    <w:rsid w:val="013658C1"/>
    <w:rsid w:val="0A15608E"/>
    <w:rsid w:val="0C865A9E"/>
    <w:rsid w:val="0E7C1895"/>
    <w:rsid w:val="10F345D7"/>
    <w:rsid w:val="11D9018E"/>
    <w:rsid w:val="14647B97"/>
    <w:rsid w:val="15636F27"/>
    <w:rsid w:val="1BB14A21"/>
    <w:rsid w:val="22ED0A77"/>
    <w:rsid w:val="26B34AC1"/>
    <w:rsid w:val="31CC2EAB"/>
    <w:rsid w:val="431E40C2"/>
    <w:rsid w:val="4543029E"/>
    <w:rsid w:val="4B38351C"/>
    <w:rsid w:val="4CE11FEC"/>
    <w:rsid w:val="65812B19"/>
    <w:rsid w:val="67317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BDDB9"/>
  <w15:docId w15:val="{BE008D54-984A-418E-BC5E-29C16BB55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napToGrid w:val="0"/>
      <w:spacing w:after="120"/>
      <w:jc w:val="both"/>
    </w:pPr>
    <w:rPr>
      <w:rFonts w:ascii="Times New Roman" w:eastAsiaTheme="minorHAnsi" w:hAnsi="Times New Roman"/>
      <w:sz w:val="22"/>
      <w:szCs w:val="22"/>
    </w:rPr>
  </w:style>
  <w:style w:type="paragraph" w:styleId="Heading1">
    <w:name w:val="heading 1"/>
    <w:basedOn w:val="Normal"/>
    <w:next w:val="Normal"/>
    <w:link w:val="Heading1Char"/>
    <w:uiPriority w:val="9"/>
    <w:qFormat/>
    <w:pPr>
      <w:keepNext/>
      <w:numPr>
        <w:numId w:val="1"/>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pPr>
      <w:keepNext/>
      <w:numPr>
        <w:ilvl w:val="1"/>
        <w:numId w:val="1"/>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pPr>
      <w:keepNext/>
      <w:numPr>
        <w:ilvl w:val="2"/>
        <w:numId w:val="1"/>
      </w:numPr>
      <w:spacing w:before="120"/>
      <w:outlineLvl w:val="2"/>
    </w:pPr>
    <w:rPr>
      <w:rFonts w:eastAsiaTheme="majorEastAsia"/>
      <w:b/>
      <w:szCs w:val="24"/>
    </w:rPr>
  </w:style>
  <w:style w:type="paragraph" w:styleId="Heading4">
    <w:name w:val="heading 4"/>
    <w:basedOn w:val="Normal"/>
    <w:next w:val="Normal"/>
    <w:link w:val="Heading4Char"/>
    <w:uiPriority w:val="9"/>
    <w:semiHidden/>
    <w:unhideWhenUsed/>
    <w:qFormat/>
    <w:pPr>
      <w:keepNext/>
      <w:numPr>
        <w:ilvl w:val="3"/>
        <w:numId w:val="1"/>
      </w:numPr>
      <w:spacing w:before="120"/>
      <w:outlineLvl w:val="3"/>
    </w:pPr>
    <w:rPr>
      <w:rFonts w:eastAsiaTheme="majorEastAsia"/>
      <w:b/>
      <w:i/>
      <w:iCs/>
    </w:rPr>
  </w:style>
  <w:style w:type="paragraph" w:styleId="Heading5">
    <w:name w:val="heading 5"/>
    <w:basedOn w:val="Normal"/>
    <w:next w:val="Normal"/>
    <w:link w:val="Heading5Char"/>
    <w:uiPriority w:val="9"/>
    <w:semiHidden/>
    <w:unhideWhenUsed/>
    <w:qFormat/>
    <w:pPr>
      <w:keepNext/>
      <w:numPr>
        <w:ilvl w:val="4"/>
        <w:numId w:val="1"/>
      </w:numPr>
      <w:spacing w:before="120"/>
      <w:outlineLvl w:val="4"/>
    </w:pPr>
    <w:rPr>
      <w:rFonts w:eastAsiaTheme="majorEastAsia"/>
      <w:b/>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E79"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D72F0"/>
    <w:pPr>
      <w:jc w:val="center"/>
    </w:pPr>
    <w:rPr>
      <w:b/>
      <w:iCs/>
      <w:sz w:val="20"/>
      <w:szCs w:val="18"/>
    </w:rPr>
  </w:style>
  <w:style w:type="character" w:styleId="Hyperlink">
    <w:name w:val="Hyperlink"/>
    <w:uiPriority w:val="99"/>
    <w:unhideWhenUsed/>
    <w:qFormat/>
    <w:rPr>
      <w:color w:val="0000FF"/>
      <w:u w:val="single"/>
    </w:rPr>
  </w:style>
  <w:style w:type="table" w:styleId="TableGrid">
    <w:name w:val="Table Grid"/>
    <w:basedOn w:val="TableNormal"/>
    <w:uiPriority w:val="39"/>
    <w:qFormat/>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b/>
      <w:sz w:val="28"/>
      <w:szCs w:val="32"/>
    </w:rPr>
  </w:style>
  <w:style w:type="character" w:customStyle="1" w:styleId="Heading2Char">
    <w:name w:val="Heading 2 Char"/>
    <w:basedOn w:val="DefaultParagraphFont"/>
    <w:link w:val="Heading2"/>
    <w:uiPriority w:val="9"/>
    <w:rPr>
      <w:rFonts w:eastAsiaTheme="majorEastAsia"/>
      <w:b/>
      <w:sz w:val="24"/>
      <w:szCs w:val="26"/>
    </w:rPr>
  </w:style>
  <w:style w:type="character" w:customStyle="1" w:styleId="Heading3Char">
    <w:name w:val="Heading 3 Char"/>
    <w:basedOn w:val="DefaultParagraphFont"/>
    <w:link w:val="Heading3"/>
    <w:uiPriority w:val="9"/>
    <w:rPr>
      <w:rFonts w:eastAsiaTheme="majorEastAsia"/>
      <w:b/>
      <w:szCs w:val="24"/>
    </w:rPr>
  </w:style>
  <w:style w:type="character" w:customStyle="1" w:styleId="Heading4Char">
    <w:name w:val="Heading 4 Char"/>
    <w:basedOn w:val="DefaultParagraphFont"/>
    <w:link w:val="Heading4"/>
    <w:uiPriority w:val="9"/>
    <w:semiHidden/>
    <w:qFormat/>
    <w:rPr>
      <w:rFonts w:eastAsiaTheme="majorEastAsia"/>
      <w:b/>
      <w:i/>
      <w:iCs/>
    </w:rPr>
  </w:style>
  <w:style w:type="character" w:customStyle="1" w:styleId="Heading5Char">
    <w:name w:val="Heading 5 Char"/>
    <w:basedOn w:val="DefaultParagraphFont"/>
    <w:link w:val="Heading5"/>
    <w:uiPriority w:val="9"/>
    <w:semiHidden/>
    <w:qFormat/>
    <w:rPr>
      <w:rFonts w:eastAsiaTheme="majorEastAsia"/>
      <w:b/>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E79"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4E79"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references">
    <w:name w:val="references"/>
    <w:basedOn w:val="Normal"/>
    <w:qFormat/>
    <w:pPr>
      <w:numPr>
        <w:numId w:val="2"/>
      </w:numPr>
      <w:tabs>
        <w:tab w:val="left" w:pos="432"/>
      </w:tabs>
      <w:snapToGrid/>
      <w:spacing w:after="60"/>
      <w:ind w:left="432" w:hanging="432"/>
    </w:pPr>
    <w:rPr>
      <w:sz w:val="20"/>
    </w:rPr>
  </w:style>
  <w:style w:type="paragraph" w:styleId="ListParagraph">
    <w:name w:val="List Paragraph"/>
    <w:basedOn w:val="Normal"/>
    <w:uiPriority w:val="34"/>
    <w:qFormat/>
    <w:pPr>
      <w:snapToGrid/>
      <w:ind w:left="720"/>
      <w:contextualSpacing/>
    </w:pPr>
    <w:rPr>
      <w:sz w:val="20"/>
    </w:rPr>
  </w:style>
  <w:style w:type="paragraph" w:styleId="BalloonText">
    <w:name w:val="Balloon Text"/>
    <w:basedOn w:val="Normal"/>
    <w:link w:val="BalloonTextChar"/>
    <w:uiPriority w:val="99"/>
    <w:semiHidden/>
    <w:unhideWhenUsed/>
    <w:rsid w:val="005778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786E"/>
    <w:rPr>
      <w:rFonts w:ascii="Segoe UI" w:eastAsiaTheme="minorHAnsi" w:hAnsi="Segoe UI" w:cs="Segoe UI"/>
      <w:sz w:val="18"/>
      <w:szCs w:val="18"/>
    </w:rPr>
  </w:style>
  <w:style w:type="paragraph" w:styleId="FootnoteText">
    <w:name w:val="footnote text"/>
    <w:basedOn w:val="Normal"/>
    <w:link w:val="FootnoteTextChar"/>
    <w:uiPriority w:val="99"/>
    <w:semiHidden/>
    <w:unhideWhenUsed/>
    <w:rsid w:val="009379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792F"/>
    <w:rPr>
      <w:rFonts w:ascii="Times New Roman" w:eastAsiaTheme="minorHAnsi" w:hAnsi="Times New Roman"/>
    </w:rPr>
  </w:style>
  <w:style w:type="character" w:styleId="FootnoteReference">
    <w:name w:val="footnote reference"/>
    <w:basedOn w:val="DefaultParagraphFont"/>
    <w:uiPriority w:val="99"/>
    <w:semiHidden/>
    <w:unhideWhenUsed/>
    <w:rsid w:val="0093792F"/>
    <w:rPr>
      <w:vertAlign w:val="superscript"/>
    </w:rPr>
  </w:style>
  <w:style w:type="paragraph" w:styleId="Header">
    <w:name w:val="header"/>
    <w:basedOn w:val="Normal"/>
    <w:link w:val="HeaderChar"/>
    <w:uiPriority w:val="99"/>
    <w:unhideWhenUsed/>
    <w:rsid w:val="00726491"/>
    <w:pPr>
      <w:pBdr>
        <w:bottom w:val="single" w:sz="6" w:space="1" w:color="auto"/>
      </w:pBdr>
      <w:tabs>
        <w:tab w:val="center" w:pos="4153"/>
        <w:tab w:val="right" w:pos="8306"/>
      </w:tabs>
      <w:spacing w:line="240" w:lineRule="auto"/>
      <w:jc w:val="center"/>
    </w:pPr>
    <w:rPr>
      <w:sz w:val="18"/>
      <w:szCs w:val="18"/>
    </w:rPr>
  </w:style>
  <w:style w:type="character" w:customStyle="1" w:styleId="HeaderChar">
    <w:name w:val="Header Char"/>
    <w:basedOn w:val="DefaultParagraphFont"/>
    <w:link w:val="Header"/>
    <w:uiPriority w:val="99"/>
    <w:rsid w:val="00726491"/>
    <w:rPr>
      <w:rFonts w:ascii="Times New Roman" w:eastAsiaTheme="minorHAnsi" w:hAnsi="Times New Roman"/>
      <w:sz w:val="18"/>
      <w:szCs w:val="18"/>
    </w:rPr>
  </w:style>
  <w:style w:type="paragraph" w:styleId="Footer">
    <w:name w:val="footer"/>
    <w:basedOn w:val="Normal"/>
    <w:link w:val="FooterChar"/>
    <w:uiPriority w:val="99"/>
    <w:unhideWhenUsed/>
    <w:rsid w:val="00726491"/>
    <w:pPr>
      <w:tabs>
        <w:tab w:val="center" w:pos="4153"/>
        <w:tab w:val="right" w:pos="8306"/>
      </w:tabs>
      <w:spacing w:line="240" w:lineRule="auto"/>
      <w:jc w:val="left"/>
    </w:pPr>
    <w:rPr>
      <w:sz w:val="18"/>
      <w:szCs w:val="18"/>
    </w:rPr>
  </w:style>
  <w:style w:type="character" w:customStyle="1" w:styleId="FooterChar">
    <w:name w:val="Footer Char"/>
    <w:basedOn w:val="DefaultParagraphFont"/>
    <w:link w:val="Footer"/>
    <w:uiPriority w:val="99"/>
    <w:rsid w:val="00726491"/>
    <w:rPr>
      <w:rFonts w:ascii="Times New Roman" w:eastAsiaTheme="minorHAnsi" w:hAnsi="Times New Roman"/>
      <w:sz w:val="18"/>
      <w:szCs w:val="18"/>
    </w:rPr>
  </w:style>
  <w:style w:type="paragraph" w:customStyle="1" w:styleId="B1">
    <w:name w:val="B1"/>
    <w:basedOn w:val="List"/>
    <w:link w:val="B1Char"/>
    <w:rsid w:val="00593F7B"/>
    <w:pPr>
      <w:overflowPunct w:val="0"/>
      <w:autoSpaceDE w:val="0"/>
      <w:autoSpaceDN w:val="0"/>
      <w:adjustRightInd w:val="0"/>
      <w:snapToGrid/>
      <w:spacing w:after="180" w:line="240" w:lineRule="auto"/>
      <w:ind w:left="568" w:hanging="284"/>
      <w:contextualSpacing w:val="0"/>
      <w:jc w:val="left"/>
      <w:textAlignment w:val="baseline"/>
    </w:pPr>
    <w:rPr>
      <w:rFonts w:eastAsia="Times New Roman"/>
      <w:sz w:val="20"/>
      <w:szCs w:val="20"/>
      <w:lang w:val="en-GB" w:eastAsia="ko-KR"/>
    </w:rPr>
  </w:style>
  <w:style w:type="character" w:customStyle="1" w:styleId="B1Char">
    <w:name w:val="B1 Char"/>
    <w:link w:val="B1"/>
    <w:rsid w:val="00593F7B"/>
    <w:rPr>
      <w:rFonts w:ascii="Times New Roman" w:eastAsia="Times New Roman" w:hAnsi="Times New Roman"/>
      <w:lang w:val="en-GB" w:eastAsia="ko-KR"/>
    </w:rPr>
  </w:style>
  <w:style w:type="paragraph" w:styleId="List">
    <w:name w:val="List"/>
    <w:basedOn w:val="Normal"/>
    <w:uiPriority w:val="99"/>
    <w:semiHidden/>
    <w:unhideWhenUsed/>
    <w:rsid w:val="00593F7B"/>
    <w:pPr>
      <w:ind w:left="360" w:hanging="360"/>
      <w:contextualSpacing/>
    </w:pPr>
  </w:style>
  <w:style w:type="paragraph" w:customStyle="1" w:styleId="RAN1bullet2">
    <w:name w:val="RAN1 bullet2"/>
    <w:basedOn w:val="Normal"/>
    <w:qFormat/>
    <w:rsid w:val="00B417A5"/>
    <w:pPr>
      <w:numPr>
        <w:ilvl w:val="1"/>
        <w:numId w:val="8"/>
      </w:numPr>
      <w:tabs>
        <w:tab w:val="left" w:pos="1440"/>
      </w:tabs>
      <w:snapToGrid/>
      <w:spacing w:after="0" w:line="240" w:lineRule="auto"/>
      <w:jc w:val="left"/>
    </w:pPr>
    <w:rPr>
      <w:rFonts w:ascii="Times" w:eastAsia="Batang" w:hAnsi="Times"/>
      <w:sz w:val="20"/>
      <w:szCs w:val="20"/>
    </w:rPr>
  </w:style>
  <w:style w:type="paragraph" w:customStyle="1" w:styleId="EQ">
    <w:name w:val="EQ"/>
    <w:basedOn w:val="Normal"/>
    <w:next w:val="Normal"/>
    <w:uiPriority w:val="99"/>
    <w:qFormat/>
    <w:rsid w:val="0055426E"/>
    <w:pPr>
      <w:keepLines/>
      <w:tabs>
        <w:tab w:val="center" w:pos="4536"/>
        <w:tab w:val="right" w:pos="9072"/>
      </w:tabs>
      <w:snapToGrid/>
      <w:spacing w:after="180" w:line="240" w:lineRule="auto"/>
      <w:jc w:val="left"/>
    </w:pPr>
    <w:rPr>
      <w:rFonts w:eastAsia="Times New Roman"/>
      <w:noProof/>
      <w:sz w:val="20"/>
      <w:szCs w:val="20"/>
      <w:lang w:val="en-GB"/>
    </w:rPr>
  </w:style>
  <w:style w:type="paragraph" w:customStyle="1" w:styleId="TAL">
    <w:name w:val="TAL"/>
    <w:basedOn w:val="Normal"/>
    <w:link w:val="TALChar"/>
    <w:rsid w:val="0082116E"/>
    <w:pPr>
      <w:keepNext/>
      <w:keepLines/>
      <w:snapToGrid/>
      <w:spacing w:after="0" w:line="240" w:lineRule="auto"/>
      <w:jc w:val="left"/>
    </w:pPr>
    <w:rPr>
      <w:rFonts w:ascii="Arial" w:eastAsia="Times New Roman" w:hAnsi="Arial"/>
      <w:sz w:val="18"/>
      <w:szCs w:val="20"/>
      <w:lang w:val="en-GB"/>
    </w:rPr>
  </w:style>
  <w:style w:type="character" w:customStyle="1" w:styleId="TALChar">
    <w:name w:val="TAL Char"/>
    <w:link w:val="TAL"/>
    <w:qFormat/>
    <w:rsid w:val="0082116E"/>
    <w:rPr>
      <w:rFonts w:ascii="Arial" w:eastAsia="Times New Roman" w:hAnsi="Arial"/>
      <w:sz w:val="18"/>
      <w:lang w:val="en-GB"/>
    </w:rPr>
  </w:style>
  <w:style w:type="paragraph" w:customStyle="1" w:styleId="TAH">
    <w:name w:val="TAH"/>
    <w:basedOn w:val="TAC"/>
    <w:link w:val="TAHCar"/>
    <w:qFormat/>
    <w:rsid w:val="0082116E"/>
    <w:rPr>
      <w:b/>
    </w:rPr>
  </w:style>
  <w:style w:type="paragraph" w:customStyle="1" w:styleId="TAC">
    <w:name w:val="TAC"/>
    <w:basedOn w:val="TAL"/>
    <w:link w:val="TACChar"/>
    <w:qFormat/>
    <w:rsid w:val="0082116E"/>
    <w:pPr>
      <w:jc w:val="center"/>
    </w:pPr>
  </w:style>
  <w:style w:type="character" w:customStyle="1" w:styleId="TACChar">
    <w:name w:val="TAC Char"/>
    <w:link w:val="TAC"/>
    <w:qFormat/>
    <w:locked/>
    <w:rsid w:val="0082116E"/>
    <w:rPr>
      <w:rFonts w:ascii="Arial" w:eastAsia="Times New Roman" w:hAnsi="Arial"/>
      <w:sz w:val="18"/>
      <w:lang w:val="en-GB"/>
    </w:rPr>
  </w:style>
  <w:style w:type="character" w:customStyle="1" w:styleId="TAHCar">
    <w:name w:val="TAH Car"/>
    <w:link w:val="TAH"/>
    <w:qFormat/>
    <w:rsid w:val="0082116E"/>
    <w:rPr>
      <w:rFonts w:ascii="Arial" w:eastAsia="Times New Roman" w:hAnsi="Arial"/>
      <w:b/>
      <w:sz w:val="18"/>
      <w:lang w:val="en-GB"/>
    </w:rPr>
  </w:style>
  <w:style w:type="paragraph" w:customStyle="1" w:styleId="TH">
    <w:name w:val="TH"/>
    <w:basedOn w:val="Normal"/>
    <w:link w:val="THChar"/>
    <w:qFormat/>
    <w:rsid w:val="0082116E"/>
    <w:pPr>
      <w:keepNext/>
      <w:keepLines/>
      <w:snapToGrid/>
      <w:spacing w:before="60" w:after="180" w:line="240" w:lineRule="auto"/>
      <w:jc w:val="center"/>
    </w:pPr>
    <w:rPr>
      <w:rFonts w:ascii="Arial" w:eastAsia="Times New Roman" w:hAnsi="Arial"/>
      <w:b/>
      <w:sz w:val="20"/>
      <w:szCs w:val="20"/>
      <w:lang w:val="en-GB"/>
    </w:rPr>
  </w:style>
  <w:style w:type="character" w:customStyle="1" w:styleId="THChar">
    <w:name w:val="TH Char"/>
    <w:link w:val="TH"/>
    <w:qFormat/>
    <w:rsid w:val="0082116E"/>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153107">
      <w:bodyDiv w:val="1"/>
      <w:marLeft w:val="0"/>
      <w:marRight w:val="0"/>
      <w:marTop w:val="0"/>
      <w:marBottom w:val="0"/>
      <w:divBdr>
        <w:top w:val="none" w:sz="0" w:space="0" w:color="auto"/>
        <w:left w:val="none" w:sz="0" w:space="0" w:color="auto"/>
        <w:bottom w:val="none" w:sz="0" w:space="0" w:color="auto"/>
        <w:right w:val="none" w:sz="0" w:space="0" w:color="auto"/>
      </w:divBdr>
    </w:div>
    <w:div w:id="10042396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0D66B3-616B-497A-8F4F-ED1B1A747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860</Words>
  <Characters>4362</Characters>
  <Application>Microsoft Office Word</Application>
  <DocSecurity>0</DocSecurity>
  <Lines>90</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R4#91-Huawei</cp:lastModifiedBy>
  <cp:revision>3</cp:revision>
  <dcterms:created xsi:type="dcterms:W3CDTF">2019-05-03T17:17:00Z</dcterms:created>
  <dcterms:modified xsi:type="dcterms:W3CDTF">2019-05-03T18:37:00Z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