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D8516" w14:textId="5FC6BA08" w:rsidR="00543AD0" w:rsidRDefault="00750BB1">
      <w:pPr>
        <w:tabs>
          <w:tab w:val="right" w:pos="9216"/>
        </w:tabs>
        <w:spacing w:after="0"/>
        <w:rPr>
          <w:b/>
        </w:rPr>
      </w:pPr>
      <w:r>
        <w:rPr>
          <w:b/>
        </w:rPr>
        <w:t>3GPP TSG RAN WG4 Meeting #91</w:t>
      </w:r>
      <w:r w:rsidR="008E7A37">
        <w:rPr>
          <w:b/>
        </w:rPr>
        <w:tab/>
      </w:r>
      <w:r w:rsidR="00E076A1" w:rsidRPr="00E076A1">
        <w:rPr>
          <w:b/>
        </w:rPr>
        <w:t>R4-1906721</w:t>
      </w:r>
      <w:bookmarkStart w:id="0" w:name="_GoBack"/>
      <w:bookmarkEnd w:id="0"/>
    </w:p>
    <w:p w14:paraId="5857916E" w14:textId="5A0A61C0" w:rsidR="00543AD0" w:rsidRDefault="00750BB1">
      <w:pPr>
        <w:rPr>
          <w:b/>
        </w:rPr>
      </w:pPr>
      <w:r>
        <w:rPr>
          <w:b/>
        </w:rPr>
        <w:t>Reno, US</w:t>
      </w:r>
      <w:r w:rsidR="008E7A37">
        <w:rPr>
          <w:b/>
        </w:rPr>
        <w:t xml:space="preserve">, </w:t>
      </w:r>
      <w:r>
        <w:rPr>
          <w:b/>
        </w:rPr>
        <w:t>May 13-17,</w:t>
      </w:r>
      <w:r w:rsidR="008E7A37">
        <w:rPr>
          <w:b/>
        </w:rPr>
        <w:t xml:space="preserve"> 2019</w:t>
      </w:r>
    </w:p>
    <w:p w14:paraId="32730D24" w14:textId="77777777" w:rsidR="00543AD0" w:rsidRDefault="00543AD0">
      <w:pPr>
        <w:pBdr>
          <w:top w:val="single" w:sz="4" w:space="1" w:color="auto"/>
        </w:pBdr>
        <w:spacing w:after="0"/>
        <w:rPr>
          <w:b/>
          <w:sz w:val="16"/>
        </w:rPr>
      </w:pPr>
    </w:p>
    <w:p w14:paraId="02CBF24D" w14:textId="29C7E984" w:rsidR="00543AD0" w:rsidRDefault="00750BB1">
      <w:pPr>
        <w:spacing w:after="60"/>
        <w:ind w:left="1555" w:hanging="1555"/>
        <w:rPr>
          <w:b/>
        </w:rPr>
      </w:pPr>
      <w:r>
        <w:rPr>
          <w:b/>
        </w:rPr>
        <w:t>Agenda Item:</w:t>
      </w:r>
      <w:r>
        <w:rPr>
          <w:b/>
        </w:rPr>
        <w:tab/>
      </w:r>
      <w:r w:rsidR="00315986" w:rsidRPr="00315986">
        <w:rPr>
          <w:b/>
        </w:rPr>
        <w:t>6.8.2.1</w:t>
      </w:r>
    </w:p>
    <w:p w14:paraId="651B2DBE" w14:textId="77777777" w:rsidR="00543AD0" w:rsidRDefault="008E7A37">
      <w:pPr>
        <w:spacing w:after="60"/>
        <w:ind w:left="1555" w:hanging="1555"/>
        <w:rPr>
          <w:b/>
        </w:rPr>
      </w:pPr>
      <w:r>
        <w:rPr>
          <w:b/>
        </w:rPr>
        <w:t>Source:</w:t>
      </w:r>
      <w:r>
        <w:rPr>
          <w:b/>
        </w:rPr>
        <w:tab/>
        <w:t>Huawei, HiSilicon</w:t>
      </w:r>
    </w:p>
    <w:p w14:paraId="5EB6AD96" w14:textId="5C0F2CD0" w:rsidR="00543AD0" w:rsidRDefault="008E7A37">
      <w:pPr>
        <w:spacing w:after="60"/>
        <w:ind w:left="1555" w:hanging="1555"/>
        <w:rPr>
          <w:b/>
        </w:rPr>
      </w:pPr>
      <w:r>
        <w:rPr>
          <w:b/>
        </w:rPr>
        <w:t>Title:</w:t>
      </w:r>
      <w:r>
        <w:rPr>
          <w:b/>
        </w:rPr>
        <w:tab/>
      </w:r>
      <w:bookmarkStart w:id="1" w:name="OLE_LINK1"/>
      <w:r w:rsidR="00FE5B43">
        <w:rPr>
          <w:b/>
        </w:rPr>
        <w:t xml:space="preserve">Removal of “TX Diversity” in </w:t>
      </w:r>
      <w:r w:rsidR="00870BFC" w:rsidRPr="00870BFC">
        <w:rPr>
          <w:b/>
        </w:rPr>
        <w:t>Active Antenna System Base Station</w:t>
      </w:r>
      <w:r w:rsidR="00870BFC">
        <w:rPr>
          <w:b/>
        </w:rPr>
        <w:t xml:space="preserve"> Specs</w:t>
      </w:r>
      <w:bookmarkEnd w:id="1"/>
    </w:p>
    <w:p w14:paraId="212E42FD" w14:textId="77777777" w:rsidR="00543AD0" w:rsidRDefault="008E7A37">
      <w:pPr>
        <w:spacing w:after="60"/>
        <w:ind w:left="1555" w:hanging="1555"/>
        <w:rPr>
          <w:b/>
        </w:rPr>
      </w:pPr>
      <w:r>
        <w:rPr>
          <w:b/>
        </w:rPr>
        <w:t>Document for:</w:t>
      </w:r>
      <w:r>
        <w:rPr>
          <w:b/>
        </w:rPr>
        <w:tab/>
        <w:t>Approval</w:t>
      </w:r>
    </w:p>
    <w:p w14:paraId="06CCA22E" w14:textId="77777777" w:rsidR="00543AD0" w:rsidRDefault="00543AD0">
      <w:pPr>
        <w:pBdr>
          <w:bottom w:val="single" w:sz="4" w:space="1" w:color="auto"/>
        </w:pBdr>
        <w:spacing w:after="0"/>
        <w:rPr>
          <w:b/>
          <w:sz w:val="16"/>
        </w:rPr>
      </w:pPr>
    </w:p>
    <w:p w14:paraId="73767003" w14:textId="77777777" w:rsidR="00543AD0" w:rsidRDefault="00543AD0"/>
    <w:p w14:paraId="21B410DD" w14:textId="114D81C1" w:rsidR="00543AD0" w:rsidRDefault="00750BB1">
      <w:pPr>
        <w:pStyle w:val="Heading1"/>
      </w:pPr>
      <w:r>
        <w:t>Introduction</w:t>
      </w:r>
    </w:p>
    <w:p w14:paraId="7BE1E4A9" w14:textId="423F6660" w:rsidR="00F73836" w:rsidRDefault="00D33297" w:rsidP="00A91052">
      <w:r>
        <w:t>In</w:t>
      </w:r>
      <w:r w:rsidR="00750BB1">
        <w:t xml:space="preserve"> RAN4</w:t>
      </w:r>
      <w:r>
        <w:t>#</w:t>
      </w:r>
      <w:r w:rsidR="00750BB1">
        <w:t xml:space="preserve">90B, discussions on updating the procedures for time alignment error (TAE) testing </w:t>
      </w:r>
      <w:r w:rsidR="00F73836">
        <w:t xml:space="preserve">focused on conditions for testing, as indicated by WF </w:t>
      </w:r>
      <w:r w:rsidR="00F73836">
        <w:fldChar w:fldCharType="begin"/>
      </w:r>
      <w:r w:rsidR="00F73836">
        <w:instrText xml:space="preserve"> REF _Ref6990393 \r \h </w:instrText>
      </w:r>
      <w:r w:rsidR="00F73836">
        <w:fldChar w:fldCharType="separate"/>
      </w:r>
      <w:r w:rsidR="009D6F7D">
        <w:t>[1]</w:t>
      </w:r>
      <w:r w:rsidR="00F73836">
        <w:fldChar w:fldCharType="end"/>
      </w:r>
      <w:r w:rsidR="00F73836">
        <w:t xml:space="preserve">. </w:t>
      </w:r>
      <w:r>
        <w:t xml:space="preserve">During preparation of WF </w:t>
      </w:r>
      <w:r>
        <w:fldChar w:fldCharType="begin"/>
      </w:r>
      <w:r>
        <w:instrText xml:space="preserve"> REF _Ref6990393 \r \h </w:instrText>
      </w:r>
      <w:r>
        <w:fldChar w:fldCharType="separate"/>
      </w:r>
      <w:r w:rsidR="009D6F7D">
        <w:t>[1]</w:t>
      </w:r>
      <w:r>
        <w:fldChar w:fldCharType="end"/>
      </w:r>
      <w:r>
        <w:t>, it was noticed that additional specifications may be affected by this change proposed in the WF. This contribution discusses the possible changes</w:t>
      </w:r>
      <w:r w:rsidR="00870BFC">
        <w:t xml:space="preserve"> for the 37 series of the AAS specs</w:t>
      </w:r>
      <w:r>
        <w:t>.</w:t>
      </w:r>
    </w:p>
    <w:p w14:paraId="2CAFF0D5" w14:textId="74B6D6DE" w:rsidR="00D33297" w:rsidRDefault="00D33297" w:rsidP="00D33297">
      <w:pPr>
        <w:pStyle w:val="Heading1"/>
      </w:pPr>
      <w:r>
        <w:t>Discussion</w:t>
      </w:r>
    </w:p>
    <w:p w14:paraId="3F6AACCD" w14:textId="194209E5" w:rsidR="00D33297" w:rsidRDefault="00D33297" w:rsidP="00D33297">
      <w:r>
        <w:t xml:space="preserve">The WF </w:t>
      </w:r>
      <w:r>
        <w:fldChar w:fldCharType="begin"/>
      </w:r>
      <w:r>
        <w:instrText xml:space="preserve"> REF _Ref6990393 \r \h </w:instrText>
      </w:r>
      <w:r>
        <w:fldChar w:fldCharType="separate"/>
      </w:r>
      <w:r w:rsidR="009D6F7D">
        <w:t>[1]</w:t>
      </w:r>
      <w:r>
        <w:fldChar w:fldCharType="end"/>
      </w:r>
      <w:r>
        <w:t xml:space="preserve"> listed possible subclauses having “TX diversity” for NR.</w:t>
      </w:r>
    </w:p>
    <w:p w14:paraId="158257C2" w14:textId="77777777" w:rsidR="00D33297" w:rsidRDefault="00D33297" w:rsidP="00D33297">
      <w:pPr>
        <w:pStyle w:val="Caption"/>
        <w:keepNext/>
      </w:pPr>
      <w:r>
        <w:t xml:space="preserve">Table </w:t>
      </w:r>
      <w:r>
        <w:rPr>
          <w:noProof/>
        </w:rPr>
        <w:fldChar w:fldCharType="begin"/>
      </w:r>
      <w:r>
        <w:rPr>
          <w:noProof/>
        </w:rPr>
        <w:instrText xml:space="preserve"> SEQ Table \* ARABIC </w:instrText>
      </w:r>
      <w:r>
        <w:rPr>
          <w:noProof/>
        </w:rPr>
        <w:fldChar w:fldCharType="separate"/>
      </w:r>
      <w:r w:rsidR="009D6F7D">
        <w:rPr>
          <w:noProof/>
        </w:rPr>
        <w:t>1</w:t>
      </w:r>
      <w:r>
        <w:rPr>
          <w:noProof/>
        </w:rPr>
        <w:fldChar w:fldCharType="end"/>
      </w:r>
      <w:r>
        <w:t>. Subclauses with NR TX diversity</w:t>
      </w:r>
    </w:p>
    <w:tbl>
      <w:tblPr>
        <w:tblStyle w:val="TableGrid"/>
        <w:tblW w:w="9350" w:type="dxa"/>
        <w:tblLayout w:type="fixed"/>
        <w:tblLook w:val="04A0" w:firstRow="1" w:lastRow="0" w:firstColumn="1" w:lastColumn="0" w:noHBand="0" w:noVBand="1"/>
      </w:tblPr>
      <w:tblGrid>
        <w:gridCol w:w="4675"/>
        <w:gridCol w:w="4675"/>
      </w:tblGrid>
      <w:tr w:rsidR="00D33297" w14:paraId="33422A10" w14:textId="77777777" w:rsidTr="005146AD">
        <w:tc>
          <w:tcPr>
            <w:tcW w:w="4675" w:type="dxa"/>
          </w:tcPr>
          <w:p w14:paraId="446D5E7B" w14:textId="77777777" w:rsidR="00D33297" w:rsidRDefault="00D33297" w:rsidP="005146AD">
            <w:pPr>
              <w:spacing w:after="0"/>
            </w:pPr>
            <w:r>
              <w:t>Specification</w:t>
            </w:r>
          </w:p>
        </w:tc>
        <w:tc>
          <w:tcPr>
            <w:tcW w:w="4675" w:type="dxa"/>
          </w:tcPr>
          <w:p w14:paraId="32CE6695" w14:textId="77777777" w:rsidR="00D33297" w:rsidRDefault="00D33297" w:rsidP="005146AD">
            <w:pPr>
              <w:spacing w:after="0"/>
            </w:pPr>
            <w:r>
              <w:rPr>
                <w:rFonts w:eastAsia="SimSun" w:hint="eastAsia"/>
                <w:lang w:eastAsia="zh-CN"/>
              </w:rPr>
              <w:t xml:space="preserve">Affected </w:t>
            </w:r>
            <w:r>
              <w:t>Subclauses</w:t>
            </w:r>
          </w:p>
        </w:tc>
      </w:tr>
      <w:tr w:rsidR="00D33297" w14:paraId="0E7B46FC" w14:textId="77777777" w:rsidTr="005146AD">
        <w:tc>
          <w:tcPr>
            <w:tcW w:w="4675" w:type="dxa"/>
          </w:tcPr>
          <w:p w14:paraId="0C5469AE" w14:textId="77777777" w:rsidR="00D33297" w:rsidRDefault="00D33297" w:rsidP="005146AD">
            <w:pPr>
              <w:spacing w:after="0"/>
            </w:pPr>
            <w:r>
              <w:t>38.104</w:t>
            </w:r>
          </w:p>
        </w:tc>
        <w:tc>
          <w:tcPr>
            <w:tcW w:w="4675" w:type="dxa"/>
          </w:tcPr>
          <w:p w14:paraId="1D66DEBA" w14:textId="77777777" w:rsidR="00D33297" w:rsidRDefault="00D33297" w:rsidP="005146AD">
            <w:pPr>
              <w:spacing w:after="0"/>
            </w:pPr>
            <w:r>
              <w:t>6.5.3.1, 6.5.3.2, 9.6.3.1, 9.6.3.2, 9.6.3.3</w:t>
            </w:r>
          </w:p>
        </w:tc>
      </w:tr>
      <w:tr w:rsidR="00D33297" w14:paraId="5D7CFE8C" w14:textId="77777777" w:rsidTr="005146AD">
        <w:tc>
          <w:tcPr>
            <w:tcW w:w="4675" w:type="dxa"/>
          </w:tcPr>
          <w:p w14:paraId="2A5EFAFA" w14:textId="77777777" w:rsidR="00D33297" w:rsidRDefault="00D33297" w:rsidP="005146AD">
            <w:pPr>
              <w:spacing w:after="0"/>
            </w:pPr>
            <w:r>
              <w:t>38.141-1</w:t>
            </w:r>
          </w:p>
        </w:tc>
        <w:tc>
          <w:tcPr>
            <w:tcW w:w="4675" w:type="dxa"/>
          </w:tcPr>
          <w:p w14:paraId="18CF22F6" w14:textId="77777777" w:rsidR="00D33297" w:rsidRDefault="00D33297" w:rsidP="005146AD">
            <w:pPr>
              <w:spacing w:after="0"/>
            </w:pPr>
            <w:r>
              <w:t>6.5.4.1, 6.5.4.4.2, 6.5.4.5</w:t>
            </w:r>
          </w:p>
        </w:tc>
      </w:tr>
      <w:tr w:rsidR="00D33297" w14:paraId="5484F725" w14:textId="77777777" w:rsidTr="005146AD">
        <w:tc>
          <w:tcPr>
            <w:tcW w:w="4675" w:type="dxa"/>
          </w:tcPr>
          <w:p w14:paraId="1F3E3021" w14:textId="77777777" w:rsidR="00D33297" w:rsidRDefault="00D33297" w:rsidP="005146AD">
            <w:pPr>
              <w:spacing w:after="0"/>
            </w:pPr>
            <w:r>
              <w:t>38.141-2</w:t>
            </w:r>
          </w:p>
        </w:tc>
        <w:tc>
          <w:tcPr>
            <w:tcW w:w="4675" w:type="dxa"/>
          </w:tcPr>
          <w:p w14:paraId="2FC931B7" w14:textId="77777777" w:rsidR="00D33297" w:rsidRDefault="00D33297" w:rsidP="005146AD">
            <w:pPr>
              <w:spacing w:after="0"/>
            </w:pPr>
            <w:r>
              <w:t>6.6.4.1, 6.6.4.4.2, 6.6.4.5.1, 6.6.4.5.2</w:t>
            </w:r>
          </w:p>
        </w:tc>
      </w:tr>
      <w:tr w:rsidR="00D33297" w14:paraId="605EDFF6" w14:textId="77777777" w:rsidTr="005146AD">
        <w:tc>
          <w:tcPr>
            <w:tcW w:w="4675" w:type="dxa"/>
          </w:tcPr>
          <w:p w14:paraId="0C0A3317" w14:textId="77777777" w:rsidR="00D33297" w:rsidRDefault="00D33297" w:rsidP="005146AD">
            <w:pPr>
              <w:spacing w:after="0"/>
              <w:rPr>
                <w:rFonts w:eastAsia="SimSun"/>
                <w:lang w:eastAsia="zh-CN"/>
              </w:rPr>
            </w:pPr>
            <w:r>
              <w:t>3</w:t>
            </w:r>
            <w:r>
              <w:rPr>
                <w:rFonts w:eastAsia="SimSun" w:hint="eastAsia"/>
                <w:lang w:eastAsia="zh-CN"/>
              </w:rPr>
              <w:t>7.105</w:t>
            </w:r>
          </w:p>
        </w:tc>
        <w:tc>
          <w:tcPr>
            <w:tcW w:w="4675" w:type="dxa"/>
          </w:tcPr>
          <w:p w14:paraId="7E56BB5D" w14:textId="77777777" w:rsidR="00D33297" w:rsidRDefault="00D33297" w:rsidP="005146AD">
            <w:pPr>
              <w:spacing w:after="0"/>
              <w:rPr>
                <w:rFonts w:eastAsia="SimSun"/>
                <w:lang w:eastAsia="zh-CN"/>
              </w:rPr>
            </w:pPr>
            <w:r>
              <w:rPr>
                <w:rFonts w:eastAsia="SimSun" w:hint="eastAsia"/>
                <w:lang w:eastAsia="zh-CN"/>
              </w:rPr>
              <w:t>6.5.3</w:t>
            </w:r>
            <w:r>
              <w:rPr>
                <w:rFonts w:eastAsia="SimSun"/>
                <w:lang w:eastAsia="zh-CN"/>
              </w:rPr>
              <w:t>?</w:t>
            </w:r>
          </w:p>
        </w:tc>
      </w:tr>
      <w:tr w:rsidR="00D33297" w14:paraId="27A4512E" w14:textId="77777777" w:rsidTr="005146AD">
        <w:tc>
          <w:tcPr>
            <w:tcW w:w="4675" w:type="dxa"/>
          </w:tcPr>
          <w:p w14:paraId="32C2BFE7" w14:textId="77777777" w:rsidR="00D33297" w:rsidRDefault="00D33297" w:rsidP="005146AD">
            <w:pPr>
              <w:spacing w:after="0"/>
              <w:rPr>
                <w:rFonts w:eastAsia="SimSun"/>
                <w:lang w:eastAsia="zh-CN"/>
              </w:rPr>
            </w:pPr>
            <w:r>
              <w:t>3</w:t>
            </w:r>
            <w:r>
              <w:rPr>
                <w:rFonts w:eastAsia="SimSun" w:hint="eastAsia"/>
                <w:lang w:eastAsia="zh-CN"/>
              </w:rPr>
              <w:t>7.145-1</w:t>
            </w:r>
          </w:p>
        </w:tc>
        <w:tc>
          <w:tcPr>
            <w:tcW w:w="4675" w:type="dxa"/>
          </w:tcPr>
          <w:p w14:paraId="7448CB18" w14:textId="77777777" w:rsidR="00D33297" w:rsidRDefault="00D33297" w:rsidP="005146AD">
            <w:pPr>
              <w:spacing w:after="0"/>
            </w:pPr>
            <w:r>
              <w:t xml:space="preserve">6.5.3.1?, 6.5.3.4.2.4, 6.5.3.5.4, </w:t>
            </w:r>
          </w:p>
        </w:tc>
      </w:tr>
      <w:tr w:rsidR="00D33297" w14:paraId="4E098ADA" w14:textId="77777777" w:rsidTr="005146AD">
        <w:tc>
          <w:tcPr>
            <w:tcW w:w="4675" w:type="dxa"/>
          </w:tcPr>
          <w:p w14:paraId="65CB161E" w14:textId="77777777" w:rsidR="00D33297" w:rsidRDefault="00D33297" w:rsidP="005146AD">
            <w:pPr>
              <w:spacing w:after="0"/>
              <w:rPr>
                <w:rFonts w:eastAsia="SimSun"/>
                <w:lang w:eastAsia="zh-CN"/>
              </w:rPr>
            </w:pPr>
            <w:r>
              <w:t>38.14</w:t>
            </w:r>
            <w:r>
              <w:rPr>
                <w:rFonts w:eastAsia="SimSun" w:hint="eastAsia"/>
                <w:lang w:eastAsia="zh-CN"/>
              </w:rPr>
              <w:t>5</w:t>
            </w:r>
            <w:r>
              <w:t>-</w:t>
            </w:r>
            <w:r>
              <w:rPr>
                <w:rFonts w:eastAsia="SimSun" w:hint="eastAsia"/>
                <w:lang w:eastAsia="zh-CN"/>
              </w:rPr>
              <w:t>2</w:t>
            </w:r>
          </w:p>
        </w:tc>
        <w:tc>
          <w:tcPr>
            <w:tcW w:w="4675" w:type="dxa"/>
          </w:tcPr>
          <w:p w14:paraId="3B1C76E2" w14:textId="77777777" w:rsidR="00D33297" w:rsidRDefault="00D33297" w:rsidP="005146AD">
            <w:pPr>
              <w:spacing w:after="0"/>
            </w:pPr>
            <w:r>
              <w:t>6.6.3.1?, 6.6.3.4.2.3?, 6.6.3.5.3</w:t>
            </w:r>
          </w:p>
        </w:tc>
      </w:tr>
      <w:tr w:rsidR="00D33297" w14:paraId="0227FC48" w14:textId="77777777" w:rsidTr="005146AD">
        <w:tc>
          <w:tcPr>
            <w:tcW w:w="9350" w:type="dxa"/>
            <w:gridSpan w:val="2"/>
          </w:tcPr>
          <w:p w14:paraId="5F20A35C" w14:textId="77777777" w:rsidR="00D33297" w:rsidRDefault="00D33297" w:rsidP="005146AD">
            <w:pPr>
              <w:spacing w:after="0"/>
            </w:pPr>
            <w:r>
              <w:t>NOTE: “?” mentions TX diversity but further check is needed)</w:t>
            </w:r>
          </w:p>
        </w:tc>
      </w:tr>
    </w:tbl>
    <w:p w14:paraId="45B9517B" w14:textId="77777777" w:rsidR="00D33297" w:rsidRDefault="00D33297" w:rsidP="00D33297"/>
    <w:p w14:paraId="223910A5" w14:textId="15626FBE" w:rsidR="009D6F7D" w:rsidRDefault="009D6F7D" w:rsidP="00D33297">
      <w:r>
        <w:t>In addition, other specifications were identified</w:t>
      </w:r>
      <w:r w:rsidR="00F02DE9">
        <w:t xml:space="preserve"> and changes will be applied</w:t>
      </w:r>
      <w:r>
        <w:t>.</w:t>
      </w:r>
    </w:p>
    <w:p w14:paraId="70888CE4" w14:textId="34E7A12D" w:rsidR="009D6F7D" w:rsidRDefault="009D6F7D" w:rsidP="009D6F7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Additional Subclauses with NR TX diversity</w:t>
      </w:r>
    </w:p>
    <w:tbl>
      <w:tblPr>
        <w:tblStyle w:val="TableGrid"/>
        <w:tblW w:w="9350" w:type="dxa"/>
        <w:tblLayout w:type="fixed"/>
        <w:tblLook w:val="04A0" w:firstRow="1" w:lastRow="0" w:firstColumn="1" w:lastColumn="0" w:noHBand="0" w:noVBand="1"/>
      </w:tblPr>
      <w:tblGrid>
        <w:gridCol w:w="4675"/>
        <w:gridCol w:w="4675"/>
      </w:tblGrid>
      <w:tr w:rsidR="009D6F7D" w14:paraId="6E4FD3CA" w14:textId="77777777" w:rsidTr="00B475EA">
        <w:tc>
          <w:tcPr>
            <w:tcW w:w="4675" w:type="dxa"/>
          </w:tcPr>
          <w:p w14:paraId="4191FC51" w14:textId="77777777" w:rsidR="009D6F7D" w:rsidRDefault="009D6F7D" w:rsidP="00B475EA">
            <w:pPr>
              <w:spacing w:after="0"/>
            </w:pPr>
            <w:r>
              <w:t>Specification</w:t>
            </w:r>
          </w:p>
        </w:tc>
        <w:tc>
          <w:tcPr>
            <w:tcW w:w="4675" w:type="dxa"/>
          </w:tcPr>
          <w:p w14:paraId="18898213" w14:textId="77777777" w:rsidR="009D6F7D" w:rsidRDefault="009D6F7D" w:rsidP="00B475EA">
            <w:pPr>
              <w:spacing w:after="0"/>
            </w:pPr>
            <w:r>
              <w:rPr>
                <w:rFonts w:eastAsia="SimSun" w:hint="eastAsia"/>
                <w:lang w:eastAsia="zh-CN"/>
              </w:rPr>
              <w:t xml:space="preserve">Affected </w:t>
            </w:r>
            <w:r>
              <w:t>Subclauses</w:t>
            </w:r>
          </w:p>
        </w:tc>
      </w:tr>
      <w:tr w:rsidR="009D6F7D" w14:paraId="2D09D7A9" w14:textId="77777777" w:rsidTr="00B475EA">
        <w:tc>
          <w:tcPr>
            <w:tcW w:w="4675" w:type="dxa"/>
          </w:tcPr>
          <w:p w14:paraId="077CD1C4" w14:textId="4D8F6532" w:rsidR="009D6F7D" w:rsidRDefault="009D6F7D" w:rsidP="009D6F7D">
            <w:pPr>
              <w:spacing w:after="0"/>
            </w:pPr>
            <w:r>
              <w:t>38.817-02</w:t>
            </w:r>
          </w:p>
        </w:tc>
        <w:tc>
          <w:tcPr>
            <w:tcW w:w="4675" w:type="dxa"/>
          </w:tcPr>
          <w:p w14:paraId="5A87F689" w14:textId="360D9B9B" w:rsidR="009D6F7D" w:rsidRDefault="009D6F7D" w:rsidP="009D6F7D">
            <w:pPr>
              <w:spacing w:after="0"/>
            </w:pPr>
            <w:r>
              <w:t>6.5.3.1, 9.6.3</w:t>
            </w:r>
          </w:p>
        </w:tc>
      </w:tr>
      <w:tr w:rsidR="009D6F7D" w14:paraId="35546AE3" w14:textId="77777777" w:rsidTr="00B475EA">
        <w:tc>
          <w:tcPr>
            <w:tcW w:w="4675" w:type="dxa"/>
          </w:tcPr>
          <w:p w14:paraId="6DA34BD4" w14:textId="1D3F02FD" w:rsidR="009D6F7D" w:rsidRDefault="009D6F7D" w:rsidP="00F02DE9">
            <w:pPr>
              <w:spacing w:after="0"/>
            </w:pPr>
            <w:r>
              <w:t>3</w:t>
            </w:r>
            <w:r w:rsidR="00F02DE9">
              <w:t>7.843</w:t>
            </w:r>
          </w:p>
        </w:tc>
        <w:tc>
          <w:tcPr>
            <w:tcW w:w="4675" w:type="dxa"/>
          </w:tcPr>
          <w:p w14:paraId="2CA0F143" w14:textId="37F59729" w:rsidR="009D6F7D" w:rsidRDefault="00F02DE9" w:rsidP="00B475EA">
            <w:pPr>
              <w:spacing w:after="0"/>
            </w:pPr>
            <w:r w:rsidRPr="00F02DE9">
              <w:t>5.5.3.1, 10.2.7.1</w:t>
            </w:r>
          </w:p>
        </w:tc>
      </w:tr>
    </w:tbl>
    <w:p w14:paraId="02405AF1" w14:textId="77777777" w:rsidR="009D6F7D" w:rsidRDefault="009D6F7D" w:rsidP="00D33297"/>
    <w:p w14:paraId="58A23774" w14:textId="622617C7" w:rsidR="00FE5B43" w:rsidRDefault="00870BFC" w:rsidP="00FE5B43">
      <w:pPr>
        <w:pStyle w:val="Heading2"/>
      </w:pPr>
      <w:r>
        <w:t xml:space="preserve">TS </w:t>
      </w:r>
      <w:r w:rsidR="00FE5B43">
        <w:t>37.105</w:t>
      </w:r>
      <w:r w:rsidR="00E40939">
        <w:t xml:space="preserve"> </w:t>
      </w:r>
      <w:r w:rsidR="00E40939">
        <w:fldChar w:fldCharType="begin"/>
      </w:r>
      <w:r w:rsidR="00E40939">
        <w:instrText xml:space="preserve"> REF _Ref7073760 \r \h </w:instrText>
      </w:r>
      <w:r w:rsidR="00E40939">
        <w:fldChar w:fldCharType="separate"/>
      </w:r>
      <w:r w:rsidR="009D6F7D">
        <w:t>[2]</w:t>
      </w:r>
      <w:r w:rsidR="00E40939">
        <w:fldChar w:fldCharType="end"/>
      </w:r>
    </w:p>
    <w:p w14:paraId="306C6AB5" w14:textId="6505A5E6" w:rsidR="00870BFC" w:rsidRDefault="00870BFC" w:rsidP="00870BFC">
      <w:r>
        <w:t>Subclause 6.5.3.1 specifically discusses the phrase “TX diversity” for UTRA and E-UTRA but excludes the phrase for NR.</w:t>
      </w:r>
    </w:p>
    <w:p w14:paraId="4A8D86AC" w14:textId="77777777" w:rsidR="00870BFC" w:rsidRPr="00870BFC" w:rsidRDefault="00870BFC" w:rsidP="00870BFC">
      <w:pPr>
        <w:rPr>
          <w:i/>
          <w:sz w:val="20"/>
          <w:szCs w:val="20"/>
        </w:rPr>
      </w:pPr>
      <w:r w:rsidRPr="00870BFC">
        <w:rPr>
          <w:i/>
          <w:sz w:val="20"/>
          <w:szCs w:val="20"/>
        </w:rPr>
        <w:t>-</w:t>
      </w:r>
      <w:r w:rsidRPr="00870BFC">
        <w:rPr>
          <w:i/>
          <w:sz w:val="20"/>
          <w:szCs w:val="20"/>
        </w:rPr>
        <w:tab/>
        <w:t>NR single/multi-carrier transmissions, and their combinations with MIMO.</w:t>
      </w:r>
    </w:p>
    <w:p w14:paraId="06EE6F94" w14:textId="327456B7" w:rsidR="00870BFC" w:rsidRDefault="00870BFC" w:rsidP="00870BFC">
      <w:pPr>
        <w:rPr>
          <w:i/>
          <w:sz w:val="20"/>
          <w:szCs w:val="20"/>
        </w:rPr>
      </w:pPr>
      <w:r w:rsidRPr="00870BFC">
        <w:rPr>
          <w:i/>
          <w:sz w:val="20"/>
          <w:szCs w:val="20"/>
        </w:rPr>
        <w:t>-</w:t>
      </w:r>
      <w:r w:rsidRPr="00870BFC">
        <w:rPr>
          <w:i/>
          <w:sz w:val="20"/>
          <w:szCs w:val="20"/>
        </w:rPr>
        <w:tab/>
        <w:t>NR Carrier Aggregation, with or without MIMO.</w:t>
      </w:r>
    </w:p>
    <w:p w14:paraId="342F8957" w14:textId="2D01DEAE" w:rsidR="00870BFC" w:rsidRDefault="00870BFC" w:rsidP="00870BFC">
      <w:r>
        <w:t>However, an ensuing paragraph mentions</w:t>
      </w:r>
    </w:p>
    <w:p w14:paraId="3BC877DA" w14:textId="77777777" w:rsidR="00870BFC" w:rsidRPr="00E40939" w:rsidRDefault="00870BFC" w:rsidP="00870BFC">
      <w:pPr>
        <w:rPr>
          <w:i/>
          <w:sz w:val="20"/>
        </w:rPr>
      </w:pPr>
      <w:r w:rsidRPr="00E40939">
        <w:rPr>
          <w:i/>
          <w:sz w:val="20"/>
        </w:rPr>
        <w:lastRenderedPageBreak/>
        <w:t>For a specific set of signals/transmitter configuration/transmission mode, the Time Alignment Error (TAE) is defined as the largest timing difference between any two different LTE signals or any two different WCDMA signals or a</w:t>
      </w:r>
      <w:r w:rsidRPr="00E40939">
        <w:rPr>
          <w:i/>
          <w:sz w:val="20"/>
          <w:highlight w:val="yellow"/>
        </w:rPr>
        <w:t>ny two different NR signals</w:t>
      </w:r>
      <w:r w:rsidRPr="00E40939">
        <w:rPr>
          <w:i/>
          <w:sz w:val="20"/>
        </w:rPr>
        <w:t xml:space="preserve"> belonging to different </w:t>
      </w:r>
      <w:r w:rsidRPr="00E40939">
        <w:rPr>
          <w:sz w:val="20"/>
        </w:rPr>
        <w:t>TAB Connectors</w:t>
      </w:r>
      <w:r w:rsidRPr="00E40939">
        <w:rPr>
          <w:i/>
          <w:sz w:val="20"/>
        </w:rPr>
        <w:t xml:space="preserve"> belonging to different transmitter groups at the </w:t>
      </w:r>
      <w:r w:rsidRPr="00E40939">
        <w:rPr>
          <w:sz w:val="20"/>
        </w:rPr>
        <w:t>transceiver array boundary</w:t>
      </w:r>
      <w:r w:rsidRPr="00E40939">
        <w:rPr>
          <w:i/>
          <w:sz w:val="20"/>
        </w:rPr>
        <w:t>, where transmitter groups</w:t>
      </w:r>
      <w:r w:rsidRPr="00E40939">
        <w:rPr>
          <w:i/>
          <w:sz w:val="20"/>
          <w:szCs w:val="20"/>
        </w:rPr>
        <w:t xml:space="preserve"> </w:t>
      </w:r>
      <w:r w:rsidRPr="00E40939">
        <w:rPr>
          <w:rStyle w:val="CommentReference"/>
          <w:i/>
          <w:sz w:val="20"/>
          <w:szCs w:val="20"/>
        </w:rPr>
        <w:t>are a</w:t>
      </w:r>
      <w:r w:rsidRPr="00E40939">
        <w:rPr>
          <w:i/>
          <w:sz w:val="20"/>
          <w:szCs w:val="20"/>
        </w:rPr>
        <w:t>ss</w:t>
      </w:r>
      <w:r w:rsidRPr="00E40939">
        <w:rPr>
          <w:i/>
          <w:sz w:val="20"/>
        </w:rPr>
        <w:t xml:space="preserve">ociated with the </w:t>
      </w:r>
      <w:r w:rsidRPr="00E40939">
        <w:rPr>
          <w:sz w:val="20"/>
        </w:rPr>
        <w:t>TAB connectors</w:t>
      </w:r>
      <w:r w:rsidRPr="00E40939">
        <w:rPr>
          <w:i/>
          <w:sz w:val="20"/>
        </w:rPr>
        <w:t xml:space="preserve"> in the transceiver unit array corresponding to </w:t>
      </w:r>
      <w:r w:rsidRPr="00E40939">
        <w:rPr>
          <w:i/>
          <w:sz w:val="20"/>
          <w:highlight w:val="yellow"/>
        </w:rPr>
        <w:t>TX diversity</w:t>
      </w:r>
      <w:r w:rsidRPr="00E40939">
        <w:rPr>
          <w:i/>
          <w:sz w:val="20"/>
        </w:rPr>
        <w:t xml:space="preserve">, MIMO transmission, </w:t>
      </w:r>
      <w:r w:rsidRPr="00E40939">
        <w:rPr>
          <w:sz w:val="20"/>
        </w:rPr>
        <w:t>carrier aggregation</w:t>
      </w:r>
      <w:r w:rsidRPr="00E40939">
        <w:rPr>
          <w:i/>
          <w:sz w:val="20"/>
        </w:rPr>
        <w:t>, etc.</w:t>
      </w:r>
    </w:p>
    <w:p w14:paraId="0D040352" w14:textId="491E4C09" w:rsidR="00E40939" w:rsidRDefault="00E40939" w:rsidP="00E40939">
      <w:r>
        <w:t>The paragraph is meant to be applicable to WCDMA, LTE, and NR in the generic sense. It may not be necessary to modify the text. However, if it is required, a note or a clause exclude “TX diversity” can be added. An example of a clause is “TX diversity (for LTE and for WCDMA)”</w:t>
      </w:r>
    </w:p>
    <w:p w14:paraId="2A57C4B2" w14:textId="001F5F79" w:rsidR="00E40939" w:rsidRDefault="00E40939" w:rsidP="00E40939">
      <w:pPr>
        <w:rPr>
          <w:b/>
          <w:i/>
        </w:rPr>
      </w:pPr>
      <w:r w:rsidRPr="00E40939">
        <w:rPr>
          <w:b/>
          <w:i/>
        </w:rPr>
        <w:t>Proposal 1. No change of removing “TX diversity” is needed for TS 37.105 subclause 6.5.3.1.</w:t>
      </w:r>
    </w:p>
    <w:p w14:paraId="53A4CC36" w14:textId="77777777" w:rsidR="002836F0" w:rsidRPr="00E40939" w:rsidRDefault="002836F0" w:rsidP="002836F0"/>
    <w:p w14:paraId="2B297235" w14:textId="1F42E650" w:rsidR="00E40939" w:rsidRDefault="00E40939" w:rsidP="00E40939">
      <w:pPr>
        <w:pStyle w:val="Heading2"/>
      </w:pPr>
      <w:r>
        <w:t xml:space="preserve">TS 37.145-1 </w:t>
      </w:r>
      <w:r>
        <w:fldChar w:fldCharType="begin"/>
      </w:r>
      <w:r>
        <w:instrText xml:space="preserve"> REF _Ref7073778 \r \h </w:instrText>
      </w:r>
      <w:r>
        <w:fldChar w:fldCharType="separate"/>
      </w:r>
      <w:r w:rsidR="009D6F7D">
        <w:t>[3]</w:t>
      </w:r>
      <w:r>
        <w:fldChar w:fldCharType="end"/>
      </w:r>
    </w:p>
    <w:p w14:paraId="04075359" w14:textId="5921DEB9" w:rsidR="00455592" w:rsidRPr="00455592" w:rsidRDefault="00455592" w:rsidP="00455592">
      <w:pPr>
        <w:pStyle w:val="Heading3"/>
      </w:pPr>
      <w:r>
        <w:t>Subclause 6.5.3.1</w:t>
      </w:r>
    </w:p>
    <w:p w14:paraId="3CDAE429" w14:textId="587BFE63" w:rsidR="00E40939" w:rsidRDefault="00E40939" w:rsidP="00E40939">
      <w:r>
        <w:t xml:space="preserve">Subclause 6.5.3.1 of TS 37.145-1 follows Subclause 6.5.3.1 of TS 37.105. The 37.145-1 subclause should </w:t>
      </w:r>
      <w:r w:rsidR="00455592">
        <w:t>replicate the 37.105 subclause</w:t>
      </w:r>
      <w:r>
        <w:t>.</w:t>
      </w:r>
    </w:p>
    <w:p w14:paraId="521E261B" w14:textId="3F9C9CF3" w:rsidR="00455592" w:rsidRPr="00E40939" w:rsidRDefault="00455592" w:rsidP="00455592">
      <w:pPr>
        <w:rPr>
          <w:b/>
          <w:i/>
        </w:rPr>
      </w:pPr>
      <w:r w:rsidRPr="00E40939">
        <w:rPr>
          <w:b/>
          <w:i/>
        </w:rPr>
        <w:t xml:space="preserve">Proposal </w:t>
      </w:r>
      <w:r>
        <w:rPr>
          <w:b/>
          <w:i/>
        </w:rPr>
        <w:t>2</w:t>
      </w:r>
      <w:r w:rsidRPr="00E40939">
        <w:rPr>
          <w:b/>
          <w:i/>
        </w:rPr>
        <w:t xml:space="preserve">. </w:t>
      </w:r>
      <w:r>
        <w:rPr>
          <w:b/>
          <w:i/>
        </w:rPr>
        <w:t xml:space="preserve">TS </w:t>
      </w:r>
      <w:r w:rsidRPr="00455592">
        <w:rPr>
          <w:b/>
          <w:i/>
        </w:rPr>
        <w:t xml:space="preserve">37.145-1 subclause </w:t>
      </w:r>
      <w:r w:rsidRPr="00E40939">
        <w:rPr>
          <w:b/>
          <w:i/>
        </w:rPr>
        <w:t>6.5.3.1</w:t>
      </w:r>
      <w:r>
        <w:rPr>
          <w:b/>
          <w:i/>
        </w:rPr>
        <w:t xml:space="preserve"> </w:t>
      </w:r>
      <w:r w:rsidRPr="00455592">
        <w:rPr>
          <w:b/>
          <w:i/>
        </w:rPr>
        <w:t xml:space="preserve">should replicate </w:t>
      </w:r>
      <w:r>
        <w:rPr>
          <w:b/>
          <w:i/>
        </w:rPr>
        <w:t>TS</w:t>
      </w:r>
      <w:r w:rsidRPr="00455592">
        <w:rPr>
          <w:b/>
          <w:i/>
        </w:rPr>
        <w:t xml:space="preserve"> 37.105 subclause</w:t>
      </w:r>
      <w:r w:rsidRPr="00E40939">
        <w:rPr>
          <w:b/>
          <w:i/>
        </w:rPr>
        <w:t xml:space="preserve"> 6.5.3.1</w:t>
      </w:r>
      <w:r>
        <w:rPr>
          <w:b/>
          <w:i/>
        </w:rPr>
        <w:t xml:space="preserve"> if any changes are made</w:t>
      </w:r>
      <w:r w:rsidRPr="00E40939">
        <w:rPr>
          <w:b/>
          <w:i/>
        </w:rPr>
        <w:t>.</w:t>
      </w:r>
    </w:p>
    <w:p w14:paraId="3F5E5A0D" w14:textId="15A0C9DA" w:rsidR="00455592" w:rsidRDefault="00455592" w:rsidP="00455592">
      <w:pPr>
        <w:pStyle w:val="Heading3"/>
      </w:pPr>
      <w:r>
        <w:t xml:space="preserve">Subclause </w:t>
      </w:r>
      <w:r w:rsidRPr="00084B7D">
        <w:t>6.5.3.4.2.4</w:t>
      </w:r>
    </w:p>
    <w:p w14:paraId="4C2D0382" w14:textId="266866EE" w:rsidR="00455592" w:rsidRDefault="00455592" w:rsidP="00455592">
      <w:r>
        <w:t xml:space="preserve">Subclause </w:t>
      </w:r>
      <w:r w:rsidRPr="00084B7D">
        <w:t>6.5.3.4.2.4</w:t>
      </w:r>
      <w:r>
        <w:t xml:space="preserve"> of TS 37.145-1 requires some modification.</w:t>
      </w:r>
    </w:p>
    <w:p w14:paraId="6F98CCCA" w14:textId="77777777" w:rsidR="00455592" w:rsidRPr="00084B7D" w:rsidRDefault="00455592" w:rsidP="00455592">
      <w:pPr>
        <w:pStyle w:val="B1"/>
      </w:pPr>
      <w:r w:rsidRPr="00084B7D">
        <w:t>1)</w:t>
      </w:r>
      <w:r w:rsidRPr="00084B7D">
        <w:tab/>
      </w:r>
      <w:r w:rsidRPr="00455592" w:rsidDel="002B598B">
        <w:rPr>
          <w:highlight w:val="yellow"/>
        </w:rPr>
        <w:t xml:space="preserve">Set the </w:t>
      </w:r>
      <w:r w:rsidRPr="00455592">
        <w:rPr>
          <w:highlight w:val="yellow"/>
        </w:rPr>
        <w:t>AAS BS</w:t>
      </w:r>
      <w:r w:rsidRPr="00455592" w:rsidDel="002B598B">
        <w:rPr>
          <w:highlight w:val="yellow"/>
        </w:rPr>
        <w:t xml:space="preserve"> to transmit E-TM1.1</w:t>
      </w:r>
      <w:r w:rsidRPr="00455592">
        <w:rPr>
          <w:highlight w:val="yellow"/>
        </w:rPr>
        <w:t xml:space="preserve"> or NR-FR1-TM 1.1</w:t>
      </w:r>
      <w:r w:rsidRPr="00455592" w:rsidDel="002B598B">
        <w:rPr>
          <w:highlight w:val="yellow"/>
        </w:rPr>
        <w:t xml:space="preserve"> </w:t>
      </w:r>
      <w:r w:rsidRPr="00455592">
        <w:rPr>
          <w:highlight w:val="yellow"/>
        </w:rPr>
        <w:t xml:space="preserve">or any DL signal using TX diversity, MIMO </w:t>
      </w:r>
      <w:r w:rsidRPr="00455592" w:rsidDel="002B598B">
        <w:rPr>
          <w:highlight w:val="yellow"/>
        </w:rPr>
        <w:t>transmission or carrier aggregation</w:t>
      </w:r>
      <w:r w:rsidRPr="00455592">
        <w:rPr>
          <w:highlight w:val="yellow"/>
        </w:rPr>
        <w:t>.</w:t>
      </w:r>
    </w:p>
    <w:p w14:paraId="53F5493C" w14:textId="77777777" w:rsidR="00455592" w:rsidRPr="00084B7D" w:rsidRDefault="00455592" w:rsidP="00455592">
      <w:pPr>
        <w:pStyle w:val="NO"/>
        <w:keepNext/>
      </w:pPr>
      <w:r w:rsidRPr="00084B7D">
        <w:t>NOTE:</w:t>
      </w:r>
      <w:r w:rsidRPr="00084B7D">
        <w:tab/>
      </w:r>
      <w:r w:rsidRPr="00455592">
        <w:rPr>
          <w:highlight w:val="yellow"/>
        </w:rPr>
        <w:t xml:space="preserve">For TX diversity and MIMO transmission, different ports may be configured in E-TM or NR-FR1-TM (using </w:t>
      </w:r>
      <w:r w:rsidRPr="00455592">
        <w:rPr>
          <w:i/>
          <w:highlight w:val="yellow"/>
        </w:rPr>
        <w:t>p</w:t>
      </w:r>
      <w:r w:rsidRPr="00455592">
        <w:rPr>
          <w:highlight w:val="yellow"/>
        </w:rPr>
        <w:t xml:space="preserve"> = 0 and 1)</w:t>
      </w:r>
      <w:r w:rsidRPr="00455592">
        <w:rPr>
          <w:highlight w:val="yellow"/>
          <w:lang w:eastAsia="zh-CN"/>
        </w:rPr>
        <w:t>.</w:t>
      </w:r>
    </w:p>
    <w:p w14:paraId="4A8B8EDA" w14:textId="55750A5B" w:rsidR="00E40939" w:rsidRDefault="00455592" w:rsidP="00E40939">
      <w:r>
        <w:t>Step 1 may not need modification if the NOTE is modified and another NOTE is added. The modified note removes “NR-FR1-TM”</w:t>
      </w:r>
      <w:r w:rsidR="0016161E">
        <w:t>. The new NOTE specifies “NR-FR1-TM”. Example is</w:t>
      </w:r>
    </w:p>
    <w:p w14:paraId="5A9402AE" w14:textId="77777777" w:rsidR="0016161E" w:rsidRPr="0016161E" w:rsidRDefault="0016161E" w:rsidP="0016161E">
      <w:pPr>
        <w:pStyle w:val="NO"/>
        <w:keepNext/>
      </w:pPr>
      <w:r w:rsidRPr="0016161E">
        <w:t>NOTE:</w:t>
      </w:r>
      <w:r w:rsidRPr="0016161E">
        <w:tab/>
        <w:t>For TX diversity and MIMO transmission, different ports may be configured in E-TM</w:t>
      </w:r>
      <w:r w:rsidRPr="0016161E">
        <w:rPr>
          <w:strike/>
          <w:color w:val="C00000"/>
        </w:rPr>
        <w:t xml:space="preserve"> or NR-FR1-TM</w:t>
      </w:r>
      <w:r w:rsidRPr="0016161E">
        <w:t xml:space="preserve"> (using </w:t>
      </w:r>
      <w:r w:rsidRPr="0016161E">
        <w:rPr>
          <w:i/>
        </w:rPr>
        <w:t>p</w:t>
      </w:r>
      <w:r w:rsidRPr="0016161E">
        <w:t xml:space="preserve"> = 0 and 1)</w:t>
      </w:r>
      <w:r w:rsidRPr="0016161E">
        <w:rPr>
          <w:lang w:eastAsia="zh-CN"/>
        </w:rPr>
        <w:t>.</w:t>
      </w:r>
    </w:p>
    <w:p w14:paraId="7B37BCDA" w14:textId="251576A5" w:rsidR="0016161E" w:rsidRPr="0016161E" w:rsidRDefault="0016161E" w:rsidP="0016161E">
      <w:pPr>
        <w:pStyle w:val="NO"/>
        <w:keepNext/>
        <w:rPr>
          <w:color w:val="C00000"/>
        </w:rPr>
      </w:pPr>
      <w:r w:rsidRPr="0016161E">
        <w:rPr>
          <w:color w:val="C00000"/>
        </w:rPr>
        <w:t>NOTE:</w:t>
      </w:r>
      <w:r w:rsidRPr="0016161E">
        <w:rPr>
          <w:color w:val="C00000"/>
        </w:rPr>
        <w:tab/>
        <w:t xml:space="preserve">For MIMO transmission, different ports may be configured in NR-FR1-TM (using </w:t>
      </w:r>
      <w:r>
        <w:rPr>
          <w:color w:val="C00000"/>
        </w:rPr>
        <w:t xml:space="preserve">port offset </w:t>
      </w:r>
      <w:r w:rsidRPr="0016161E">
        <w:rPr>
          <w:i/>
          <w:color w:val="C00000"/>
        </w:rPr>
        <w:t>p</w:t>
      </w:r>
      <w:r w:rsidRPr="0016161E">
        <w:rPr>
          <w:color w:val="C00000"/>
        </w:rPr>
        <w:t xml:space="preserve"> = 0 and 1)</w:t>
      </w:r>
      <w:r w:rsidRPr="0016161E">
        <w:rPr>
          <w:color w:val="C00000"/>
          <w:lang w:eastAsia="zh-CN"/>
        </w:rPr>
        <w:t>.</w:t>
      </w:r>
    </w:p>
    <w:p w14:paraId="08CF1789" w14:textId="668617BF" w:rsidR="0016161E" w:rsidRPr="00E40939" w:rsidRDefault="0016161E" w:rsidP="0016161E">
      <w:pPr>
        <w:rPr>
          <w:b/>
          <w:i/>
        </w:rPr>
      </w:pPr>
      <w:r w:rsidRPr="00E40939">
        <w:rPr>
          <w:b/>
          <w:i/>
        </w:rPr>
        <w:t xml:space="preserve">Proposal </w:t>
      </w:r>
      <w:r>
        <w:rPr>
          <w:b/>
          <w:i/>
        </w:rPr>
        <w:t>3</w:t>
      </w:r>
      <w:r w:rsidRPr="00E40939">
        <w:rPr>
          <w:b/>
          <w:i/>
        </w:rPr>
        <w:t xml:space="preserve">. </w:t>
      </w:r>
      <w:r>
        <w:rPr>
          <w:b/>
          <w:i/>
        </w:rPr>
        <w:t xml:space="preserve">TS </w:t>
      </w:r>
      <w:r w:rsidRPr="00455592">
        <w:rPr>
          <w:b/>
          <w:i/>
        </w:rPr>
        <w:t xml:space="preserve">37.145-1 subclause </w:t>
      </w:r>
      <w:r>
        <w:rPr>
          <w:b/>
          <w:i/>
        </w:rPr>
        <w:t>6.5.3</w:t>
      </w:r>
      <w:r w:rsidRPr="0016161E">
        <w:rPr>
          <w:b/>
          <w:i/>
        </w:rPr>
        <w:t>.4.2.4</w:t>
      </w:r>
      <w:r>
        <w:rPr>
          <w:b/>
          <w:i/>
        </w:rPr>
        <w:t xml:space="preserve"> should be changed as indicated</w:t>
      </w:r>
      <w:r w:rsidRPr="00E40939">
        <w:rPr>
          <w:b/>
          <w:i/>
        </w:rPr>
        <w:t>.</w:t>
      </w:r>
    </w:p>
    <w:p w14:paraId="17386DC5" w14:textId="06600F58" w:rsidR="00455592" w:rsidRDefault="00455592" w:rsidP="00455592">
      <w:pPr>
        <w:pStyle w:val="Heading3"/>
      </w:pPr>
      <w:r>
        <w:t xml:space="preserve">Subclause </w:t>
      </w:r>
      <w:r w:rsidRPr="00455592">
        <w:t>6.5.3.5.4</w:t>
      </w:r>
    </w:p>
    <w:p w14:paraId="08C0063D" w14:textId="4D92CB7D" w:rsidR="00455592" w:rsidRDefault="00455592" w:rsidP="00455592">
      <w:r>
        <w:t>This subclause requires edits</w:t>
      </w:r>
    </w:p>
    <w:p w14:paraId="768B995B" w14:textId="77777777" w:rsidR="00455592" w:rsidRPr="00455592" w:rsidRDefault="00455592" w:rsidP="00455592">
      <w:pPr>
        <w:rPr>
          <w:i/>
          <w:sz w:val="20"/>
        </w:rPr>
      </w:pPr>
      <w:r w:rsidRPr="00455592">
        <w:rPr>
          <w:i/>
          <w:sz w:val="20"/>
        </w:rPr>
        <w:t xml:space="preserve">For MIMO </w:t>
      </w:r>
      <w:r w:rsidRPr="00455592">
        <w:rPr>
          <w:i/>
          <w:sz w:val="20"/>
          <w:highlight w:val="yellow"/>
        </w:rPr>
        <w:t>or TX diversity</w:t>
      </w:r>
      <w:r w:rsidRPr="00455592">
        <w:rPr>
          <w:i/>
          <w:sz w:val="20"/>
        </w:rPr>
        <w:t xml:space="preserve"> transmissions, at each carrier frequency, TAE shall not exceed 90 ns. </w:t>
      </w:r>
    </w:p>
    <w:p w14:paraId="64871DBC" w14:textId="77777777" w:rsidR="00455592" w:rsidRPr="00455592" w:rsidRDefault="00455592" w:rsidP="00455592">
      <w:pPr>
        <w:rPr>
          <w:i/>
          <w:sz w:val="20"/>
        </w:rPr>
      </w:pPr>
      <w:r w:rsidRPr="00455592">
        <w:rPr>
          <w:i/>
          <w:sz w:val="20"/>
        </w:rPr>
        <w:t xml:space="preserve">For intra-band contiguous CA, with or without MIMO </w:t>
      </w:r>
      <w:r w:rsidRPr="00455592">
        <w:rPr>
          <w:i/>
          <w:sz w:val="20"/>
          <w:highlight w:val="yellow"/>
        </w:rPr>
        <w:t>or TX diversity</w:t>
      </w:r>
      <w:r w:rsidRPr="00455592">
        <w:rPr>
          <w:i/>
          <w:sz w:val="20"/>
        </w:rPr>
        <w:t>, TAE shall not exceed 285 ns.</w:t>
      </w:r>
    </w:p>
    <w:p w14:paraId="2E8CA1DF" w14:textId="77777777" w:rsidR="00455592" w:rsidRPr="00455592" w:rsidRDefault="00455592" w:rsidP="00455592">
      <w:pPr>
        <w:rPr>
          <w:i/>
          <w:sz w:val="20"/>
        </w:rPr>
      </w:pPr>
      <w:r w:rsidRPr="00455592">
        <w:rPr>
          <w:i/>
          <w:sz w:val="20"/>
        </w:rPr>
        <w:t xml:space="preserve">For intra-band non-contiguous CA, with or without MIMO </w:t>
      </w:r>
      <w:r w:rsidRPr="00455592">
        <w:rPr>
          <w:i/>
          <w:sz w:val="20"/>
          <w:highlight w:val="yellow"/>
        </w:rPr>
        <w:t>or TX diversity</w:t>
      </w:r>
      <w:r w:rsidRPr="00455592">
        <w:rPr>
          <w:i/>
          <w:sz w:val="20"/>
        </w:rPr>
        <w:t xml:space="preserve">, TAE shall not exceed 3.025µs. </w:t>
      </w:r>
    </w:p>
    <w:p w14:paraId="49BC082F" w14:textId="642AA30E" w:rsidR="00455592" w:rsidRPr="00455592" w:rsidRDefault="00455592" w:rsidP="00455592">
      <w:pPr>
        <w:rPr>
          <w:i/>
          <w:sz w:val="20"/>
        </w:rPr>
      </w:pPr>
      <w:r w:rsidRPr="00455592">
        <w:rPr>
          <w:i/>
          <w:sz w:val="20"/>
        </w:rPr>
        <w:t xml:space="preserve">For inter-band CA, with or without MIMO </w:t>
      </w:r>
      <w:r w:rsidRPr="00455592">
        <w:rPr>
          <w:i/>
          <w:sz w:val="20"/>
          <w:highlight w:val="yellow"/>
        </w:rPr>
        <w:t>or TX diversity</w:t>
      </w:r>
      <w:r w:rsidRPr="00455592">
        <w:rPr>
          <w:i/>
          <w:sz w:val="20"/>
        </w:rPr>
        <w:t>, TAE shall not exceed 3.025µs.</w:t>
      </w:r>
    </w:p>
    <w:p w14:paraId="659E9185" w14:textId="2F4905CD" w:rsidR="00455592" w:rsidRDefault="00455592" w:rsidP="00455592">
      <w:pPr>
        <w:rPr>
          <w:b/>
          <w:i/>
        </w:rPr>
      </w:pPr>
      <w:r w:rsidRPr="00E40939">
        <w:rPr>
          <w:b/>
          <w:i/>
        </w:rPr>
        <w:t xml:space="preserve">Proposal </w:t>
      </w:r>
      <w:r w:rsidR="0016161E">
        <w:rPr>
          <w:b/>
          <w:i/>
        </w:rPr>
        <w:t>4</w:t>
      </w:r>
      <w:r w:rsidRPr="00E40939">
        <w:rPr>
          <w:b/>
          <w:i/>
        </w:rPr>
        <w:t xml:space="preserve">. </w:t>
      </w:r>
      <w:r>
        <w:rPr>
          <w:b/>
          <w:i/>
        </w:rPr>
        <w:t>R</w:t>
      </w:r>
      <w:r w:rsidRPr="00E40939">
        <w:rPr>
          <w:b/>
          <w:i/>
        </w:rPr>
        <w:t>emov</w:t>
      </w:r>
      <w:r>
        <w:rPr>
          <w:b/>
          <w:i/>
        </w:rPr>
        <w:t>e</w:t>
      </w:r>
      <w:r w:rsidRPr="00E40939">
        <w:rPr>
          <w:b/>
          <w:i/>
        </w:rPr>
        <w:t xml:space="preserve"> “</w:t>
      </w:r>
      <w:r>
        <w:rPr>
          <w:b/>
          <w:i/>
        </w:rPr>
        <w:t xml:space="preserve">or </w:t>
      </w:r>
      <w:r w:rsidRPr="00E40939">
        <w:rPr>
          <w:b/>
          <w:i/>
        </w:rPr>
        <w:t xml:space="preserve">TX diversity” </w:t>
      </w:r>
      <w:r>
        <w:rPr>
          <w:b/>
          <w:i/>
        </w:rPr>
        <w:t>from</w:t>
      </w:r>
      <w:r w:rsidRPr="00E40939">
        <w:rPr>
          <w:b/>
          <w:i/>
        </w:rPr>
        <w:t xml:space="preserve"> TS 37.1</w:t>
      </w:r>
      <w:r>
        <w:rPr>
          <w:b/>
          <w:i/>
        </w:rPr>
        <w:t>4</w:t>
      </w:r>
      <w:r w:rsidRPr="00E40939">
        <w:rPr>
          <w:b/>
          <w:i/>
        </w:rPr>
        <w:t>5</w:t>
      </w:r>
      <w:r>
        <w:rPr>
          <w:b/>
          <w:i/>
        </w:rPr>
        <w:t>-1</w:t>
      </w:r>
      <w:r w:rsidRPr="00E40939">
        <w:rPr>
          <w:b/>
          <w:i/>
        </w:rPr>
        <w:t xml:space="preserve"> subclause 6.5.3.</w:t>
      </w:r>
      <w:r>
        <w:rPr>
          <w:b/>
          <w:i/>
        </w:rPr>
        <w:t>5.4</w:t>
      </w:r>
      <w:r w:rsidRPr="00E40939">
        <w:rPr>
          <w:b/>
          <w:i/>
        </w:rPr>
        <w:t>.</w:t>
      </w:r>
    </w:p>
    <w:p w14:paraId="2684E729" w14:textId="77777777" w:rsidR="002836F0" w:rsidRPr="00E40939" w:rsidRDefault="002836F0" w:rsidP="002836F0"/>
    <w:p w14:paraId="1F706244" w14:textId="69402891" w:rsidR="0016161E" w:rsidRDefault="0016161E" w:rsidP="0016161E">
      <w:pPr>
        <w:pStyle w:val="Heading2"/>
      </w:pPr>
      <w:r>
        <w:lastRenderedPageBreak/>
        <w:t xml:space="preserve">TS 37.145-2 </w:t>
      </w:r>
      <w:r>
        <w:fldChar w:fldCharType="begin"/>
      </w:r>
      <w:r>
        <w:instrText xml:space="preserve"> REF _Ref7074883 \r \h </w:instrText>
      </w:r>
      <w:r>
        <w:fldChar w:fldCharType="separate"/>
      </w:r>
      <w:r w:rsidR="009D6F7D">
        <w:t>[4]</w:t>
      </w:r>
      <w:r>
        <w:fldChar w:fldCharType="end"/>
      </w:r>
    </w:p>
    <w:p w14:paraId="13956124" w14:textId="42F9165E" w:rsidR="00455592" w:rsidRDefault="008F3899" w:rsidP="008F3899">
      <w:pPr>
        <w:pStyle w:val="Heading3"/>
      </w:pPr>
      <w:r>
        <w:t xml:space="preserve">Subclause </w:t>
      </w:r>
      <w:r w:rsidRPr="008F3899">
        <w:t>6.6.3.1</w:t>
      </w:r>
    </w:p>
    <w:p w14:paraId="2ADD69CB" w14:textId="77777777" w:rsidR="008F3899" w:rsidRPr="008F3899" w:rsidRDefault="008F3899" w:rsidP="008F3899">
      <w:pPr>
        <w:rPr>
          <w:i/>
          <w:sz w:val="20"/>
        </w:rPr>
      </w:pPr>
      <w:r w:rsidRPr="008F3899">
        <w:rPr>
          <w:i/>
          <w:sz w:val="20"/>
        </w:rPr>
        <w:t>This requirement applies to frame timing in:</w:t>
      </w:r>
    </w:p>
    <w:p w14:paraId="0B304CC4" w14:textId="77777777" w:rsidR="008F3899" w:rsidRPr="008F3899" w:rsidRDefault="008F3899" w:rsidP="008F3899">
      <w:pPr>
        <w:keepNext/>
        <w:keepLines/>
        <w:ind w:left="568" w:hanging="284"/>
        <w:rPr>
          <w:i/>
          <w:sz w:val="20"/>
        </w:rPr>
      </w:pPr>
      <w:r w:rsidRPr="008F3899">
        <w:rPr>
          <w:i/>
          <w:sz w:val="20"/>
        </w:rPr>
        <w:t>-</w:t>
      </w:r>
      <w:r w:rsidRPr="008F3899">
        <w:rPr>
          <w:i/>
          <w:sz w:val="20"/>
        </w:rPr>
        <w:tab/>
        <w:t>UTRA single/multi-carrier transmissions and their combinations with MIMO or TX diversity.</w:t>
      </w:r>
    </w:p>
    <w:p w14:paraId="56FDC1A2" w14:textId="77777777" w:rsidR="008F3899" w:rsidRPr="008F3899" w:rsidRDefault="008F3899" w:rsidP="008F3899">
      <w:pPr>
        <w:keepNext/>
        <w:keepLines/>
        <w:ind w:left="568" w:hanging="284"/>
        <w:rPr>
          <w:i/>
          <w:sz w:val="20"/>
        </w:rPr>
      </w:pPr>
      <w:r w:rsidRPr="008F3899">
        <w:rPr>
          <w:i/>
          <w:sz w:val="20"/>
        </w:rPr>
        <w:t>-</w:t>
      </w:r>
      <w:r w:rsidRPr="008F3899">
        <w:rPr>
          <w:i/>
          <w:sz w:val="20"/>
        </w:rPr>
        <w:tab/>
        <w:t xml:space="preserve">E-UTRA and/or NR single/multi-carrier transmissions and their combinations with MIMO or </w:t>
      </w:r>
      <w:r w:rsidRPr="008F3899">
        <w:rPr>
          <w:i/>
          <w:sz w:val="20"/>
          <w:highlight w:val="yellow"/>
        </w:rPr>
        <w:t>TX diversity</w:t>
      </w:r>
      <w:r w:rsidRPr="008F3899">
        <w:rPr>
          <w:i/>
          <w:sz w:val="20"/>
        </w:rPr>
        <w:t>.</w:t>
      </w:r>
    </w:p>
    <w:p w14:paraId="5FFA5A29" w14:textId="77777777" w:rsidR="008F3899" w:rsidRPr="008F3899" w:rsidRDefault="008F3899" w:rsidP="008F3899">
      <w:pPr>
        <w:keepNext/>
        <w:keepLines/>
        <w:ind w:left="568" w:hanging="284"/>
        <w:rPr>
          <w:i/>
          <w:sz w:val="20"/>
        </w:rPr>
      </w:pPr>
      <w:r w:rsidRPr="008F3899">
        <w:rPr>
          <w:i/>
          <w:sz w:val="20"/>
        </w:rPr>
        <w:t>-</w:t>
      </w:r>
      <w:r w:rsidRPr="008F3899">
        <w:rPr>
          <w:i/>
          <w:sz w:val="20"/>
        </w:rPr>
        <w:tab/>
        <w:t xml:space="preserve">E-UTRA and /or NR </w:t>
      </w:r>
      <w:r w:rsidRPr="008F3899">
        <w:rPr>
          <w:sz w:val="20"/>
        </w:rPr>
        <w:t>carrier aggregation</w:t>
      </w:r>
      <w:r w:rsidRPr="008F3899">
        <w:rPr>
          <w:i/>
          <w:sz w:val="20"/>
        </w:rPr>
        <w:t xml:space="preserve">, with or without MIMO or </w:t>
      </w:r>
      <w:r w:rsidRPr="008F3899">
        <w:rPr>
          <w:i/>
          <w:sz w:val="20"/>
          <w:highlight w:val="yellow"/>
        </w:rPr>
        <w:t>TX diversity</w:t>
      </w:r>
      <w:r w:rsidRPr="008F3899">
        <w:rPr>
          <w:i/>
          <w:sz w:val="20"/>
        </w:rPr>
        <w:t>.</w:t>
      </w:r>
    </w:p>
    <w:p w14:paraId="276CCF3F" w14:textId="7DB356B0" w:rsidR="008F3899" w:rsidRDefault="008F3899" w:rsidP="00455592">
      <w:r>
        <w:t>[…]</w:t>
      </w:r>
    </w:p>
    <w:p w14:paraId="64118676" w14:textId="77777777" w:rsidR="008F3899" w:rsidRPr="008F3899" w:rsidRDefault="008F3899" w:rsidP="008F3899">
      <w:pPr>
        <w:rPr>
          <w:i/>
          <w:sz w:val="20"/>
          <w:szCs w:val="20"/>
          <w:lang w:eastAsia="en-GB"/>
        </w:rPr>
      </w:pPr>
      <w:r w:rsidRPr="008F3899">
        <w:rPr>
          <w:i/>
          <w:sz w:val="20"/>
          <w:szCs w:val="20"/>
        </w:rPr>
        <w:t>For a specific set of signals/transmitter configuration/transmission mode, the OTA Time Alignment Error (OTA TAE) is defined as the largest timing difference between any two different E-UTRA signals or any two different UTRA or any two different NR signals belongin</w:t>
      </w:r>
      <w:r w:rsidRPr="005146AD">
        <w:rPr>
          <w:i/>
          <w:sz w:val="20"/>
          <w:szCs w:val="20"/>
        </w:rPr>
        <w:t xml:space="preserve">g to different </w:t>
      </w:r>
      <w:r w:rsidRPr="005146AD">
        <w:rPr>
          <w:sz w:val="20"/>
          <w:szCs w:val="20"/>
        </w:rPr>
        <w:t>reference symbols</w:t>
      </w:r>
      <w:r w:rsidRPr="005146AD">
        <w:rPr>
          <w:i/>
          <w:sz w:val="20"/>
          <w:szCs w:val="20"/>
        </w:rPr>
        <w:t xml:space="preserve"> (</w:t>
      </w:r>
      <w:r w:rsidRPr="005146AD">
        <w:rPr>
          <w:sz w:val="20"/>
          <w:szCs w:val="20"/>
        </w:rPr>
        <w:t>e.g. CRS0 or CRS1</w:t>
      </w:r>
      <w:r w:rsidRPr="005146AD">
        <w:rPr>
          <w:i/>
          <w:sz w:val="20"/>
          <w:szCs w:val="20"/>
        </w:rPr>
        <w:t xml:space="preserve">) in the radiated domain. The OTA time alignment error requirement is defined as a </w:t>
      </w:r>
      <w:r w:rsidRPr="005146AD">
        <w:rPr>
          <w:sz w:val="20"/>
          <w:szCs w:val="20"/>
        </w:rPr>
        <w:t>directional requirement</w:t>
      </w:r>
      <w:r w:rsidRPr="005146AD">
        <w:rPr>
          <w:i/>
          <w:sz w:val="20"/>
          <w:szCs w:val="20"/>
        </w:rPr>
        <w:t xml:space="preserve"> at the RIB and shall be met within the </w:t>
      </w:r>
      <w:r w:rsidRPr="005146AD">
        <w:rPr>
          <w:sz w:val="20"/>
          <w:szCs w:val="20"/>
        </w:rPr>
        <w:t>OTA coverage range</w:t>
      </w:r>
      <w:r w:rsidRPr="005146AD">
        <w:rPr>
          <w:i/>
          <w:sz w:val="20"/>
          <w:szCs w:val="20"/>
        </w:rPr>
        <w:t>.</w:t>
      </w:r>
    </w:p>
    <w:p w14:paraId="24309FAE" w14:textId="5AFFD1F1" w:rsidR="005146AD" w:rsidRDefault="005146AD" w:rsidP="005146AD">
      <w:r>
        <w:t xml:space="preserve">The paragraph is meant to be applicable to UTRA, LTE, and NR in the generic sense. It may not be necessary to modify the text. Even reference symbols is generic. However, in NR, DM-RS is “demodulation reference </w:t>
      </w:r>
      <w:r w:rsidRPr="005146AD">
        <w:rPr>
          <w:i/>
        </w:rPr>
        <w:t>signal</w:t>
      </w:r>
      <w:r>
        <w:t>”. To be technically correct, a phrase “/ reference signal” can be added.</w:t>
      </w:r>
    </w:p>
    <w:p w14:paraId="786AADE0" w14:textId="5DE6FD19" w:rsidR="005146AD" w:rsidRPr="00E40939" w:rsidRDefault="005146AD" w:rsidP="005146AD">
      <w:pPr>
        <w:rPr>
          <w:b/>
          <w:i/>
        </w:rPr>
      </w:pPr>
      <w:r w:rsidRPr="00E40939">
        <w:rPr>
          <w:b/>
          <w:i/>
        </w:rPr>
        <w:t xml:space="preserve">Proposal </w:t>
      </w:r>
      <w:r>
        <w:rPr>
          <w:b/>
          <w:i/>
        </w:rPr>
        <w:t>5</w:t>
      </w:r>
      <w:r w:rsidRPr="00E40939">
        <w:rPr>
          <w:b/>
          <w:i/>
        </w:rPr>
        <w:t>. No change of removing “TX diversity” is needed for TS 37.1</w:t>
      </w:r>
      <w:r>
        <w:rPr>
          <w:b/>
          <w:i/>
        </w:rPr>
        <w:t>4</w:t>
      </w:r>
      <w:r w:rsidRPr="00E40939">
        <w:rPr>
          <w:b/>
          <w:i/>
        </w:rPr>
        <w:t>5</w:t>
      </w:r>
      <w:r>
        <w:rPr>
          <w:b/>
          <w:i/>
        </w:rPr>
        <w:t>-1</w:t>
      </w:r>
      <w:r w:rsidRPr="00E40939">
        <w:rPr>
          <w:b/>
          <w:i/>
        </w:rPr>
        <w:t xml:space="preserve"> subclause 6.</w:t>
      </w:r>
      <w:r>
        <w:rPr>
          <w:b/>
          <w:i/>
        </w:rPr>
        <w:t>6.3.1</w:t>
      </w:r>
      <w:r w:rsidRPr="00E40939">
        <w:rPr>
          <w:b/>
          <w:i/>
        </w:rPr>
        <w:t>.</w:t>
      </w:r>
      <w:r>
        <w:rPr>
          <w:b/>
          <w:i/>
        </w:rPr>
        <w:t xml:space="preserve"> </w:t>
      </w:r>
      <w:r w:rsidR="002836F0">
        <w:rPr>
          <w:b/>
          <w:i/>
        </w:rPr>
        <w:t xml:space="preserve">The phrase </w:t>
      </w:r>
      <w:r>
        <w:rPr>
          <w:b/>
          <w:i/>
        </w:rPr>
        <w:t>“reference signal” can be added.</w:t>
      </w:r>
    </w:p>
    <w:p w14:paraId="33FB16D2" w14:textId="57C6B65C" w:rsidR="005146AD" w:rsidRDefault="005146AD" w:rsidP="005146AD">
      <w:pPr>
        <w:pStyle w:val="Heading3"/>
      </w:pPr>
      <w:r>
        <w:t xml:space="preserve">Subclause </w:t>
      </w:r>
      <w:r w:rsidRPr="00084B7D">
        <w:t>6</w:t>
      </w:r>
      <w:r>
        <w:t>.6.2.4.2.3</w:t>
      </w:r>
    </w:p>
    <w:p w14:paraId="14575BDC" w14:textId="4958A8EB" w:rsidR="008F3899" w:rsidRDefault="005146AD" w:rsidP="00455592">
      <w:r>
        <w:t>Because the text is a replication of s</w:t>
      </w:r>
      <w:r w:rsidRPr="005146AD">
        <w:t>ubclause 6.5.3.4.2.4 of TS 37.145-1</w:t>
      </w:r>
      <w:r>
        <w:t>, the changes in s</w:t>
      </w:r>
      <w:r w:rsidRPr="005146AD">
        <w:t>ubclause 6.5.3.4.2.4</w:t>
      </w:r>
      <w:r>
        <w:t xml:space="preserve"> should be followed. </w:t>
      </w:r>
    </w:p>
    <w:p w14:paraId="0F5E5CB2" w14:textId="0467293E" w:rsidR="005146AD" w:rsidRPr="005146AD" w:rsidRDefault="005146AD" w:rsidP="005146AD">
      <w:pPr>
        <w:rPr>
          <w:b/>
          <w:i/>
        </w:rPr>
      </w:pPr>
      <w:r w:rsidRPr="005146AD">
        <w:rPr>
          <w:b/>
          <w:i/>
        </w:rPr>
        <w:t xml:space="preserve">Proposal 6. Modifications of </w:t>
      </w:r>
      <w:r w:rsidR="002836F0">
        <w:rPr>
          <w:b/>
          <w:i/>
        </w:rPr>
        <w:t>s</w:t>
      </w:r>
      <w:r w:rsidRPr="005146AD">
        <w:rPr>
          <w:b/>
          <w:i/>
        </w:rPr>
        <w:t>ubclause 6.6.2.4.2.3 of TS 37.145-2 should follow the changes in subclause 6.5.3.4.2.4 of TS 37.145-1.</w:t>
      </w:r>
    </w:p>
    <w:p w14:paraId="5F5A52F0" w14:textId="72E05B28" w:rsidR="002836F0" w:rsidRPr="005B2E5C" w:rsidRDefault="002836F0" w:rsidP="002836F0">
      <w:pPr>
        <w:pStyle w:val="Heading3"/>
      </w:pPr>
      <w:bookmarkStart w:id="2" w:name="_Toc5763649"/>
      <w:r>
        <w:t xml:space="preserve">Subclause </w:t>
      </w:r>
      <w:r w:rsidRPr="005B2E5C">
        <w:t>6.6.3.5.3</w:t>
      </w:r>
      <w:bookmarkEnd w:id="2"/>
    </w:p>
    <w:p w14:paraId="273B40E1" w14:textId="5F9300DE" w:rsidR="002836F0" w:rsidRDefault="002836F0" w:rsidP="002836F0">
      <w:r>
        <w:t xml:space="preserve">Subclause </w:t>
      </w:r>
      <w:r w:rsidRPr="005B2E5C">
        <w:t>6.6.3.5.3</w:t>
      </w:r>
      <w:r>
        <w:t xml:space="preserve"> of 37.145-2 is similar to subclause </w:t>
      </w:r>
      <w:r w:rsidRPr="00455592">
        <w:t>6.5.3.5.4</w:t>
      </w:r>
      <w:r>
        <w:t xml:space="preserve"> in TS 37.145-1.</w:t>
      </w:r>
    </w:p>
    <w:p w14:paraId="1571A30F" w14:textId="04F8DD27" w:rsidR="002836F0" w:rsidRPr="005146AD" w:rsidRDefault="002836F0" w:rsidP="002836F0">
      <w:pPr>
        <w:rPr>
          <w:b/>
          <w:i/>
        </w:rPr>
      </w:pPr>
      <w:r w:rsidRPr="005146AD">
        <w:rPr>
          <w:b/>
          <w:i/>
        </w:rPr>
        <w:t xml:space="preserve">Proposal </w:t>
      </w:r>
      <w:r>
        <w:rPr>
          <w:b/>
          <w:i/>
        </w:rPr>
        <w:t>7</w:t>
      </w:r>
      <w:r w:rsidRPr="005146AD">
        <w:rPr>
          <w:b/>
          <w:i/>
        </w:rPr>
        <w:t xml:space="preserve">. Modifications of </w:t>
      </w:r>
      <w:r>
        <w:rPr>
          <w:b/>
          <w:i/>
        </w:rPr>
        <w:t>s</w:t>
      </w:r>
      <w:r w:rsidRPr="005146AD">
        <w:rPr>
          <w:b/>
          <w:i/>
        </w:rPr>
        <w:t>ubclause 6.6.</w:t>
      </w:r>
      <w:r>
        <w:rPr>
          <w:b/>
          <w:i/>
        </w:rPr>
        <w:t>3.5.3</w:t>
      </w:r>
      <w:r w:rsidRPr="005146AD">
        <w:rPr>
          <w:b/>
          <w:i/>
        </w:rPr>
        <w:t xml:space="preserve"> of TS 37.145-2 should follow the changes in subclause 6.5.3.</w:t>
      </w:r>
      <w:r>
        <w:rPr>
          <w:b/>
          <w:i/>
        </w:rPr>
        <w:t>5.4</w:t>
      </w:r>
      <w:r w:rsidRPr="005146AD">
        <w:rPr>
          <w:b/>
          <w:i/>
        </w:rPr>
        <w:t xml:space="preserve"> of TS 37.145-1.</w:t>
      </w:r>
    </w:p>
    <w:p w14:paraId="766BD4B2" w14:textId="77777777" w:rsidR="008F3899" w:rsidRDefault="008F3899" w:rsidP="00455592"/>
    <w:p w14:paraId="48D851E0" w14:textId="5C0F472D" w:rsidR="00A24E42" w:rsidRPr="00C50CD0" w:rsidRDefault="00A24E42" w:rsidP="00A24E42">
      <w:pPr>
        <w:pStyle w:val="Heading1"/>
      </w:pPr>
      <w:r>
        <w:t>Conclusion</w:t>
      </w:r>
    </w:p>
    <w:p w14:paraId="493181DB" w14:textId="2C33DB73" w:rsidR="00A24E42" w:rsidRDefault="002836F0" w:rsidP="00A24E42">
      <w:r>
        <w:t>This contribution examines subclauses of TS 37.105, TS 37.145-1, and TS 37.145-2 for “TX diversity” for NR.</w:t>
      </w:r>
    </w:p>
    <w:p w14:paraId="5FA5E02B" w14:textId="7995A9A9" w:rsidR="002836F0" w:rsidRPr="00072783" w:rsidRDefault="002836F0" w:rsidP="00A24E42">
      <w:pPr>
        <w:rPr>
          <w:b/>
          <w:i/>
        </w:rPr>
      </w:pPr>
      <w:r>
        <w:t>For 37.105, the impact of any modification is applied to 37.145-1.</w:t>
      </w:r>
    </w:p>
    <w:p w14:paraId="7DA2CB24" w14:textId="77777777" w:rsidR="002836F0" w:rsidRDefault="002836F0" w:rsidP="002836F0">
      <w:pPr>
        <w:rPr>
          <w:b/>
          <w:i/>
        </w:rPr>
      </w:pPr>
      <w:r w:rsidRPr="00E40939">
        <w:rPr>
          <w:b/>
          <w:i/>
        </w:rPr>
        <w:t>Proposal 1. No change of removing “TX diversity” is needed for TS 37.105 subclause 6.5.3.1.</w:t>
      </w:r>
    </w:p>
    <w:p w14:paraId="39AA91BD" w14:textId="77777777" w:rsidR="002836F0" w:rsidRPr="00E40939" w:rsidRDefault="002836F0" w:rsidP="002836F0">
      <w:pPr>
        <w:rPr>
          <w:b/>
          <w:i/>
        </w:rPr>
      </w:pPr>
      <w:r w:rsidRPr="00E40939">
        <w:rPr>
          <w:b/>
          <w:i/>
        </w:rPr>
        <w:t xml:space="preserve">Proposal </w:t>
      </w:r>
      <w:r>
        <w:rPr>
          <w:b/>
          <w:i/>
        </w:rPr>
        <w:t>2</w:t>
      </w:r>
      <w:r w:rsidRPr="00E40939">
        <w:rPr>
          <w:b/>
          <w:i/>
        </w:rPr>
        <w:t xml:space="preserve">. </w:t>
      </w:r>
      <w:r>
        <w:rPr>
          <w:b/>
          <w:i/>
        </w:rPr>
        <w:t xml:space="preserve">TS </w:t>
      </w:r>
      <w:r w:rsidRPr="00455592">
        <w:rPr>
          <w:b/>
          <w:i/>
        </w:rPr>
        <w:t xml:space="preserve">37.145-1 subclause </w:t>
      </w:r>
      <w:r w:rsidRPr="00E40939">
        <w:rPr>
          <w:b/>
          <w:i/>
        </w:rPr>
        <w:t>6.5.3.1</w:t>
      </w:r>
      <w:r>
        <w:rPr>
          <w:b/>
          <w:i/>
        </w:rPr>
        <w:t xml:space="preserve"> </w:t>
      </w:r>
      <w:r w:rsidRPr="00455592">
        <w:rPr>
          <w:b/>
          <w:i/>
        </w:rPr>
        <w:t xml:space="preserve">should replicate </w:t>
      </w:r>
      <w:r>
        <w:rPr>
          <w:b/>
          <w:i/>
        </w:rPr>
        <w:t>TS</w:t>
      </w:r>
      <w:r w:rsidRPr="00455592">
        <w:rPr>
          <w:b/>
          <w:i/>
        </w:rPr>
        <w:t xml:space="preserve"> 37.105 subclause</w:t>
      </w:r>
      <w:r w:rsidRPr="00E40939">
        <w:rPr>
          <w:b/>
          <w:i/>
        </w:rPr>
        <w:t xml:space="preserve"> 6.5.3.1</w:t>
      </w:r>
      <w:r>
        <w:rPr>
          <w:b/>
          <w:i/>
        </w:rPr>
        <w:t xml:space="preserve"> if any changes are made</w:t>
      </w:r>
      <w:r w:rsidRPr="00E40939">
        <w:rPr>
          <w:b/>
          <w:i/>
        </w:rPr>
        <w:t>.</w:t>
      </w:r>
    </w:p>
    <w:p w14:paraId="12BD46D5" w14:textId="7702D201" w:rsidR="002836F0" w:rsidRPr="00072783" w:rsidRDefault="002836F0" w:rsidP="002836F0">
      <w:pPr>
        <w:rPr>
          <w:b/>
          <w:i/>
        </w:rPr>
      </w:pPr>
      <w:r>
        <w:t>For 37.145-1, the impact of any modification is applied to 37.145-2: (Proposals 3 &amp; 6), (Proposals 4 &amp; 7)</w:t>
      </w:r>
    </w:p>
    <w:p w14:paraId="305E5D4C" w14:textId="77777777" w:rsidR="002836F0" w:rsidRPr="00E40939" w:rsidRDefault="002836F0" w:rsidP="002836F0">
      <w:pPr>
        <w:rPr>
          <w:b/>
          <w:i/>
        </w:rPr>
      </w:pPr>
      <w:r w:rsidRPr="00E40939">
        <w:rPr>
          <w:b/>
          <w:i/>
        </w:rPr>
        <w:t xml:space="preserve">Proposal </w:t>
      </w:r>
      <w:r>
        <w:rPr>
          <w:b/>
          <w:i/>
        </w:rPr>
        <w:t>3</w:t>
      </w:r>
      <w:r w:rsidRPr="00E40939">
        <w:rPr>
          <w:b/>
          <w:i/>
        </w:rPr>
        <w:t xml:space="preserve">. </w:t>
      </w:r>
      <w:r>
        <w:rPr>
          <w:b/>
          <w:i/>
        </w:rPr>
        <w:t xml:space="preserve">TS </w:t>
      </w:r>
      <w:r w:rsidRPr="00455592">
        <w:rPr>
          <w:b/>
          <w:i/>
        </w:rPr>
        <w:t xml:space="preserve">37.145-1 subclause </w:t>
      </w:r>
      <w:r>
        <w:rPr>
          <w:b/>
          <w:i/>
        </w:rPr>
        <w:t>6.5.3</w:t>
      </w:r>
      <w:r w:rsidRPr="0016161E">
        <w:rPr>
          <w:b/>
          <w:i/>
        </w:rPr>
        <w:t>.4.2.4</w:t>
      </w:r>
      <w:r>
        <w:rPr>
          <w:b/>
          <w:i/>
        </w:rPr>
        <w:t xml:space="preserve"> should be changed as indicated</w:t>
      </w:r>
      <w:r w:rsidRPr="00E40939">
        <w:rPr>
          <w:b/>
          <w:i/>
        </w:rPr>
        <w:t>.</w:t>
      </w:r>
    </w:p>
    <w:p w14:paraId="62F0BF46" w14:textId="77777777" w:rsidR="002836F0" w:rsidRDefault="002836F0" w:rsidP="002836F0">
      <w:pPr>
        <w:rPr>
          <w:b/>
          <w:i/>
        </w:rPr>
      </w:pPr>
      <w:r w:rsidRPr="00E40939">
        <w:rPr>
          <w:b/>
          <w:i/>
        </w:rPr>
        <w:t xml:space="preserve">Proposal </w:t>
      </w:r>
      <w:r>
        <w:rPr>
          <w:b/>
          <w:i/>
        </w:rPr>
        <w:t>4</w:t>
      </w:r>
      <w:r w:rsidRPr="00E40939">
        <w:rPr>
          <w:b/>
          <w:i/>
        </w:rPr>
        <w:t xml:space="preserve">. </w:t>
      </w:r>
      <w:r>
        <w:rPr>
          <w:b/>
          <w:i/>
        </w:rPr>
        <w:t>R</w:t>
      </w:r>
      <w:r w:rsidRPr="00E40939">
        <w:rPr>
          <w:b/>
          <w:i/>
        </w:rPr>
        <w:t>emov</w:t>
      </w:r>
      <w:r>
        <w:rPr>
          <w:b/>
          <w:i/>
        </w:rPr>
        <w:t>e</w:t>
      </w:r>
      <w:r w:rsidRPr="00E40939">
        <w:rPr>
          <w:b/>
          <w:i/>
        </w:rPr>
        <w:t xml:space="preserve"> “</w:t>
      </w:r>
      <w:r>
        <w:rPr>
          <w:b/>
          <w:i/>
        </w:rPr>
        <w:t xml:space="preserve">or </w:t>
      </w:r>
      <w:r w:rsidRPr="00E40939">
        <w:rPr>
          <w:b/>
          <w:i/>
        </w:rPr>
        <w:t xml:space="preserve">TX diversity” </w:t>
      </w:r>
      <w:r>
        <w:rPr>
          <w:b/>
          <w:i/>
        </w:rPr>
        <w:t>from</w:t>
      </w:r>
      <w:r w:rsidRPr="00E40939">
        <w:rPr>
          <w:b/>
          <w:i/>
        </w:rPr>
        <w:t xml:space="preserve"> TS 37.1</w:t>
      </w:r>
      <w:r>
        <w:rPr>
          <w:b/>
          <w:i/>
        </w:rPr>
        <w:t>4</w:t>
      </w:r>
      <w:r w:rsidRPr="00E40939">
        <w:rPr>
          <w:b/>
          <w:i/>
        </w:rPr>
        <w:t>5</w:t>
      </w:r>
      <w:r>
        <w:rPr>
          <w:b/>
          <w:i/>
        </w:rPr>
        <w:t>-1</w:t>
      </w:r>
      <w:r w:rsidRPr="00E40939">
        <w:rPr>
          <w:b/>
          <w:i/>
        </w:rPr>
        <w:t xml:space="preserve"> subclause 6.5.3.</w:t>
      </w:r>
      <w:r>
        <w:rPr>
          <w:b/>
          <w:i/>
        </w:rPr>
        <w:t>5.4</w:t>
      </w:r>
      <w:r w:rsidRPr="00E40939">
        <w:rPr>
          <w:b/>
          <w:i/>
        </w:rPr>
        <w:t>.</w:t>
      </w:r>
    </w:p>
    <w:p w14:paraId="5A560EC4" w14:textId="77777777" w:rsidR="002836F0" w:rsidRPr="00E40939" w:rsidRDefault="002836F0" w:rsidP="002836F0">
      <w:pPr>
        <w:rPr>
          <w:b/>
          <w:i/>
        </w:rPr>
      </w:pPr>
      <w:r w:rsidRPr="00E40939">
        <w:rPr>
          <w:b/>
          <w:i/>
        </w:rPr>
        <w:lastRenderedPageBreak/>
        <w:t xml:space="preserve">Proposal </w:t>
      </w:r>
      <w:r>
        <w:rPr>
          <w:b/>
          <w:i/>
        </w:rPr>
        <w:t>5</w:t>
      </w:r>
      <w:r w:rsidRPr="00E40939">
        <w:rPr>
          <w:b/>
          <w:i/>
        </w:rPr>
        <w:t>. No change of removing “TX diversity” is needed for TS 37.1</w:t>
      </w:r>
      <w:r>
        <w:rPr>
          <w:b/>
          <w:i/>
        </w:rPr>
        <w:t>4</w:t>
      </w:r>
      <w:r w:rsidRPr="00E40939">
        <w:rPr>
          <w:b/>
          <w:i/>
        </w:rPr>
        <w:t>5</w:t>
      </w:r>
      <w:r>
        <w:rPr>
          <w:b/>
          <w:i/>
        </w:rPr>
        <w:t>-1</w:t>
      </w:r>
      <w:r w:rsidRPr="00E40939">
        <w:rPr>
          <w:b/>
          <w:i/>
        </w:rPr>
        <w:t xml:space="preserve"> subclause 6.</w:t>
      </w:r>
      <w:r>
        <w:rPr>
          <w:b/>
          <w:i/>
        </w:rPr>
        <w:t>6.3.1</w:t>
      </w:r>
      <w:r w:rsidRPr="00E40939">
        <w:rPr>
          <w:b/>
          <w:i/>
        </w:rPr>
        <w:t>.</w:t>
      </w:r>
      <w:r>
        <w:rPr>
          <w:b/>
          <w:i/>
        </w:rPr>
        <w:t xml:space="preserve"> The phrase “reference signal” can be added.</w:t>
      </w:r>
    </w:p>
    <w:p w14:paraId="286E4BE4" w14:textId="77777777" w:rsidR="002836F0" w:rsidRPr="005146AD" w:rsidRDefault="002836F0" w:rsidP="002836F0">
      <w:pPr>
        <w:rPr>
          <w:b/>
          <w:i/>
        </w:rPr>
      </w:pPr>
      <w:r w:rsidRPr="005146AD">
        <w:rPr>
          <w:b/>
          <w:i/>
        </w:rPr>
        <w:t xml:space="preserve">Proposal 6. Modifications of </w:t>
      </w:r>
      <w:r>
        <w:rPr>
          <w:b/>
          <w:i/>
        </w:rPr>
        <w:t>s</w:t>
      </w:r>
      <w:r w:rsidRPr="005146AD">
        <w:rPr>
          <w:b/>
          <w:i/>
        </w:rPr>
        <w:t>ubclause 6.6.2.4.2.3 of TS 37.145-2 should follow the changes in subclause 6.5.3.4.2.4 of TS 37.145-1.</w:t>
      </w:r>
    </w:p>
    <w:p w14:paraId="1377EF14" w14:textId="77777777" w:rsidR="002836F0" w:rsidRPr="005146AD" w:rsidRDefault="002836F0" w:rsidP="002836F0">
      <w:pPr>
        <w:rPr>
          <w:b/>
          <w:i/>
        </w:rPr>
      </w:pPr>
      <w:r w:rsidRPr="005146AD">
        <w:rPr>
          <w:b/>
          <w:i/>
        </w:rPr>
        <w:t xml:space="preserve">Proposal </w:t>
      </w:r>
      <w:r>
        <w:rPr>
          <w:b/>
          <w:i/>
        </w:rPr>
        <w:t>7</w:t>
      </w:r>
      <w:r w:rsidRPr="005146AD">
        <w:rPr>
          <w:b/>
          <w:i/>
        </w:rPr>
        <w:t xml:space="preserve">. Modifications of </w:t>
      </w:r>
      <w:r>
        <w:rPr>
          <w:b/>
          <w:i/>
        </w:rPr>
        <w:t>s</w:t>
      </w:r>
      <w:r w:rsidRPr="005146AD">
        <w:rPr>
          <w:b/>
          <w:i/>
        </w:rPr>
        <w:t>ubclause 6.6.</w:t>
      </w:r>
      <w:r>
        <w:rPr>
          <w:b/>
          <w:i/>
        </w:rPr>
        <w:t>3.5.3</w:t>
      </w:r>
      <w:r w:rsidRPr="005146AD">
        <w:rPr>
          <w:b/>
          <w:i/>
        </w:rPr>
        <w:t xml:space="preserve"> of TS 37.145-2 should follow the changes in subclause 6.5.3.</w:t>
      </w:r>
      <w:r>
        <w:rPr>
          <w:b/>
          <w:i/>
        </w:rPr>
        <w:t>5.4</w:t>
      </w:r>
      <w:r w:rsidRPr="005146AD">
        <w:rPr>
          <w:b/>
          <w:i/>
        </w:rPr>
        <w:t xml:space="preserve"> of TS 37.145-1.</w:t>
      </w:r>
    </w:p>
    <w:p w14:paraId="6F42F181" w14:textId="77777777" w:rsidR="002836F0" w:rsidRDefault="002836F0" w:rsidP="002836F0"/>
    <w:p w14:paraId="67632619" w14:textId="77777777" w:rsidR="00543AD0" w:rsidRDefault="008E7A37">
      <w:pPr>
        <w:pStyle w:val="Heading1"/>
        <w:numPr>
          <w:ilvl w:val="0"/>
          <w:numId w:val="0"/>
        </w:numPr>
        <w:ind w:left="432" w:hanging="432"/>
      </w:pPr>
      <w:r>
        <w:t>References</w:t>
      </w:r>
    </w:p>
    <w:p w14:paraId="381D172C" w14:textId="5EFE8760" w:rsidR="00750BB1" w:rsidRDefault="00750BB1" w:rsidP="00750BB1">
      <w:pPr>
        <w:pStyle w:val="references"/>
      </w:pPr>
      <w:bookmarkStart w:id="3" w:name="_Ref6990393"/>
      <w:r w:rsidRPr="00750BB1">
        <w:t>R4-1905123</w:t>
      </w:r>
      <w:r>
        <w:t>, “</w:t>
      </w:r>
      <w:r w:rsidRPr="00750BB1">
        <w:t>WF on TAE</w:t>
      </w:r>
      <w:r>
        <w:t xml:space="preserve">”, </w:t>
      </w:r>
      <w:r w:rsidRPr="00750BB1">
        <w:t>Huawei, HiSilicon</w:t>
      </w:r>
      <w:r>
        <w:t>,</w:t>
      </w:r>
      <w:r w:rsidRPr="00750BB1">
        <w:t xml:space="preserve"> </w:t>
      </w:r>
      <w:r>
        <w:t>RAN4#90B, Apr. 8 – 12, 2019.</w:t>
      </w:r>
      <w:bookmarkEnd w:id="3"/>
    </w:p>
    <w:p w14:paraId="65C82FB0" w14:textId="2557B5C7" w:rsidR="00A24E42" w:rsidRDefault="00FE5B43" w:rsidP="00FE5B43">
      <w:pPr>
        <w:pStyle w:val="references"/>
      </w:pPr>
      <w:bookmarkStart w:id="4" w:name="_Ref7073760"/>
      <w:r>
        <w:t>TS 37.105, “</w:t>
      </w:r>
      <w:r w:rsidRPr="00FE5B43">
        <w:t>Active Antenna System (AAS) Base Station (BS) transmission and reception</w:t>
      </w:r>
      <w:r>
        <w:t>”</w:t>
      </w:r>
      <w:bookmarkEnd w:id="4"/>
    </w:p>
    <w:p w14:paraId="30E54798" w14:textId="1ED32876" w:rsidR="00FE5B43" w:rsidRDefault="00FE5B43" w:rsidP="00FE5B43">
      <w:pPr>
        <w:pStyle w:val="references"/>
      </w:pPr>
      <w:bookmarkStart w:id="5" w:name="_Ref7073778"/>
      <w:r>
        <w:t>TS 37.145-1, “</w:t>
      </w:r>
      <w:r w:rsidRPr="00FE5B43">
        <w:t>Active Antenna System (AAS) Base Station (BS) conformance testing; Part 1: conducted conformance testing</w:t>
      </w:r>
      <w:r>
        <w:t>”</w:t>
      </w:r>
      <w:bookmarkEnd w:id="5"/>
    </w:p>
    <w:p w14:paraId="25C3FBCE" w14:textId="28E9AAA6" w:rsidR="00FE5B43" w:rsidRDefault="00FE5B43" w:rsidP="00FE5B43">
      <w:pPr>
        <w:pStyle w:val="references"/>
      </w:pPr>
      <w:bookmarkStart w:id="6" w:name="_Ref7074883"/>
      <w:r>
        <w:t>TS 37.145-</w:t>
      </w:r>
      <w:r w:rsidR="00E40939">
        <w:t>2</w:t>
      </w:r>
      <w:r>
        <w:t>, “</w:t>
      </w:r>
      <w:r w:rsidRPr="00FE5B43">
        <w:t>Active Antenna System (AAS) Base Station (BS) conformance testing; Part 2: radiated conformance testing</w:t>
      </w:r>
      <w:r>
        <w:t>”</w:t>
      </w:r>
      <w:bookmarkEnd w:id="6"/>
    </w:p>
    <w:p w14:paraId="10532C66" w14:textId="77777777" w:rsidR="00543AD0" w:rsidRDefault="00543AD0"/>
    <w:sectPr w:rsidR="00543A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E14D4" w14:textId="77777777" w:rsidR="004B0A35" w:rsidRDefault="004B0A35" w:rsidP="0093792F">
      <w:pPr>
        <w:spacing w:after="0" w:line="240" w:lineRule="auto"/>
      </w:pPr>
      <w:r>
        <w:separator/>
      </w:r>
    </w:p>
  </w:endnote>
  <w:endnote w:type="continuationSeparator" w:id="0">
    <w:p w14:paraId="3C07A7B1" w14:textId="77777777" w:rsidR="004B0A35" w:rsidRDefault="004B0A35" w:rsidP="0093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BCCAB" w14:textId="77777777" w:rsidR="004B0A35" w:rsidRDefault="004B0A35" w:rsidP="0093792F">
      <w:pPr>
        <w:spacing w:after="0" w:line="240" w:lineRule="auto"/>
      </w:pPr>
      <w:r>
        <w:separator/>
      </w:r>
    </w:p>
  </w:footnote>
  <w:footnote w:type="continuationSeparator" w:id="0">
    <w:p w14:paraId="4AF4A8AB" w14:textId="77777777" w:rsidR="004B0A35" w:rsidRDefault="004B0A35" w:rsidP="009379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8B57C1"/>
    <w:multiLevelType w:val="hybridMultilevel"/>
    <w:tmpl w:val="D4241C48"/>
    <w:lvl w:ilvl="0" w:tplc="CB2AAA60">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F5F98"/>
    <w:multiLevelType w:val="multilevel"/>
    <w:tmpl w:val="479F5F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2D1A62"/>
    <w:multiLevelType w:val="multilevel"/>
    <w:tmpl w:val="492D1A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25C5C2F"/>
    <w:multiLevelType w:val="multilevel"/>
    <w:tmpl w:val="525C5C2F"/>
    <w:lvl w:ilvl="0">
      <w:start w:val="1"/>
      <w:numFmt w:val="decimal"/>
      <w:pStyle w:val="reference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B4198E"/>
    <w:multiLevelType w:val="hybridMultilevel"/>
    <w:tmpl w:val="48B82010"/>
    <w:lvl w:ilvl="0" w:tplc="0B3449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7"/>
  </w:num>
  <w:num w:numId="6">
    <w:abstractNumId w:val="2"/>
  </w:num>
  <w:num w:numId="7">
    <w:abstractNumId w:val="3"/>
  </w:num>
  <w:num w:numId="8">
    <w:abstractNumId w:val="1"/>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bordersDoNotSurroundHeader/>
  <w:bordersDoNotSurroundFooter/>
  <w:defaultTabStop w:val="720"/>
  <w:drawingGridHorizontalSpacing w:val="72"/>
  <w:drawingGridVerticalSpacing w:val="7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958"/>
    <w:rsid w:val="00012C2E"/>
    <w:rsid w:val="0002328D"/>
    <w:rsid w:val="00030C91"/>
    <w:rsid w:val="00072783"/>
    <w:rsid w:val="000803B1"/>
    <w:rsid w:val="000A7BB2"/>
    <w:rsid w:val="00117DAD"/>
    <w:rsid w:val="00134539"/>
    <w:rsid w:val="0016161E"/>
    <w:rsid w:val="001D75B4"/>
    <w:rsid w:val="00217C8B"/>
    <w:rsid w:val="002836F0"/>
    <w:rsid w:val="00285EFD"/>
    <w:rsid w:val="0028631C"/>
    <w:rsid w:val="002B639B"/>
    <w:rsid w:val="00315986"/>
    <w:rsid w:val="00316A45"/>
    <w:rsid w:val="003A1AD2"/>
    <w:rsid w:val="003A58B9"/>
    <w:rsid w:val="003C3BD2"/>
    <w:rsid w:val="0041459C"/>
    <w:rsid w:val="0043558E"/>
    <w:rsid w:val="004446C8"/>
    <w:rsid w:val="00455592"/>
    <w:rsid w:val="00496476"/>
    <w:rsid w:val="004B0A35"/>
    <w:rsid w:val="004D72AC"/>
    <w:rsid w:val="004F7354"/>
    <w:rsid w:val="005146AD"/>
    <w:rsid w:val="0054365D"/>
    <w:rsid w:val="00543AD0"/>
    <w:rsid w:val="00547958"/>
    <w:rsid w:val="0055426E"/>
    <w:rsid w:val="0057786E"/>
    <w:rsid w:val="00584279"/>
    <w:rsid w:val="00593F7B"/>
    <w:rsid w:val="005F16FF"/>
    <w:rsid w:val="0064379A"/>
    <w:rsid w:val="00645891"/>
    <w:rsid w:val="00671317"/>
    <w:rsid w:val="0069558A"/>
    <w:rsid w:val="00726491"/>
    <w:rsid w:val="00750BB1"/>
    <w:rsid w:val="007D7A43"/>
    <w:rsid w:val="00812EDF"/>
    <w:rsid w:val="0082116E"/>
    <w:rsid w:val="00850BC1"/>
    <w:rsid w:val="00870BFC"/>
    <w:rsid w:val="008A5A4D"/>
    <w:rsid w:val="008B314B"/>
    <w:rsid w:val="008B7130"/>
    <w:rsid w:val="008E208E"/>
    <w:rsid w:val="008E7A37"/>
    <w:rsid w:val="008F3899"/>
    <w:rsid w:val="0093792F"/>
    <w:rsid w:val="0094753A"/>
    <w:rsid w:val="009D6F7D"/>
    <w:rsid w:val="00A24E42"/>
    <w:rsid w:val="00A618BD"/>
    <w:rsid w:val="00A62F65"/>
    <w:rsid w:val="00A85B28"/>
    <w:rsid w:val="00A91052"/>
    <w:rsid w:val="00A96CA6"/>
    <w:rsid w:val="00B408C9"/>
    <w:rsid w:val="00B417A5"/>
    <w:rsid w:val="00B671DD"/>
    <w:rsid w:val="00B7663B"/>
    <w:rsid w:val="00B90EEF"/>
    <w:rsid w:val="00BD44F8"/>
    <w:rsid w:val="00C26783"/>
    <w:rsid w:val="00C43891"/>
    <w:rsid w:val="00C50CD0"/>
    <w:rsid w:val="00C6434D"/>
    <w:rsid w:val="00CB0FCF"/>
    <w:rsid w:val="00CD72F0"/>
    <w:rsid w:val="00D33297"/>
    <w:rsid w:val="00D468CC"/>
    <w:rsid w:val="00D821C9"/>
    <w:rsid w:val="00E06974"/>
    <w:rsid w:val="00E076A1"/>
    <w:rsid w:val="00E40939"/>
    <w:rsid w:val="00E5148D"/>
    <w:rsid w:val="00E67199"/>
    <w:rsid w:val="00E779BD"/>
    <w:rsid w:val="00EA145A"/>
    <w:rsid w:val="00EE33BD"/>
    <w:rsid w:val="00EF4604"/>
    <w:rsid w:val="00F02DE9"/>
    <w:rsid w:val="00F73836"/>
    <w:rsid w:val="00FE5B43"/>
    <w:rsid w:val="013658C1"/>
    <w:rsid w:val="0A15608E"/>
    <w:rsid w:val="0C865A9E"/>
    <w:rsid w:val="0E7C1895"/>
    <w:rsid w:val="10F345D7"/>
    <w:rsid w:val="11D9018E"/>
    <w:rsid w:val="14647B97"/>
    <w:rsid w:val="15636F27"/>
    <w:rsid w:val="1BB14A21"/>
    <w:rsid w:val="22ED0A77"/>
    <w:rsid w:val="26B34AC1"/>
    <w:rsid w:val="31CC2EAB"/>
    <w:rsid w:val="431E40C2"/>
    <w:rsid w:val="4543029E"/>
    <w:rsid w:val="4B38351C"/>
    <w:rsid w:val="4CE11FEC"/>
    <w:rsid w:val="65812B19"/>
    <w:rsid w:val="6731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BDDB9"/>
  <w15:docId w15:val="{BE008D54-984A-418E-BC5E-29C16BB55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napToGrid w:val="0"/>
      <w:spacing w:after="120"/>
      <w:jc w:val="both"/>
    </w:pPr>
    <w:rPr>
      <w:rFonts w:ascii="Times New Roman" w:eastAsiaTheme="minorHAnsi" w:hAnsi="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pPr>
      <w:keepNext/>
      <w:numPr>
        <w:ilvl w:val="1"/>
        <w:numId w:val="1"/>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pPr>
      <w:keepNext/>
      <w:numPr>
        <w:ilvl w:val="2"/>
        <w:numId w:val="1"/>
      </w:numPr>
      <w:spacing w:before="120"/>
      <w:outlineLvl w:val="2"/>
    </w:pPr>
    <w:rPr>
      <w:rFonts w:eastAsiaTheme="majorEastAsia"/>
      <w:b/>
      <w:szCs w:val="24"/>
    </w:rPr>
  </w:style>
  <w:style w:type="paragraph" w:styleId="Heading4">
    <w:name w:val="heading 4"/>
    <w:basedOn w:val="Normal"/>
    <w:next w:val="Normal"/>
    <w:link w:val="Heading4Char"/>
    <w:uiPriority w:val="9"/>
    <w:unhideWhenUsed/>
    <w:qFormat/>
    <w:pPr>
      <w:keepNext/>
      <w:numPr>
        <w:ilvl w:val="3"/>
        <w:numId w:val="1"/>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pPr>
      <w:keepNext/>
      <w:numPr>
        <w:ilvl w:val="4"/>
        <w:numId w:val="1"/>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D72F0"/>
    <w:pPr>
      <w:jc w:val="center"/>
    </w:pPr>
    <w:rPr>
      <w:b/>
      <w:iCs/>
      <w:sz w:val="20"/>
      <w:szCs w:val="18"/>
    </w:rPr>
  </w:style>
  <w:style w:type="character" w:styleId="Hyperlink">
    <w:name w:val="Hyperlink"/>
    <w:uiPriority w:val="99"/>
    <w:unhideWhenUsed/>
    <w:qFormat/>
    <w:rPr>
      <w:color w:val="0000FF"/>
      <w:u w:val="single"/>
    </w:rPr>
  </w:style>
  <w:style w:type="table" w:styleId="TableGrid">
    <w:name w:val="Table Grid"/>
    <w:basedOn w:val="TableNormal"/>
    <w:uiPriority w:val="39"/>
    <w:qFormat/>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b/>
      <w:sz w:val="28"/>
      <w:szCs w:val="32"/>
    </w:rPr>
  </w:style>
  <w:style w:type="character" w:customStyle="1" w:styleId="Heading2Char">
    <w:name w:val="Heading 2 Char"/>
    <w:basedOn w:val="DefaultParagraphFont"/>
    <w:link w:val="Heading2"/>
    <w:uiPriority w:val="9"/>
    <w:rPr>
      <w:rFonts w:eastAsiaTheme="majorEastAsia"/>
      <w:b/>
      <w:sz w:val="24"/>
      <w:szCs w:val="26"/>
    </w:rPr>
  </w:style>
  <w:style w:type="character" w:customStyle="1" w:styleId="Heading3Char">
    <w:name w:val="Heading 3 Char"/>
    <w:basedOn w:val="DefaultParagraphFont"/>
    <w:link w:val="Heading3"/>
    <w:uiPriority w:val="9"/>
    <w:rPr>
      <w:rFonts w:eastAsiaTheme="majorEastAsia"/>
      <w:b/>
      <w:szCs w:val="24"/>
    </w:rPr>
  </w:style>
  <w:style w:type="character" w:customStyle="1" w:styleId="Heading4Char">
    <w:name w:val="Heading 4 Char"/>
    <w:basedOn w:val="DefaultParagraphFont"/>
    <w:link w:val="Heading4"/>
    <w:uiPriority w:val="9"/>
    <w:qFormat/>
    <w:rPr>
      <w:rFonts w:eastAsiaTheme="majorEastAsia"/>
      <w:b/>
      <w:i/>
      <w:iCs/>
    </w:rPr>
  </w:style>
  <w:style w:type="character" w:customStyle="1" w:styleId="Heading5Char">
    <w:name w:val="Heading 5 Char"/>
    <w:basedOn w:val="DefaultParagraphFont"/>
    <w:link w:val="Heading5"/>
    <w:uiPriority w:val="9"/>
    <w:semiHidden/>
    <w:qFormat/>
    <w:rPr>
      <w:rFonts w:eastAsiaTheme="majorEastAsia"/>
      <w:b/>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references">
    <w:name w:val="references"/>
    <w:basedOn w:val="Normal"/>
    <w:qFormat/>
    <w:pPr>
      <w:numPr>
        <w:numId w:val="2"/>
      </w:numPr>
      <w:tabs>
        <w:tab w:val="left" w:pos="432"/>
      </w:tabs>
      <w:snapToGrid/>
      <w:spacing w:after="60"/>
      <w:ind w:left="432" w:hanging="432"/>
    </w:pPr>
    <w:rPr>
      <w:sz w:val="20"/>
    </w:rPr>
  </w:style>
  <w:style w:type="paragraph" w:styleId="ListParagraph">
    <w:name w:val="List Paragraph"/>
    <w:basedOn w:val="Normal"/>
    <w:uiPriority w:val="34"/>
    <w:qFormat/>
    <w:pPr>
      <w:snapToGrid/>
      <w:ind w:left="720"/>
      <w:contextualSpacing/>
    </w:pPr>
    <w:rPr>
      <w:sz w:val="20"/>
    </w:rPr>
  </w:style>
  <w:style w:type="paragraph" w:styleId="BalloonText">
    <w:name w:val="Balloon Text"/>
    <w:basedOn w:val="Normal"/>
    <w:link w:val="BalloonTextChar"/>
    <w:uiPriority w:val="99"/>
    <w:semiHidden/>
    <w:unhideWhenUsed/>
    <w:rsid w:val="005778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86E"/>
    <w:rPr>
      <w:rFonts w:ascii="Segoe UI" w:eastAsiaTheme="minorHAnsi" w:hAnsi="Segoe UI" w:cs="Segoe UI"/>
      <w:sz w:val="18"/>
      <w:szCs w:val="18"/>
    </w:rPr>
  </w:style>
  <w:style w:type="paragraph" w:styleId="FootnoteText">
    <w:name w:val="footnote text"/>
    <w:basedOn w:val="Normal"/>
    <w:link w:val="FootnoteTextChar"/>
    <w:uiPriority w:val="99"/>
    <w:semiHidden/>
    <w:unhideWhenUsed/>
    <w:rsid w:val="009379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792F"/>
    <w:rPr>
      <w:rFonts w:ascii="Times New Roman" w:eastAsiaTheme="minorHAnsi" w:hAnsi="Times New Roman"/>
    </w:rPr>
  </w:style>
  <w:style w:type="character" w:styleId="FootnoteReference">
    <w:name w:val="footnote reference"/>
    <w:basedOn w:val="DefaultParagraphFont"/>
    <w:uiPriority w:val="99"/>
    <w:semiHidden/>
    <w:unhideWhenUsed/>
    <w:rsid w:val="0093792F"/>
    <w:rPr>
      <w:vertAlign w:val="superscript"/>
    </w:rPr>
  </w:style>
  <w:style w:type="paragraph" w:styleId="Header">
    <w:name w:val="header"/>
    <w:basedOn w:val="Normal"/>
    <w:link w:val="HeaderChar"/>
    <w:uiPriority w:val="99"/>
    <w:unhideWhenUsed/>
    <w:rsid w:val="00726491"/>
    <w:pPr>
      <w:pBdr>
        <w:bottom w:val="single" w:sz="6" w:space="1" w:color="auto"/>
      </w:pBdr>
      <w:tabs>
        <w:tab w:val="center" w:pos="4153"/>
        <w:tab w:val="right" w:pos="8306"/>
      </w:tabs>
      <w:spacing w:line="240" w:lineRule="auto"/>
      <w:jc w:val="center"/>
    </w:pPr>
    <w:rPr>
      <w:sz w:val="18"/>
      <w:szCs w:val="18"/>
    </w:rPr>
  </w:style>
  <w:style w:type="character" w:customStyle="1" w:styleId="HeaderChar">
    <w:name w:val="Header Char"/>
    <w:basedOn w:val="DefaultParagraphFont"/>
    <w:link w:val="Header"/>
    <w:uiPriority w:val="99"/>
    <w:rsid w:val="00726491"/>
    <w:rPr>
      <w:rFonts w:ascii="Times New Roman" w:eastAsiaTheme="minorHAnsi" w:hAnsi="Times New Roman"/>
      <w:sz w:val="18"/>
      <w:szCs w:val="18"/>
    </w:rPr>
  </w:style>
  <w:style w:type="paragraph" w:styleId="Footer">
    <w:name w:val="footer"/>
    <w:basedOn w:val="Normal"/>
    <w:link w:val="FooterChar"/>
    <w:uiPriority w:val="99"/>
    <w:unhideWhenUsed/>
    <w:rsid w:val="00726491"/>
    <w:pPr>
      <w:tabs>
        <w:tab w:val="center" w:pos="4153"/>
        <w:tab w:val="right" w:pos="8306"/>
      </w:tabs>
      <w:spacing w:line="240" w:lineRule="auto"/>
      <w:jc w:val="left"/>
    </w:pPr>
    <w:rPr>
      <w:sz w:val="18"/>
      <w:szCs w:val="18"/>
    </w:rPr>
  </w:style>
  <w:style w:type="character" w:customStyle="1" w:styleId="FooterChar">
    <w:name w:val="Footer Char"/>
    <w:basedOn w:val="DefaultParagraphFont"/>
    <w:link w:val="Footer"/>
    <w:uiPriority w:val="99"/>
    <w:rsid w:val="00726491"/>
    <w:rPr>
      <w:rFonts w:ascii="Times New Roman" w:eastAsiaTheme="minorHAnsi" w:hAnsi="Times New Roman"/>
      <w:sz w:val="18"/>
      <w:szCs w:val="18"/>
    </w:rPr>
  </w:style>
  <w:style w:type="paragraph" w:customStyle="1" w:styleId="B1">
    <w:name w:val="B1"/>
    <w:basedOn w:val="List"/>
    <w:link w:val="B1Char"/>
    <w:qFormat/>
    <w:rsid w:val="00593F7B"/>
    <w:pPr>
      <w:overflowPunct w:val="0"/>
      <w:autoSpaceDE w:val="0"/>
      <w:autoSpaceDN w:val="0"/>
      <w:adjustRightInd w:val="0"/>
      <w:snapToGrid/>
      <w:spacing w:after="180" w:line="240" w:lineRule="auto"/>
      <w:ind w:left="568" w:hanging="284"/>
      <w:contextualSpacing w:val="0"/>
      <w:jc w:val="left"/>
      <w:textAlignment w:val="baseline"/>
    </w:pPr>
    <w:rPr>
      <w:rFonts w:eastAsia="Times New Roman"/>
      <w:sz w:val="20"/>
      <w:szCs w:val="20"/>
      <w:lang w:val="en-GB" w:eastAsia="ko-KR"/>
    </w:rPr>
  </w:style>
  <w:style w:type="character" w:customStyle="1" w:styleId="B1Char">
    <w:name w:val="B1 Char"/>
    <w:link w:val="B1"/>
    <w:qFormat/>
    <w:rsid w:val="00593F7B"/>
    <w:rPr>
      <w:rFonts w:ascii="Times New Roman" w:eastAsia="Times New Roman" w:hAnsi="Times New Roman"/>
      <w:lang w:val="en-GB" w:eastAsia="ko-KR"/>
    </w:rPr>
  </w:style>
  <w:style w:type="paragraph" w:styleId="List">
    <w:name w:val="List"/>
    <w:basedOn w:val="Normal"/>
    <w:uiPriority w:val="99"/>
    <w:semiHidden/>
    <w:unhideWhenUsed/>
    <w:rsid w:val="00593F7B"/>
    <w:pPr>
      <w:ind w:left="360" w:hanging="360"/>
      <w:contextualSpacing/>
    </w:pPr>
  </w:style>
  <w:style w:type="paragraph" w:customStyle="1" w:styleId="RAN1bullet2">
    <w:name w:val="RAN1 bullet2"/>
    <w:basedOn w:val="Normal"/>
    <w:qFormat/>
    <w:rsid w:val="00B417A5"/>
    <w:pPr>
      <w:numPr>
        <w:ilvl w:val="1"/>
        <w:numId w:val="8"/>
      </w:numPr>
      <w:tabs>
        <w:tab w:val="left" w:pos="1440"/>
      </w:tabs>
      <w:snapToGrid/>
      <w:spacing w:after="0" w:line="240" w:lineRule="auto"/>
      <w:jc w:val="left"/>
    </w:pPr>
    <w:rPr>
      <w:rFonts w:ascii="Times" w:eastAsia="Batang" w:hAnsi="Times"/>
      <w:sz w:val="20"/>
      <w:szCs w:val="20"/>
    </w:rPr>
  </w:style>
  <w:style w:type="paragraph" w:customStyle="1" w:styleId="EQ">
    <w:name w:val="EQ"/>
    <w:basedOn w:val="Normal"/>
    <w:next w:val="Normal"/>
    <w:uiPriority w:val="99"/>
    <w:qFormat/>
    <w:rsid w:val="0055426E"/>
    <w:pPr>
      <w:keepLines/>
      <w:tabs>
        <w:tab w:val="center" w:pos="4536"/>
        <w:tab w:val="right" w:pos="9072"/>
      </w:tabs>
      <w:snapToGrid/>
      <w:spacing w:after="180" w:line="240" w:lineRule="auto"/>
      <w:jc w:val="left"/>
    </w:pPr>
    <w:rPr>
      <w:rFonts w:eastAsia="Times New Roman"/>
      <w:noProof/>
      <w:sz w:val="20"/>
      <w:szCs w:val="20"/>
      <w:lang w:val="en-GB"/>
    </w:rPr>
  </w:style>
  <w:style w:type="paragraph" w:customStyle="1" w:styleId="TAL">
    <w:name w:val="TAL"/>
    <w:basedOn w:val="Normal"/>
    <w:link w:val="TALChar"/>
    <w:rsid w:val="0082116E"/>
    <w:pPr>
      <w:keepNext/>
      <w:keepLines/>
      <w:snapToGrid/>
      <w:spacing w:after="0" w:line="240" w:lineRule="auto"/>
      <w:jc w:val="left"/>
    </w:pPr>
    <w:rPr>
      <w:rFonts w:ascii="Arial" w:eastAsia="Times New Roman" w:hAnsi="Arial"/>
      <w:sz w:val="18"/>
      <w:szCs w:val="20"/>
      <w:lang w:val="en-GB"/>
    </w:rPr>
  </w:style>
  <w:style w:type="character" w:customStyle="1" w:styleId="TALChar">
    <w:name w:val="TAL Char"/>
    <w:link w:val="TAL"/>
    <w:qFormat/>
    <w:rsid w:val="0082116E"/>
    <w:rPr>
      <w:rFonts w:ascii="Arial" w:eastAsia="Times New Roman" w:hAnsi="Arial"/>
      <w:sz w:val="18"/>
      <w:lang w:val="en-GB"/>
    </w:rPr>
  </w:style>
  <w:style w:type="paragraph" w:customStyle="1" w:styleId="TAH">
    <w:name w:val="TAH"/>
    <w:basedOn w:val="TAC"/>
    <w:link w:val="TAHCar"/>
    <w:qFormat/>
    <w:rsid w:val="0082116E"/>
    <w:rPr>
      <w:b/>
    </w:rPr>
  </w:style>
  <w:style w:type="paragraph" w:customStyle="1" w:styleId="TAC">
    <w:name w:val="TAC"/>
    <w:basedOn w:val="TAL"/>
    <w:link w:val="TACChar"/>
    <w:qFormat/>
    <w:rsid w:val="0082116E"/>
    <w:pPr>
      <w:jc w:val="center"/>
    </w:pPr>
  </w:style>
  <w:style w:type="character" w:customStyle="1" w:styleId="TACChar">
    <w:name w:val="TAC Char"/>
    <w:link w:val="TAC"/>
    <w:qFormat/>
    <w:locked/>
    <w:rsid w:val="0082116E"/>
    <w:rPr>
      <w:rFonts w:ascii="Arial" w:eastAsia="Times New Roman" w:hAnsi="Arial"/>
      <w:sz w:val="18"/>
      <w:lang w:val="en-GB"/>
    </w:rPr>
  </w:style>
  <w:style w:type="character" w:customStyle="1" w:styleId="TAHCar">
    <w:name w:val="TAH Car"/>
    <w:link w:val="TAH"/>
    <w:qFormat/>
    <w:rsid w:val="0082116E"/>
    <w:rPr>
      <w:rFonts w:ascii="Arial" w:eastAsia="Times New Roman" w:hAnsi="Arial"/>
      <w:b/>
      <w:sz w:val="18"/>
      <w:lang w:val="en-GB"/>
    </w:rPr>
  </w:style>
  <w:style w:type="paragraph" w:customStyle="1" w:styleId="TH">
    <w:name w:val="TH"/>
    <w:basedOn w:val="Normal"/>
    <w:link w:val="THChar"/>
    <w:qFormat/>
    <w:rsid w:val="0082116E"/>
    <w:pPr>
      <w:keepNext/>
      <w:keepLines/>
      <w:snapToGrid/>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82116E"/>
    <w:rPr>
      <w:rFonts w:ascii="Arial" w:eastAsia="Times New Roman" w:hAnsi="Arial"/>
      <w:b/>
      <w:lang w:val="en-GB"/>
    </w:rPr>
  </w:style>
  <w:style w:type="character" w:styleId="CommentReference">
    <w:name w:val="annotation reference"/>
    <w:rsid w:val="00870BFC"/>
    <w:rPr>
      <w:sz w:val="16"/>
    </w:rPr>
  </w:style>
  <w:style w:type="paragraph" w:customStyle="1" w:styleId="H6">
    <w:name w:val="H6"/>
    <w:basedOn w:val="Heading5"/>
    <w:next w:val="Normal"/>
    <w:rsid w:val="00455592"/>
    <w:pPr>
      <w:keepLines/>
      <w:numPr>
        <w:ilvl w:val="0"/>
        <w:numId w:val="0"/>
      </w:numPr>
      <w:overflowPunct w:val="0"/>
      <w:autoSpaceDE w:val="0"/>
      <w:autoSpaceDN w:val="0"/>
      <w:adjustRightInd w:val="0"/>
      <w:snapToGrid/>
      <w:spacing w:after="180" w:line="240" w:lineRule="auto"/>
      <w:ind w:left="1985" w:hanging="1985"/>
      <w:jc w:val="left"/>
      <w:textAlignment w:val="baseline"/>
      <w:outlineLvl w:val="9"/>
    </w:pPr>
    <w:rPr>
      <w:rFonts w:ascii="Arial" w:eastAsia="Times New Roman" w:hAnsi="Arial"/>
      <w:b w:val="0"/>
      <w:sz w:val="20"/>
      <w:szCs w:val="20"/>
    </w:rPr>
  </w:style>
  <w:style w:type="paragraph" w:customStyle="1" w:styleId="NO">
    <w:name w:val="NO"/>
    <w:basedOn w:val="Normal"/>
    <w:link w:val="NOChar"/>
    <w:qFormat/>
    <w:rsid w:val="00455592"/>
    <w:pPr>
      <w:keepLines/>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rPr>
  </w:style>
  <w:style w:type="character" w:customStyle="1" w:styleId="NOChar">
    <w:name w:val="NO Char"/>
    <w:link w:val="NO"/>
    <w:qFormat/>
    <w:rsid w:val="00455592"/>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53107">
      <w:bodyDiv w:val="1"/>
      <w:marLeft w:val="0"/>
      <w:marRight w:val="0"/>
      <w:marTop w:val="0"/>
      <w:marBottom w:val="0"/>
      <w:divBdr>
        <w:top w:val="none" w:sz="0" w:space="0" w:color="auto"/>
        <w:left w:val="none" w:sz="0" w:space="0" w:color="auto"/>
        <w:bottom w:val="none" w:sz="0" w:space="0" w:color="auto"/>
        <w:right w:val="none" w:sz="0" w:space="0" w:color="auto"/>
      </w:divBdr>
    </w:div>
    <w:div w:id="1426685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AE3377-94C4-466E-8E59-0871E474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1258</Words>
  <Characters>6291</Characters>
  <Application>Microsoft Office Word</Application>
  <DocSecurity>0</DocSecurity>
  <Lines>123</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R4#91-Huawei</cp:lastModifiedBy>
  <cp:revision>2</cp:revision>
  <dcterms:created xsi:type="dcterms:W3CDTF">2019-05-03T15:11:00Z</dcterms:created>
  <dcterms:modified xsi:type="dcterms:W3CDTF">2019-05-03T15:11:00Z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