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4BDC5A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63CF1">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E7393C">
        <w:rPr>
          <w:rFonts w:ascii="Arial" w:eastAsia="SimSun" w:hAnsi="Arial" w:cs="Times New Roman"/>
          <w:b/>
          <w:bCs/>
          <w:sz w:val="24"/>
          <w:szCs w:val="20"/>
          <w:lang w:val="en-GB" w:eastAsia="zh-CN"/>
        </w:rPr>
        <w:t>0</w:t>
      </w:r>
      <w:r w:rsidR="00E7393C" w:rsidRPr="00E7393C">
        <w:rPr>
          <w:rFonts w:ascii="Arial" w:eastAsia="SimSun" w:hAnsi="Arial" w:cs="Times New Roman"/>
          <w:b/>
          <w:bCs/>
          <w:sz w:val="24"/>
          <w:szCs w:val="20"/>
          <w:lang w:val="en-GB" w:eastAsia="zh-CN"/>
        </w:rPr>
        <w:t>5941</w:t>
      </w:r>
    </w:p>
    <w:p w14:paraId="3DEDC117" w14:textId="16C90454" w:rsidR="00841BCD" w:rsidRPr="00841BCD" w:rsidRDefault="00363C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w:t>
      </w:r>
      <w:bookmarkStart w:id="3" w:name="_GoBack"/>
      <w:bookmarkEnd w:id="3"/>
      <w:r w:rsidRPr="00841BCD">
        <w:rPr>
          <w:rFonts w:ascii="Arial" w:eastAsia="Calibri" w:hAnsi="Arial" w:cs="Arial"/>
          <w:b/>
          <w:bCs/>
          <w:sz w:val="24"/>
          <w:lang w:val="en-GB"/>
        </w:rPr>
        <w:t>hai Bell</w:t>
      </w:r>
      <w:r w:rsidRPr="00841BCD" w:rsidDel="00636277">
        <w:rPr>
          <w:rFonts w:ascii="Arial" w:eastAsia="Calibri" w:hAnsi="Arial" w:cs="Arial"/>
          <w:b/>
          <w:bCs/>
          <w:sz w:val="24"/>
          <w:lang w:val="en-GB"/>
        </w:rPr>
        <w:t xml:space="preserve"> </w:t>
      </w:r>
    </w:p>
    <w:p w14:paraId="7D0568CA" w14:textId="6F448FC8" w:rsidR="00841BCD" w:rsidRPr="00382DA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770A5" w:rsidRPr="00382DAD">
        <w:rPr>
          <w:rFonts w:ascii="Arial" w:eastAsia="Calibri" w:hAnsi="Arial" w:cs="Arial"/>
          <w:b/>
          <w:bCs/>
          <w:sz w:val="24"/>
          <w:lang w:val="en-GB"/>
        </w:rPr>
        <w:t>TCI State Switching Delay Requirements</w:t>
      </w:r>
      <w:r w:rsidRPr="00382DAD" w:rsidDel="000A742C">
        <w:rPr>
          <w:rFonts w:ascii="Arial" w:eastAsia="Calibri" w:hAnsi="Arial" w:cs="Arial"/>
          <w:b/>
          <w:bCs/>
          <w:sz w:val="24"/>
          <w:lang w:val="en-GB"/>
        </w:rPr>
        <w:t xml:space="preserve"> </w:t>
      </w:r>
    </w:p>
    <w:p w14:paraId="53921647" w14:textId="1BFAEF33" w:rsidR="00841BCD" w:rsidRPr="00382DAD" w:rsidRDefault="00841BCD" w:rsidP="00841BCD">
      <w:pPr>
        <w:tabs>
          <w:tab w:val="left" w:pos="1985"/>
        </w:tabs>
        <w:spacing w:after="120" w:line="240" w:lineRule="auto"/>
        <w:rPr>
          <w:rFonts w:ascii="Arial" w:eastAsia="MS Mincho" w:hAnsi="Arial" w:cs="Arial"/>
          <w:b/>
          <w:bCs/>
          <w:sz w:val="24"/>
          <w:szCs w:val="20"/>
          <w:lang w:val="en-GB"/>
        </w:rPr>
      </w:pPr>
      <w:r w:rsidRPr="00382DAD">
        <w:rPr>
          <w:rFonts w:ascii="Arial" w:eastAsia="MS Mincho" w:hAnsi="Arial" w:cs="Arial"/>
          <w:b/>
          <w:bCs/>
          <w:sz w:val="24"/>
          <w:szCs w:val="20"/>
          <w:lang w:val="en-GB"/>
        </w:rPr>
        <w:t>Agenda item:</w:t>
      </w:r>
      <w:r w:rsidRPr="00382DAD">
        <w:rPr>
          <w:rFonts w:ascii="Arial" w:eastAsia="MS Mincho" w:hAnsi="Arial" w:cs="Arial"/>
          <w:b/>
          <w:bCs/>
          <w:sz w:val="24"/>
          <w:szCs w:val="20"/>
          <w:lang w:val="en-GB"/>
        </w:rPr>
        <w:tab/>
      </w:r>
      <w:r w:rsidR="00F770A5" w:rsidRPr="00382DAD">
        <w:rPr>
          <w:rFonts w:ascii="Arial" w:eastAsia="MS Mincho" w:hAnsi="Arial" w:cs="Arial"/>
          <w:b/>
          <w:bCs/>
          <w:sz w:val="24"/>
          <w:szCs w:val="20"/>
          <w:lang w:val="en-GB"/>
        </w:rPr>
        <w:t>6</w:t>
      </w:r>
      <w:r w:rsidRPr="00382DAD">
        <w:rPr>
          <w:rFonts w:ascii="Arial" w:eastAsia="MS Mincho" w:hAnsi="Arial" w:cs="Arial"/>
          <w:b/>
          <w:bCs/>
          <w:sz w:val="24"/>
          <w:szCs w:val="20"/>
          <w:lang w:val="en-GB"/>
        </w:rPr>
        <w:t>.</w:t>
      </w:r>
      <w:r w:rsidR="00F770A5" w:rsidRPr="00382DAD">
        <w:rPr>
          <w:rFonts w:ascii="Arial" w:eastAsia="MS Mincho" w:hAnsi="Arial" w:cs="Arial"/>
          <w:b/>
          <w:bCs/>
          <w:sz w:val="24"/>
          <w:szCs w:val="20"/>
          <w:lang w:val="en-GB"/>
        </w:rPr>
        <w:t>10</w:t>
      </w:r>
      <w:r w:rsidRPr="00382DAD">
        <w:rPr>
          <w:rFonts w:ascii="Arial" w:eastAsia="MS Mincho" w:hAnsi="Arial" w:cs="Arial"/>
          <w:b/>
          <w:bCs/>
          <w:sz w:val="24"/>
          <w:szCs w:val="20"/>
          <w:lang w:val="en-GB"/>
        </w:rPr>
        <w:t>.</w:t>
      </w:r>
      <w:r w:rsidR="00F770A5" w:rsidRPr="00382DAD">
        <w:rPr>
          <w:rFonts w:ascii="Arial" w:eastAsia="MS Mincho" w:hAnsi="Arial" w:cs="Arial"/>
          <w:b/>
          <w:bCs/>
          <w:sz w:val="24"/>
          <w:szCs w:val="20"/>
          <w:lang w:val="en-GB"/>
        </w:rPr>
        <w:t>7</w:t>
      </w:r>
      <w:r w:rsidR="006B7010" w:rsidRPr="00382DAD">
        <w:rPr>
          <w:rFonts w:ascii="Arial" w:eastAsia="MS Mincho" w:hAnsi="Arial" w:cs="Arial"/>
          <w:b/>
          <w:bCs/>
          <w:sz w:val="24"/>
          <w:szCs w:val="20"/>
          <w:lang w:val="en-GB"/>
        </w:rPr>
        <w:t>.</w:t>
      </w:r>
      <w:r w:rsidR="00F770A5" w:rsidRPr="00382DAD">
        <w:rPr>
          <w:rFonts w:ascii="Arial" w:eastAsia="MS Mincho" w:hAnsi="Arial" w:cs="Arial"/>
          <w:b/>
          <w:bCs/>
          <w:sz w:val="24"/>
          <w:szCs w:val="20"/>
          <w:lang w:val="en-GB"/>
        </w:rPr>
        <w:t>4.1</w:t>
      </w:r>
    </w:p>
    <w:p w14:paraId="266D763D" w14:textId="77777777" w:rsidR="00841BCD" w:rsidRPr="00841BCD" w:rsidRDefault="00841BCD" w:rsidP="00841BCD">
      <w:pPr>
        <w:tabs>
          <w:tab w:val="left" w:pos="1985"/>
        </w:tabs>
        <w:rPr>
          <w:rFonts w:ascii="Arial" w:eastAsia="Calibri" w:hAnsi="Arial" w:cs="Arial"/>
          <w:b/>
          <w:bCs/>
          <w:sz w:val="24"/>
          <w:lang w:val="en-GB"/>
        </w:rPr>
      </w:pPr>
      <w:r w:rsidRPr="00382DAD">
        <w:rPr>
          <w:rFonts w:ascii="Arial" w:eastAsia="Calibri" w:hAnsi="Arial" w:cs="Arial"/>
          <w:b/>
          <w:bCs/>
          <w:sz w:val="24"/>
          <w:lang w:val="en-GB"/>
        </w:rPr>
        <w:t>Document for:</w:t>
      </w:r>
      <w:r w:rsidRPr="00382DA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411895D" w:rsidR="00A22B78" w:rsidRPr="00382DAD" w:rsidRDefault="00F770A5" w:rsidP="00841BCD">
      <w:pPr>
        <w:ind w:right="-22"/>
        <w:rPr>
          <w:rFonts w:eastAsia="Calibri" w:cs="Times New Roman"/>
          <w:szCs w:val="20"/>
        </w:rPr>
      </w:pPr>
      <w:r>
        <w:rPr>
          <w:rFonts w:eastAsia="Calibri" w:cs="Times New Roman"/>
          <w:szCs w:val="20"/>
          <w:lang w:val="en-GB"/>
        </w:rPr>
        <w:t xml:space="preserve">RAN4 has been discussing the TCI state switching delay requirements for serving cell as well as the related delay requirements. </w:t>
      </w:r>
      <w:r w:rsidR="00A22B78">
        <w:rPr>
          <w:rFonts w:eastAsia="Calibri" w:cs="Times New Roman"/>
          <w:szCs w:val="20"/>
          <w:lang w:val="en-GB"/>
        </w:rPr>
        <w:t>A</w:t>
      </w:r>
      <w:r>
        <w:rPr>
          <w:rFonts w:eastAsia="Calibri" w:cs="Times New Roman"/>
          <w:szCs w:val="20"/>
          <w:lang w:val="en-GB"/>
        </w:rPr>
        <w:t>dditionally, RAN4 has been discussing the TCI state requirement</w:t>
      </w:r>
      <w:r w:rsidR="00A22B78">
        <w:rPr>
          <w:rFonts w:eastAsia="Calibri" w:cs="Times New Roman"/>
          <w:szCs w:val="20"/>
          <w:lang w:val="en-GB"/>
        </w:rPr>
        <w:t>s</w:t>
      </w:r>
      <w:r>
        <w:rPr>
          <w:rFonts w:eastAsia="Calibri" w:cs="Times New Roman"/>
          <w:szCs w:val="20"/>
          <w:lang w:val="en-GB"/>
        </w:rPr>
        <w:t xml:space="preserve"> when an SCell is activated</w:t>
      </w:r>
      <w:r w:rsidR="002C2D19">
        <w:rPr>
          <w:rFonts w:eastAsia="Calibri" w:cs="Times New Roman"/>
          <w:szCs w:val="20"/>
          <w:lang w:val="en-GB"/>
        </w:rPr>
        <w:t xml:space="preserve">. </w:t>
      </w:r>
      <w:proofErr w:type="gramStart"/>
      <w:r>
        <w:rPr>
          <w:rFonts w:eastAsia="Calibri" w:cs="Times New Roman"/>
          <w:szCs w:val="20"/>
          <w:lang w:val="en-GB"/>
        </w:rPr>
        <w:t>A number of</w:t>
      </w:r>
      <w:proofErr w:type="gramEnd"/>
      <w:r>
        <w:rPr>
          <w:rFonts w:eastAsia="Calibri" w:cs="Times New Roman"/>
          <w:szCs w:val="20"/>
          <w:lang w:val="en-GB"/>
        </w:rPr>
        <w:t xml:space="preserve"> requirements still needs to be finalized for Rel-15 and in RAN4#90bis meeting in Xi’an RAN4 agreed on a </w:t>
      </w:r>
      <w:r w:rsidRPr="00382DAD">
        <w:rPr>
          <w:rFonts w:eastAsia="Calibri" w:cs="Times New Roman"/>
          <w:szCs w:val="20"/>
          <w:lang w:val="en-GB"/>
        </w:rPr>
        <w:t>WF [</w:t>
      </w:r>
      <w:r w:rsidR="00382DAD" w:rsidRPr="00382DAD">
        <w:rPr>
          <w:rFonts w:eastAsia="Calibri" w:cs="Times New Roman"/>
          <w:szCs w:val="20"/>
          <w:lang w:val="en-GB"/>
        </w:rPr>
        <w:t>1</w:t>
      </w:r>
      <w:r w:rsidRPr="00382DAD">
        <w:rPr>
          <w:rFonts w:eastAsia="Calibri" w:cs="Times New Roman"/>
          <w:szCs w:val="20"/>
          <w:lang w:val="en-GB"/>
        </w:rPr>
        <w:t xml:space="preserve">], </w:t>
      </w:r>
      <w:r w:rsidRPr="00382DAD">
        <w:rPr>
          <w:rFonts w:eastAsia="Calibri" w:cs="Times New Roman"/>
          <w:szCs w:val="20"/>
        </w:rPr>
        <w:t>Way Forward on TCI State Switching Requirements.</w:t>
      </w:r>
    </w:p>
    <w:p w14:paraId="46A21D40" w14:textId="400584DC" w:rsidR="00F770A5" w:rsidRDefault="005F18E9" w:rsidP="00841BCD">
      <w:pPr>
        <w:ind w:right="-22"/>
        <w:rPr>
          <w:rFonts w:eastAsia="Calibri" w:cs="Times New Roman"/>
          <w:szCs w:val="20"/>
          <w:lang w:val="en-GB"/>
        </w:rPr>
      </w:pPr>
      <w:r w:rsidRPr="00382DAD">
        <w:rPr>
          <w:rFonts w:eastAsia="Calibri" w:cs="Times New Roman"/>
          <w:szCs w:val="20"/>
          <w:lang w:val="en-GB"/>
        </w:rPr>
        <w:t>In this paper we address the open issues in the WF [</w:t>
      </w:r>
      <w:r w:rsidR="00382DAD" w:rsidRPr="00382DAD">
        <w:rPr>
          <w:rFonts w:eastAsia="Calibri" w:cs="Times New Roman"/>
          <w:szCs w:val="20"/>
          <w:lang w:val="en-GB"/>
        </w:rPr>
        <w:t>1</w:t>
      </w:r>
      <w:r w:rsidRPr="00382DAD">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221BF365" w14:textId="23545ECF" w:rsidR="005F18E9" w:rsidRDefault="005F18E9" w:rsidP="005F18E9">
      <w:pPr>
        <w:ind w:right="-22"/>
        <w:rPr>
          <w:rFonts w:eastAsia="Calibri" w:cs="Times New Roman"/>
          <w:szCs w:val="20"/>
          <w:lang w:val="en-GB"/>
        </w:rPr>
      </w:pPr>
      <w:r>
        <w:rPr>
          <w:rFonts w:eastAsia="Calibri" w:cs="Times New Roman"/>
          <w:szCs w:val="20"/>
          <w:lang w:val="en-GB"/>
        </w:rPr>
        <w:t>The WF lists following topics as open requirements for further discussion related to TCI switching:</w:t>
      </w:r>
    </w:p>
    <w:p w14:paraId="292D73F3"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rPr>
        <w:t xml:space="preserve">Definition of known/unknown TCI state </w:t>
      </w:r>
    </w:p>
    <w:p w14:paraId="4FC5E98C"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rPr>
        <w:t>MAC CE based TCI state switch for PDCCH</w:t>
      </w:r>
    </w:p>
    <w:p w14:paraId="769D8981"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rPr>
        <w:t>DCI based TCI state switch for PDSCH</w:t>
      </w:r>
    </w:p>
    <w:p w14:paraId="14B11E6A"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rPr>
        <w:t>Requirements for RRC based TCI state switch</w:t>
      </w:r>
    </w:p>
    <w:p w14:paraId="69E8886B"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rPr>
        <w:t>Interruption due to TCI state switch</w:t>
      </w:r>
    </w:p>
    <w:p w14:paraId="18C66EC1" w14:textId="73072D9C"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lang w:val="en-GB"/>
        </w:rPr>
        <w:t xml:space="preserve">TCI for SCell activation </w:t>
      </w:r>
    </w:p>
    <w:p w14:paraId="2CC4892F" w14:textId="77777777" w:rsidR="00E43DC3" w:rsidRPr="005F18E9" w:rsidRDefault="000263F7" w:rsidP="005F18E9">
      <w:pPr>
        <w:pStyle w:val="ListParagraph"/>
        <w:numPr>
          <w:ilvl w:val="0"/>
          <w:numId w:val="21"/>
        </w:numPr>
        <w:ind w:right="-22"/>
        <w:rPr>
          <w:rFonts w:eastAsia="Calibri" w:cs="Times New Roman"/>
          <w:szCs w:val="20"/>
          <w:lang w:val="en-GB"/>
        </w:rPr>
      </w:pPr>
      <w:r w:rsidRPr="005F18E9">
        <w:rPr>
          <w:rFonts w:eastAsia="Calibri" w:cs="Times New Roman"/>
          <w:szCs w:val="20"/>
          <w:lang w:val="en-GB"/>
        </w:rPr>
        <w:t>Requirement for MAC-CE based active TCI state list activation</w:t>
      </w:r>
    </w:p>
    <w:p w14:paraId="49EA57D3" w14:textId="49C69ABE" w:rsidR="0005132A" w:rsidRPr="0005132A" w:rsidRDefault="0005132A" w:rsidP="0005132A">
      <w:pPr>
        <w:ind w:right="-22"/>
        <w:rPr>
          <w:rFonts w:eastAsia="Calibri" w:cs="Times New Roman"/>
          <w:szCs w:val="20"/>
          <w:lang w:val="en-GB"/>
        </w:rPr>
      </w:pPr>
      <w:r>
        <w:rPr>
          <w:rFonts w:eastAsia="Calibri" w:cs="Times New Roman"/>
          <w:szCs w:val="20"/>
          <w:lang w:val="en-GB"/>
        </w:rPr>
        <w:t>In the next sections we look at each of the topics in the list and give a proposal for requirements.</w:t>
      </w:r>
    </w:p>
    <w:p w14:paraId="76C5FA52" w14:textId="77777777" w:rsidR="005F18E9" w:rsidRPr="0005132A" w:rsidRDefault="005F18E9" w:rsidP="0005132A">
      <w:pPr>
        <w:ind w:right="-22"/>
        <w:rPr>
          <w:rFonts w:eastAsia="Calibri" w:cs="Times New Roman"/>
          <w:szCs w:val="20"/>
          <w:lang w:val="en-GB"/>
        </w:rPr>
      </w:pPr>
    </w:p>
    <w:p w14:paraId="0EAFEA54" w14:textId="55ACC1EE" w:rsidR="0005132A" w:rsidRPr="008826C1" w:rsidRDefault="0005132A" w:rsidP="0005132A">
      <w:pPr>
        <w:pStyle w:val="RAN4H2"/>
      </w:pPr>
      <w:r w:rsidRPr="005F18E9">
        <w:rPr>
          <w:rFonts w:eastAsia="Calibri"/>
        </w:rPr>
        <w:t>Definition of known/unknown TCI state</w:t>
      </w:r>
    </w:p>
    <w:p w14:paraId="50C62D4D" w14:textId="779C1B4A" w:rsidR="00C4423E" w:rsidRPr="00C4423E" w:rsidRDefault="00C4423E" w:rsidP="00C4423E">
      <w:pPr>
        <w:ind w:right="-22"/>
        <w:rPr>
          <w:rFonts w:eastAsia="Calibri" w:cs="Times New Roman"/>
          <w:szCs w:val="20"/>
          <w:lang w:val="en-GB"/>
        </w:rPr>
      </w:pPr>
      <w:r>
        <w:rPr>
          <w:rFonts w:eastAsia="Calibri" w:cs="Times New Roman"/>
          <w:szCs w:val="20"/>
          <w:lang w:val="en-GB"/>
        </w:rPr>
        <w:t>It has been agreed:</w:t>
      </w:r>
    </w:p>
    <w:p w14:paraId="1043B1EF" w14:textId="63C32743" w:rsidR="00E43DC3" w:rsidRPr="00C4423E" w:rsidRDefault="000263F7" w:rsidP="00C4423E">
      <w:pPr>
        <w:pStyle w:val="ListParagraph"/>
        <w:numPr>
          <w:ilvl w:val="0"/>
          <w:numId w:val="25"/>
        </w:numPr>
        <w:ind w:right="-22"/>
        <w:rPr>
          <w:rFonts w:eastAsia="Calibri" w:cs="Times New Roman"/>
          <w:szCs w:val="20"/>
          <w:lang w:val="en-GB"/>
        </w:rPr>
      </w:pPr>
      <w:r w:rsidRPr="00C4423E">
        <w:rPr>
          <w:rFonts w:eastAsia="Calibri" w:cs="Times New Roman"/>
          <w:szCs w:val="20"/>
        </w:rPr>
        <w:t xml:space="preserve">Definition of known TCI state for UE supporting Power Class 1 </w:t>
      </w:r>
    </w:p>
    <w:p w14:paraId="100DD679" w14:textId="77777777" w:rsidR="00E43DC3" w:rsidRPr="00C4423E" w:rsidRDefault="000263F7" w:rsidP="00C4423E">
      <w:pPr>
        <w:pStyle w:val="ListParagraph"/>
        <w:numPr>
          <w:ilvl w:val="1"/>
          <w:numId w:val="25"/>
        </w:numPr>
        <w:ind w:right="-22"/>
        <w:rPr>
          <w:rFonts w:eastAsia="Calibri" w:cs="Times New Roman"/>
          <w:szCs w:val="20"/>
          <w:lang w:val="en-GB"/>
        </w:rPr>
      </w:pPr>
      <w:r w:rsidRPr="00C4423E">
        <w:rPr>
          <w:rFonts w:eastAsia="Calibri" w:cs="Times New Roman"/>
          <w:szCs w:val="20"/>
        </w:rPr>
        <w:t xml:space="preserve">L1-RSRP or L3-RSRP report made in [x] </w:t>
      </w:r>
      <w:proofErr w:type="spellStart"/>
      <w:r w:rsidRPr="00C4423E">
        <w:rPr>
          <w:rFonts w:eastAsia="Calibri" w:cs="Times New Roman"/>
          <w:szCs w:val="20"/>
        </w:rPr>
        <w:t>ms</w:t>
      </w:r>
      <w:proofErr w:type="spellEnd"/>
      <w:r w:rsidRPr="00C4423E">
        <w:rPr>
          <w:rFonts w:eastAsia="Calibri" w:cs="Times New Roman"/>
          <w:szCs w:val="20"/>
        </w:rPr>
        <w:t xml:space="preserve"> </w:t>
      </w:r>
    </w:p>
    <w:p w14:paraId="7DE99FB8" w14:textId="77777777" w:rsidR="00E43DC3" w:rsidRPr="00C4423E" w:rsidRDefault="000263F7" w:rsidP="00C4423E">
      <w:pPr>
        <w:pStyle w:val="ListParagraph"/>
        <w:numPr>
          <w:ilvl w:val="0"/>
          <w:numId w:val="25"/>
        </w:numPr>
        <w:ind w:right="-22"/>
        <w:rPr>
          <w:rFonts w:eastAsia="Calibri" w:cs="Times New Roman"/>
          <w:szCs w:val="20"/>
          <w:lang w:val="en-GB"/>
        </w:rPr>
      </w:pPr>
      <w:r w:rsidRPr="00C4423E">
        <w:rPr>
          <w:rFonts w:eastAsia="Calibri" w:cs="Times New Roman"/>
          <w:szCs w:val="20"/>
        </w:rPr>
        <w:t>The TCI state is detectable during the TCI state switching period for both known and unknown TCI state switching requirement</w:t>
      </w:r>
    </w:p>
    <w:p w14:paraId="06A145CA" w14:textId="20DAC53C" w:rsidR="00C4423E" w:rsidRPr="00A356A0" w:rsidRDefault="00A356A0" w:rsidP="00C4423E">
      <w:pPr>
        <w:ind w:right="-22"/>
        <w:rPr>
          <w:rFonts w:eastAsia="Calibri" w:cs="Times New Roman"/>
          <w:szCs w:val="20"/>
          <w:lang w:val="en-GB"/>
        </w:rPr>
      </w:pPr>
      <w:r w:rsidRPr="00A356A0">
        <w:rPr>
          <w:rFonts w:eastAsia="Calibri" w:cs="Times New Roman"/>
          <w:szCs w:val="20"/>
        </w:rPr>
        <w:t>And the o</w:t>
      </w:r>
      <w:r w:rsidR="00C4423E" w:rsidRPr="00A356A0">
        <w:rPr>
          <w:rFonts w:eastAsia="Calibri" w:cs="Times New Roman"/>
          <w:szCs w:val="20"/>
        </w:rPr>
        <w:t xml:space="preserve">pen </w:t>
      </w:r>
      <w:r w:rsidRPr="00A356A0">
        <w:rPr>
          <w:rFonts w:eastAsia="Calibri" w:cs="Times New Roman"/>
          <w:szCs w:val="20"/>
        </w:rPr>
        <w:t>i</w:t>
      </w:r>
      <w:r w:rsidR="00C4423E" w:rsidRPr="00A356A0">
        <w:rPr>
          <w:rFonts w:eastAsia="Calibri" w:cs="Times New Roman"/>
          <w:szCs w:val="20"/>
        </w:rPr>
        <w:t>ssues</w:t>
      </w:r>
      <w:r w:rsidRPr="00A356A0">
        <w:rPr>
          <w:rFonts w:eastAsia="Calibri" w:cs="Times New Roman"/>
          <w:szCs w:val="20"/>
        </w:rPr>
        <w:t xml:space="preserve"> to be further discussed and decided:</w:t>
      </w:r>
    </w:p>
    <w:p w14:paraId="73FF183E" w14:textId="77777777" w:rsidR="00E43DC3" w:rsidRPr="00A356A0" w:rsidRDefault="000263F7" w:rsidP="00A356A0">
      <w:pPr>
        <w:pStyle w:val="ListParagraph"/>
        <w:numPr>
          <w:ilvl w:val="0"/>
          <w:numId w:val="26"/>
        </w:numPr>
        <w:ind w:right="-22"/>
        <w:rPr>
          <w:rFonts w:eastAsia="Calibri" w:cs="Times New Roman"/>
          <w:szCs w:val="20"/>
          <w:lang w:val="en-GB"/>
        </w:rPr>
      </w:pPr>
      <w:r w:rsidRPr="00A356A0">
        <w:rPr>
          <w:rFonts w:eastAsia="Calibri" w:cs="Times New Roman"/>
          <w:szCs w:val="20"/>
        </w:rPr>
        <w:t>Value of x for UE supporting Power Class 1</w:t>
      </w:r>
    </w:p>
    <w:p w14:paraId="1C51F5C4" w14:textId="77777777" w:rsidR="00E43DC3" w:rsidRPr="00A356A0" w:rsidRDefault="000263F7" w:rsidP="00A356A0">
      <w:pPr>
        <w:pStyle w:val="ListParagraph"/>
        <w:numPr>
          <w:ilvl w:val="0"/>
          <w:numId w:val="26"/>
        </w:numPr>
        <w:ind w:right="-22"/>
        <w:rPr>
          <w:rFonts w:eastAsia="Calibri" w:cs="Times New Roman"/>
          <w:szCs w:val="20"/>
          <w:lang w:val="en-GB"/>
        </w:rPr>
      </w:pPr>
      <w:r w:rsidRPr="00A356A0">
        <w:rPr>
          <w:rFonts w:eastAsia="Calibri" w:cs="Times New Roman"/>
          <w:szCs w:val="20"/>
        </w:rPr>
        <w:t>Applicability of known/ unknown TCI state for UE supporting Power Class 2/3/4</w:t>
      </w:r>
    </w:p>
    <w:p w14:paraId="0F4E21C5" w14:textId="77777777" w:rsidR="00E43DC3" w:rsidRPr="00A356A0" w:rsidRDefault="000263F7" w:rsidP="00A356A0">
      <w:pPr>
        <w:pStyle w:val="ListParagraph"/>
        <w:numPr>
          <w:ilvl w:val="1"/>
          <w:numId w:val="26"/>
        </w:numPr>
        <w:ind w:right="-22"/>
        <w:rPr>
          <w:rFonts w:eastAsia="Calibri" w:cs="Times New Roman"/>
          <w:szCs w:val="20"/>
          <w:lang w:val="en-GB"/>
        </w:rPr>
      </w:pPr>
      <w:r w:rsidRPr="00A356A0">
        <w:rPr>
          <w:rFonts w:eastAsia="Calibri" w:cs="Times New Roman"/>
          <w:szCs w:val="20"/>
        </w:rPr>
        <w:t>Option 1: Only unknown</w:t>
      </w:r>
    </w:p>
    <w:p w14:paraId="43723392" w14:textId="77777777" w:rsidR="00E43DC3" w:rsidRPr="00A356A0" w:rsidRDefault="000263F7" w:rsidP="00A356A0">
      <w:pPr>
        <w:pStyle w:val="ListParagraph"/>
        <w:numPr>
          <w:ilvl w:val="1"/>
          <w:numId w:val="26"/>
        </w:numPr>
        <w:ind w:right="-22"/>
        <w:rPr>
          <w:rFonts w:eastAsia="Calibri" w:cs="Times New Roman"/>
          <w:szCs w:val="20"/>
          <w:lang w:val="en-GB"/>
        </w:rPr>
      </w:pPr>
      <w:r w:rsidRPr="00A356A0">
        <w:rPr>
          <w:rFonts w:eastAsia="Calibri" w:cs="Times New Roman"/>
          <w:szCs w:val="20"/>
        </w:rPr>
        <w:t>Option 2: Both known and unknown (should be the same)</w:t>
      </w:r>
    </w:p>
    <w:p w14:paraId="15602FC6" w14:textId="03AB348F" w:rsidR="005F18E9" w:rsidRDefault="00A356A0" w:rsidP="005F18E9">
      <w:pPr>
        <w:ind w:right="-22"/>
        <w:rPr>
          <w:rFonts w:eastAsia="Calibri" w:cs="Times New Roman"/>
          <w:szCs w:val="20"/>
          <w:lang w:val="en-GB"/>
        </w:rPr>
      </w:pPr>
      <w:r>
        <w:rPr>
          <w:rFonts w:eastAsia="Calibri" w:cs="Times New Roman"/>
          <w:szCs w:val="20"/>
          <w:lang w:val="en-GB"/>
        </w:rPr>
        <w:t>Definition of known and unknown TCI state has been discussed for some meetings. It seems that some companies see a need for defining when a TCI state is known in case the network (for some reason) would request a UE to use a TCI state for which has not been reported.</w:t>
      </w:r>
    </w:p>
    <w:p w14:paraId="21CCBAB2" w14:textId="1A99249E" w:rsidR="005F18E9" w:rsidRDefault="00A356A0" w:rsidP="005F18E9">
      <w:pPr>
        <w:ind w:right="-22"/>
        <w:rPr>
          <w:rFonts w:eastAsia="Calibri" w:cs="Times New Roman"/>
          <w:szCs w:val="20"/>
          <w:lang w:val="en-GB"/>
        </w:rPr>
      </w:pPr>
      <w:proofErr w:type="gramStart"/>
      <w:r>
        <w:rPr>
          <w:rFonts w:eastAsia="Calibri" w:cs="Times New Roman"/>
          <w:szCs w:val="20"/>
          <w:lang w:val="en-GB"/>
        </w:rPr>
        <w:t>In order to</w:t>
      </w:r>
      <w:proofErr w:type="gramEnd"/>
      <w:r>
        <w:rPr>
          <w:rFonts w:eastAsia="Calibri" w:cs="Times New Roman"/>
          <w:szCs w:val="20"/>
          <w:lang w:val="en-GB"/>
        </w:rPr>
        <w:t xml:space="preserve"> define a known condition for a TCI state, RAN4 would need to consider many aspects such as network deployment scenario, network coverage knowledge, expected UE behaviour etc. These are aspects that can be known to network based on network optimization algorithm etc. Based on this knowledge, the network would configure the UE </w:t>
      </w:r>
      <w:r>
        <w:rPr>
          <w:rFonts w:eastAsia="Calibri" w:cs="Times New Roman"/>
          <w:szCs w:val="20"/>
          <w:lang w:val="en-GB"/>
        </w:rPr>
        <w:lastRenderedPageBreak/>
        <w:t xml:space="preserve">accordingly. I.e. if the deployment is an office deployment network can make certain assumptions on the most common UE movement etc. and will configure UE in the area with </w:t>
      </w:r>
      <w:r w:rsidR="00F60D88">
        <w:rPr>
          <w:rFonts w:eastAsia="Calibri" w:cs="Times New Roman"/>
          <w:szCs w:val="20"/>
          <w:lang w:val="en-GB"/>
        </w:rPr>
        <w:t>L1-RSRP measurements and reporting settings, BFD and other beam management parameters in accordance with this knowledge.</w:t>
      </w:r>
    </w:p>
    <w:p w14:paraId="001E8ECE" w14:textId="7848FA19" w:rsidR="006F7436" w:rsidRDefault="006F7436" w:rsidP="005F18E9">
      <w:pPr>
        <w:ind w:right="-22"/>
        <w:rPr>
          <w:rFonts w:eastAsia="Calibri" w:cs="Times New Roman"/>
          <w:szCs w:val="20"/>
          <w:lang w:val="en-GB"/>
        </w:rPr>
      </w:pPr>
      <w:r>
        <w:rPr>
          <w:rFonts w:eastAsia="Calibri" w:cs="Times New Roman"/>
          <w:szCs w:val="20"/>
          <w:lang w:val="en-GB"/>
        </w:rPr>
        <w:t xml:space="preserve">In a well configured network the network parameters will reflect the deployment scenario and will configured such that under typical conditions no abnormal failures should happen on a UE fulfilling the UE minimum requirements. The network has no </w:t>
      </w:r>
      <w:r w:rsidR="009F3BBD">
        <w:rPr>
          <w:rFonts w:eastAsia="Calibri" w:cs="Times New Roman"/>
          <w:szCs w:val="20"/>
          <w:lang w:val="en-GB"/>
        </w:rPr>
        <w:t>interest in the opposite.</w:t>
      </w:r>
    </w:p>
    <w:p w14:paraId="22AF7EEE" w14:textId="77D3178B" w:rsidR="009F3BBD" w:rsidRDefault="009F3BBD" w:rsidP="005F18E9">
      <w:pPr>
        <w:ind w:right="-22"/>
        <w:rPr>
          <w:rFonts w:eastAsia="Calibri" w:cs="Times New Roman"/>
          <w:szCs w:val="20"/>
          <w:lang w:val="en-GB"/>
        </w:rPr>
      </w:pPr>
      <w:r>
        <w:rPr>
          <w:rFonts w:eastAsia="Calibri" w:cs="Times New Roman"/>
          <w:szCs w:val="20"/>
          <w:lang w:val="en-GB"/>
        </w:rPr>
        <w:t>We therefore propose that the known TCI state conditions is based on the UE L1-RSRP reporting periodicity.</w:t>
      </w:r>
    </w:p>
    <w:p w14:paraId="73F5249A" w14:textId="5B6D97A5" w:rsidR="0005132A" w:rsidRDefault="00010817" w:rsidP="0005132A">
      <w:pPr>
        <w:pStyle w:val="RAN4proposal"/>
      </w:pPr>
      <w:bookmarkStart w:id="4" w:name="_Hlk7612743"/>
      <w:r>
        <w:rPr>
          <w:rFonts w:eastAsia="Calibri" w:cs="Times New Roman"/>
          <w:szCs w:val="20"/>
          <w:lang w:val="en-GB"/>
        </w:rPr>
        <w:t>Known TCI state conditions is based on the UE L1-RSRP reporting periodicity</w:t>
      </w:r>
      <w:r w:rsidR="0005132A" w:rsidRPr="0008612A">
        <w:t>.</w:t>
      </w:r>
    </w:p>
    <w:bookmarkEnd w:id="4"/>
    <w:p w14:paraId="74D39482" w14:textId="42775ECF" w:rsidR="0005132A" w:rsidRDefault="00010817" w:rsidP="005F18E9">
      <w:pPr>
        <w:ind w:right="-22"/>
        <w:rPr>
          <w:rFonts w:eastAsia="Calibri" w:cs="Times New Roman"/>
          <w:szCs w:val="20"/>
          <w:lang w:val="en-GB"/>
        </w:rPr>
      </w:pPr>
      <w:r>
        <w:rPr>
          <w:rFonts w:eastAsia="Calibri" w:cs="Times New Roman"/>
          <w:szCs w:val="20"/>
          <w:lang w:val="en-GB"/>
        </w:rPr>
        <w:t xml:space="preserve">Looking at the reporting periods for the different reporting types – periodic reporting, semi-persistent reporting and aperiodic reporting – these are all configured by the network in the report configurations. </w:t>
      </w:r>
    </w:p>
    <w:p w14:paraId="787D1299" w14:textId="2A60CB89" w:rsidR="00010817" w:rsidRDefault="00010817" w:rsidP="005F18E9">
      <w:pPr>
        <w:ind w:right="-22"/>
        <w:rPr>
          <w:rFonts w:eastAsia="Calibri" w:cs="Times New Roman"/>
          <w:szCs w:val="20"/>
          <w:lang w:val="en-GB"/>
        </w:rPr>
      </w:pPr>
      <w:r>
        <w:rPr>
          <w:rFonts w:eastAsia="Calibri" w:cs="Times New Roman"/>
          <w:szCs w:val="20"/>
          <w:lang w:val="en-GB"/>
        </w:rPr>
        <w:t>Assuming then additionally that the conditions do not change during a reporting period, this would ensure that the UE requirements are defined for when the UE has measured and reported measurements for the given TCI state within a given time and the conditions since the measurements have not changed.</w:t>
      </w:r>
    </w:p>
    <w:p w14:paraId="5E6D11D9" w14:textId="1751EDB3" w:rsidR="00E13003" w:rsidRDefault="00E13003" w:rsidP="005F18E9">
      <w:pPr>
        <w:ind w:right="-22"/>
        <w:rPr>
          <w:rFonts w:eastAsia="Calibri" w:cs="Times New Roman"/>
          <w:szCs w:val="20"/>
          <w:lang w:val="en-GB"/>
        </w:rPr>
      </w:pPr>
      <w:r>
        <w:rPr>
          <w:rFonts w:eastAsia="Calibri" w:cs="Times New Roman"/>
          <w:szCs w:val="20"/>
          <w:lang w:val="en-GB"/>
        </w:rPr>
        <w:t xml:space="preserve">For periodic and </w:t>
      </w:r>
      <w:r w:rsidR="007965F8">
        <w:rPr>
          <w:rFonts w:eastAsia="Calibri" w:cs="Times New Roman"/>
          <w:szCs w:val="20"/>
          <w:lang w:val="en-GB"/>
        </w:rPr>
        <w:t>semi-persistent reporting this would mean that the known TCI-state could be expressed as:</w:t>
      </w:r>
    </w:p>
    <w:p w14:paraId="1BBD6400" w14:textId="77777777" w:rsidR="007965F8" w:rsidRPr="007965F8" w:rsidRDefault="007965F8" w:rsidP="007965F8">
      <w:pPr>
        <w:ind w:right="-22"/>
        <w:rPr>
          <w:rFonts w:eastAsia="Calibri" w:cs="Times New Roman"/>
          <w:szCs w:val="20"/>
          <w:lang w:val="en-GB"/>
        </w:rPr>
      </w:pPr>
      <w:r w:rsidRPr="007965F8">
        <w:rPr>
          <w:rFonts w:eastAsia="Calibri" w:cs="Times New Roman"/>
          <w:szCs w:val="20"/>
          <w:lang w:val="en-GB"/>
        </w:rPr>
        <w:t xml:space="preserve">The TCI state is known if it has been meeting the following conditions: </w:t>
      </w:r>
    </w:p>
    <w:p w14:paraId="08C06D24" w14:textId="2D50EC62" w:rsidR="007965F8" w:rsidRDefault="007965F8" w:rsidP="007965F8">
      <w:pPr>
        <w:pStyle w:val="ListParagraph"/>
        <w:numPr>
          <w:ilvl w:val="0"/>
          <w:numId w:val="29"/>
        </w:numPr>
        <w:ind w:right="-22"/>
        <w:rPr>
          <w:rFonts w:eastAsia="Calibri" w:cs="Times New Roman"/>
          <w:szCs w:val="20"/>
          <w:lang w:val="en-GB"/>
        </w:rPr>
      </w:pPr>
      <w:bookmarkStart w:id="5" w:name="_Hlk7762829"/>
      <w:r>
        <w:rPr>
          <w:rFonts w:eastAsia="Calibri" w:cs="Times New Roman"/>
          <w:szCs w:val="20"/>
          <w:lang w:val="en-GB"/>
        </w:rPr>
        <w:t>During the period (measured in slots) equal to:</w:t>
      </w:r>
    </w:p>
    <w:p w14:paraId="1ACF8D61" w14:textId="540B0D15" w:rsidR="00E43DC3" w:rsidRPr="007965F8" w:rsidRDefault="000263F7" w:rsidP="007965F8">
      <w:pPr>
        <w:pStyle w:val="ListParagraph"/>
        <w:numPr>
          <w:ilvl w:val="1"/>
          <w:numId w:val="29"/>
        </w:numPr>
        <w:ind w:right="-22"/>
        <w:rPr>
          <w:rFonts w:eastAsia="Calibri" w:cs="Times New Roman"/>
          <w:szCs w:val="20"/>
          <w:lang w:val="en-GB"/>
        </w:rPr>
      </w:pPr>
      <w:r w:rsidRPr="007965F8">
        <w:rPr>
          <w:rFonts w:eastAsia="Calibri" w:cs="Times New Roman"/>
          <w:szCs w:val="20"/>
          <w:lang w:val="en-GB"/>
        </w:rPr>
        <w:t>For a periodic or semi-persistent CSI report on PUCCH</w:t>
      </w:r>
      <w:r w:rsidR="00DB780D">
        <w:rPr>
          <w:rFonts w:eastAsia="Calibri" w:cs="Times New Roman"/>
          <w:szCs w:val="20"/>
          <w:lang w:val="en-GB"/>
        </w:rPr>
        <w:t xml:space="preserve"> and PUSCH, for the TCI State</w:t>
      </w:r>
      <w:r w:rsidRPr="007965F8">
        <w:rPr>
          <w:rFonts w:eastAsia="Calibri" w:cs="Times New Roman"/>
          <w:szCs w:val="20"/>
          <w:lang w:val="en-GB"/>
        </w:rPr>
        <w:t>, the period</w:t>
      </w:r>
      <w:r w:rsidR="007965F8">
        <w:rPr>
          <w:rFonts w:eastAsia="Calibri" w:cs="Times New Roman"/>
          <w:szCs w:val="20"/>
          <w:lang w:val="en-GB"/>
        </w:rPr>
        <w:t xml:space="preserve"> as</w:t>
      </w:r>
      <w:r w:rsidRPr="007965F8">
        <w:rPr>
          <w:rFonts w:eastAsia="Calibri" w:cs="Times New Roman"/>
          <w:szCs w:val="20"/>
          <w:lang w:val="en-GB"/>
        </w:rPr>
        <w:t xml:space="preserve"> configured by the higher layer parameter </w:t>
      </w:r>
      <w:proofErr w:type="spellStart"/>
      <w:r w:rsidRPr="007965F8">
        <w:rPr>
          <w:rFonts w:eastAsia="Calibri" w:cs="Times New Roman"/>
          <w:szCs w:val="20"/>
          <w:lang w:val="en-GB"/>
        </w:rPr>
        <w:t>reportSlotConfig</w:t>
      </w:r>
      <w:proofErr w:type="spellEnd"/>
      <w:r w:rsidR="007965F8">
        <w:rPr>
          <w:rFonts w:eastAsia="Calibri" w:cs="Times New Roman"/>
          <w:szCs w:val="20"/>
          <w:lang w:val="en-GB"/>
        </w:rPr>
        <w:t>.</w:t>
      </w:r>
    </w:p>
    <w:p w14:paraId="0429BD96" w14:textId="5666221E" w:rsidR="007965F8" w:rsidRPr="00DB780D" w:rsidRDefault="007965F8" w:rsidP="007965F8">
      <w:pPr>
        <w:pStyle w:val="ListParagraph"/>
        <w:numPr>
          <w:ilvl w:val="1"/>
          <w:numId w:val="29"/>
        </w:numPr>
        <w:ind w:right="-22"/>
        <w:rPr>
          <w:rFonts w:eastAsia="Calibri" w:cs="Times New Roman"/>
          <w:szCs w:val="20"/>
          <w:lang w:val="en-GB"/>
        </w:rPr>
      </w:pPr>
      <w:r>
        <w:rPr>
          <w:rFonts w:eastAsia="Calibri" w:cs="Times New Roman"/>
          <w:szCs w:val="20"/>
          <w:lang w:val="en-GB"/>
        </w:rPr>
        <w:t>For</w:t>
      </w:r>
      <w:r w:rsidR="00DB780D">
        <w:rPr>
          <w:rFonts w:eastAsia="Calibri" w:cs="Times New Roman"/>
          <w:szCs w:val="20"/>
          <w:lang w:val="en-GB"/>
        </w:rPr>
        <w:t xml:space="preserve"> </w:t>
      </w:r>
      <w:r>
        <w:rPr>
          <w:rFonts w:eastAsia="Calibri" w:cs="Times New Roman"/>
          <w:szCs w:val="20"/>
          <w:lang w:val="en-GB"/>
        </w:rPr>
        <w:t xml:space="preserve">an aperiodic </w:t>
      </w:r>
      <w:r w:rsidR="00DB780D">
        <w:rPr>
          <w:rFonts w:eastAsia="Calibri" w:cs="Times New Roman"/>
          <w:szCs w:val="20"/>
          <w:lang w:val="en-GB"/>
        </w:rPr>
        <w:t xml:space="preserve">CSI report, for the TCI State, the period as configured by the higher layer parameter </w:t>
      </w:r>
      <w:proofErr w:type="spellStart"/>
      <w:r w:rsidR="00DB780D">
        <w:t>reportSlotOffsetList</w:t>
      </w:r>
      <w:proofErr w:type="spellEnd"/>
      <w:r w:rsidR="00DB780D">
        <w:t>.</w:t>
      </w:r>
    </w:p>
    <w:p w14:paraId="2737BD9B" w14:textId="5B77950F" w:rsidR="00DB780D" w:rsidRDefault="00DB780D" w:rsidP="00DB780D">
      <w:pPr>
        <w:pStyle w:val="ListParagraph"/>
        <w:numPr>
          <w:ilvl w:val="2"/>
          <w:numId w:val="29"/>
        </w:numPr>
        <w:ind w:right="-22"/>
        <w:rPr>
          <w:rFonts w:eastAsia="Calibri" w:cs="Times New Roman"/>
          <w:szCs w:val="20"/>
          <w:lang w:val="en-GB"/>
        </w:rPr>
      </w:pPr>
      <w:r w:rsidRPr="007965F8">
        <w:rPr>
          <w:rFonts w:eastAsia="Calibri" w:cs="Times New Roman"/>
          <w:szCs w:val="20"/>
          <w:lang w:val="en-GB"/>
        </w:rPr>
        <w:t xml:space="preserve">The UE </w:t>
      </w:r>
      <w:r>
        <w:rPr>
          <w:rFonts w:eastAsia="Calibri" w:cs="Times New Roman"/>
          <w:szCs w:val="20"/>
          <w:lang w:val="en-GB"/>
        </w:rPr>
        <w:t>has sent a</w:t>
      </w:r>
      <w:r w:rsidR="00B6373C">
        <w:rPr>
          <w:rFonts w:eastAsia="Calibri" w:cs="Times New Roman"/>
          <w:szCs w:val="20"/>
          <w:lang w:val="en-GB"/>
        </w:rPr>
        <w:t>n</w:t>
      </w:r>
      <w:r>
        <w:rPr>
          <w:rFonts w:eastAsia="Calibri" w:cs="Times New Roman"/>
          <w:szCs w:val="20"/>
          <w:lang w:val="en-GB"/>
        </w:rPr>
        <w:t xml:space="preserve"> </w:t>
      </w:r>
      <w:r w:rsidRPr="007965F8">
        <w:rPr>
          <w:rFonts w:eastAsia="Calibri" w:cs="Times New Roman"/>
          <w:szCs w:val="20"/>
          <w:lang w:val="en-GB"/>
        </w:rPr>
        <w:t>L1-RSRP/L3-RSRP report for the target TCI state</w:t>
      </w:r>
      <w:r>
        <w:rPr>
          <w:rFonts w:eastAsia="Calibri" w:cs="Times New Roman"/>
          <w:szCs w:val="20"/>
          <w:lang w:val="en-GB"/>
        </w:rPr>
        <w:t>.</w:t>
      </w:r>
    </w:p>
    <w:p w14:paraId="4C35CCD3" w14:textId="4925D84B" w:rsidR="00B6373C" w:rsidRPr="00B6373C" w:rsidRDefault="00DB780D" w:rsidP="00B6373C">
      <w:pPr>
        <w:pStyle w:val="ListParagraph"/>
        <w:numPr>
          <w:ilvl w:val="2"/>
          <w:numId w:val="29"/>
        </w:numPr>
        <w:ind w:right="-22"/>
        <w:rPr>
          <w:rFonts w:eastAsia="Calibri" w:cs="Times New Roman"/>
          <w:szCs w:val="20"/>
          <w:lang w:val="en-GB"/>
        </w:rPr>
      </w:pPr>
      <w:r>
        <w:rPr>
          <w:rFonts w:eastAsia="Calibri" w:cs="Times New Roman"/>
          <w:szCs w:val="20"/>
          <w:lang w:val="en-GB"/>
        </w:rPr>
        <w:t>The reported TCI state remain detectable according to the cell detectio</w:t>
      </w:r>
      <w:r w:rsidR="00B6373C">
        <w:rPr>
          <w:rFonts w:eastAsia="Calibri" w:cs="Times New Roman"/>
          <w:szCs w:val="20"/>
          <w:lang w:val="en-GB"/>
        </w:rPr>
        <w:t>n requirements in section 9.2.</w:t>
      </w:r>
    </w:p>
    <w:p w14:paraId="46FFA919" w14:textId="747BB4F4" w:rsidR="00B6373C" w:rsidRPr="00B6373C" w:rsidRDefault="00B6373C" w:rsidP="00B6373C">
      <w:pPr>
        <w:pStyle w:val="ListParagraph"/>
        <w:numPr>
          <w:ilvl w:val="2"/>
          <w:numId w:val="29"/>
        </w:numPr>
        <w:ind w:right="-22"/>
        <w:rPr>
          <w:rFonts w:eastAsia="Calibri" w:cs="Times New Roman"/>
          <w:szCs w:val="20"/>
          <w:lang w:val="en-GB"/>
        </w:rPr>
      </w:pPr>
      <w:r w:rsidRPr="00B6373C">
        <w:rPr>
          <w:rFonts w:eastAsia="Calibri" w:cs="Times New Roman"/>
          <w:szCs w:val="20"/>
          <w:lang w:val="en-GB"/>
        </w:rPr>
        <w:t xml:space="preserve">The SSB </w:t>
      </w:r>
      <w:r>
        <w:rPr>
          <w:rFonts w:eastAsia="Calibri" w:cs="Times New Roman"/>
          <w:szCs w:val="20"/>
          <w:lang w:val="en-GB"/>
        </w:rPr>
        <w:t xml:space="preserve">or the CSI-RS </w:t>
      </w:r>
      <w:r w:rsidRPr="00B6373C">
        <w:rPr>
          <w:rFonts w:eastAsia="Calibri" w:cs="Times New Roman"/>
          <w:szCs w:val="20"/>
          <w:lang w:val="en-GB"/>
        </w:rPr>
        <w:t xml:space="preserve">measured </w:t>
      </w:r>
      <w:r>
        <w:rPr>
          <w:rFonts w:eastAsia="Calibri" w:cs="Times New Roman"/>
          <w:szCs w:val="20"/>
          <w:lang w:val="en-GB"/>
        </w:rPr>
        <w:t>and reported</w:t>
      </w:r>
      <w:r w:rsidRPr="00B6373C">
        <w:rPr>
          <w:rFonts w:eastAsia="Calibri" w:cs="Times New Roman"/>
          <w:szCs w:val="20"/>
          <w:lang w:val="en-GB"/>
        </w:rPr>
        <w:t xml:space="preserve"> remains detectable during the </w:t>
      </w:r>
      <w:r>
        <w:rPr>
          <w:rFonts w:eastAsia="Calibri" w:cs="Times New Roman"/>
          <w:szCs w:val="20"/>
          <w:lang w:val="en-GB"/>
        </w:rPr>
        <w:t>TCI activation</w:t>
      </w:r>
      <w:r w:rsidRPr="00B6373C">
        <w:rPr>
          <w:rFonts w:eastAsia="Calibri" w:cs="Times New Roman"/>
          <w:szCs w:val="20"/>
          <w:lang w:val="en-GB"/>
        </w:rPr>
        <w:t xml:space="preserve"> delay according to the cell identification conditions specified in section 9.2 </w:t>
      </w:r>
    </w:p>
    <w:bookmarkEnd w:id="5"/>
    <w:p w14:paraId="3D18BA1A" w14:textId="2C72DDC8" w:rsidR="007965F8" w:rsidRDefault="007965F8" w:rsidP="007965F8">
      <w:pPr>
        <w:ind w:right="-22"/>
        <w:rPr>
          <w:rFonts w:eastAsia="Calibri" w:cs="Times New Roman"/>
          <w:szCs w:val="20"/>
          <w:lang w:val="en-GB"/>
        </w:rPr>
      </w:pPr>
      <w:r w:rsidRPr="007965F8">
        <w:rPr>
          <w:rFonts w:eastAsia="Calibri" w:cs="Times New Roman"/>
          <w:szCs w:val="20"/>
          <w:lang w:val="en-GB"/>
        </w:rPr>
        <w:t>Otherwise, the TCI state is unknown.</w:t>
      </w:r>
    </w:p>
    <w:p w14:paraId="4DB31D85" w14:textId="321BFBB2" w:rsidR="00B6373C" w:rsidRDefault="00B6373C" w:rsidP="007965F8">
      <w:pPr>
        <w:ind w:right="-22"/>
        <w:rPr>
          <w:rFonts w:eastAsia="Calibri" w:cs="Times New Roman"/>
          <w:szCs w:val="20"/>
          <w:lang w:val="en-GB"/>
        </w:rPr>
      </w:pPr>
      <w:r>
        <w:rPr>
          <w:rFonts w:eastAsia="Calibri" w:cs="Times New Roman"/>
          <w:szCs w:val="20"/>
          <w:lang w:val="en-GB"/>
        </w:rPr>
        <w:t>This requirement would be general for all UE types including PC1, PC2, PC3 and PC4.</w:t>
      </w:r>
    </w:p>
    <w:p w14:paraId="1A4B1730" w14:textId="231482FF" w:rsidR="00B6373C" w:rsidRDefault="00B6373C" w:rsidP="00B6373C">
      <w:pPr>
        <w:pStyle w:val="RAN4proposal"/>
      </w:pPr>
      <w:r>
        <w:rPr>
          <w:rFonts w:eastAsia="Calibri" w:cs="Times New Roman"/>
          <w:szCs w:val="20"/>
          <w:lang w:val="en-GB"/>
        </w:rPr>
        <w:t>Known TCI state conditions is applicable for all UE power class types</w:t>
      </w:r>
      <w:r w:rsidRPr="0008612A">
        <w:t>.</w:t>
      </w:r>
    </w:p>
    <w:p w14:paraId="2291429E" w14:textId="77777777" w:rsidR="00AB210C" w:rsidRDefault="00AB210C" w:rsidP="00AB210C">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5B599FD1" w14:textId="77777777" w:rsidR="00010817" w:rsidRDefault="00010817" w:rsidP="005F18E9">
      <w:pPr>
        <w:ind w:right="-22"/>
        <w:rPr>
          <w:rFonts w:eastAsia="Calibri" w:cs="Times New Roman"/>
          <w:szCs w:val="20"/>
          <w:lang w:val="en-GB"/>
        </w:rPr>
      </w:pPr>
    </w:p>
    <w:p w14:paraId="104916C0" w14:textId="6D8E6DF7" w:rsidR="0005132A" w:rsidRPr="008826C1" w:rsidRDefault="0005132A" w:rsidP="0005132A">
      <w:pPr>
        <w:pStyle w:val="RAN4H2"/>
      </w:pPr>
      <w:r w:rsidRPr="005F18E9">
        <w:rPr>
          <w:rFonts w:eastAsia="Calibri"/>
        </w:rPr>
        <w:t>MAC CE based TCI state switch for PDCCH</w:t>
      </w:r>
    </w:p>
    <w:p w14:paraId="018A0972" w14:textId="1D9DA405" w:rsidR="0005132A" w:rsidRDefault="00B6373C" w:rsidP="005F18E9">
      <w:pPr>
        <w:ind w:right="-22"/>
        <w:rPr>
          <w:rFonts w:eastAsia="Calibri" w:cs="Times New Roman"/>
          <w:szCs w:val="20"/>
        </w:rPr>
      </w:pPr>
      <w:r>
        <w:rPr>
          <w:rFonts w:eastAsia="Calibri" w:cs="Times New Roman"/>
          <w:szCs w:val="20"/>
        </w:rPr>
        <w:t>The actual TCI state switch delay for PDCCH would also need to be decided. The WF captured following:</w:t>
      </w:r>
    </w:p>
    <w:p w14:paraId="5BC9CF75" w14:textId="77777777" w:rsidR="00B6373C" w:rsidRPr="00B6373C" w:rsidRDefault="00B6373C" w:rsidP="00B6373C">
      <w:pPr>
        <w:ind w:right="-22"/>
        <w:rPr>
          <w:rFonts w:eastAsia="Calibri" w:cs="Times New Roman"/>
          <w:szCs w:val="20"/>
          <w:lang w:val="en-GB"/>
        </w:rPr>
      </w:pPr>
      <w:r w:rsidRPr="00B6373C">
        <w:rPr>
          <w:rFonts w:eastAsia="Calibri" w:cs="Times New Roman"/>
          <w:szCs w:val="20"/>
          <w:u w:val="single"/>
        </w:rPr>
        <w:t>Agreements</w:t>
      </w:r>
    </w:p>
    <w:p w14:paraId="6828A8F9" w14:textId="77777777" w:rsidR="00E43DC3" w:rsidRPr="00B6373C" w:rsidRDefault="000263F7" w:rsidP="00B6373C">
      <w:pPr>
        <w:numPr>
          <w:ilvl w:val="1"/>
          <w:numId w:val="31"/>
        </w:numPr>
        <w:ind w:right="-22"/>
        <w:rPr>
          <w:rFonts w:eastAsia="Calibri" w:cs="Times New Roman"/>
          <w:szCs w:val="20"/>
          <w:lang w:val="en-GB"/>
        </w:rPr>
      </w:pPr>
      <w:r w:rsidRPr="00B6373C">
        <w:rPr>
          <w:rFonts w:eastAsia="Calibri" w:cs="Times New Roman"/>
          <w:szCs w:val="20"/>
        </w:rPr>
        <w:t>Definition of switching delay: From the slot with PDSCH carrying the activation command to the slot when PDCCH can be received based on new TCI state</w:t>
      </w:r>
    </w:p>
    <w:p w14:paraId="7AE740C1" w14:textId="77777777" w:rsidR="00E43DC3" w:rsidRPr="00B6373C" w:rsidRDefault="000263F7" w:rsidP="00B6373C">
      <w:pPr>
        <w:numPr>
          <w:ilvl w:val="1"/>
          <w:numId w:val="31"/>
        </w:numPr>
        <w:ind w:right="-22"/>
        <w:rPr>
          <w:rFonts w:eastAsia="Calibri" w:cs="Times New Roman"/>
          <w:szCs w:val="20"/>
          <w:lang w:val="en-GB"/>
        </w:rPr>
      </w:pPr>
      <w:r w:rsidRPr="00B6373C">
        <w:rPr>
          <w:rFonts w:eastAsia="Calibri" w:cs="Times New Roman"/>
          <w:szCs w:val="20"/>
        </w:rPr>
        <w:t>For UE supporting Power Class 1</w:t>
      </w:r>
    </w:p>
    <w:p w14:paraId="14AC2653" w14:textId="77777777" w:rsidR="00E43DC3" w:rsidRPr="00B6373C" w:rsidRDefault="000263F7" w:rsidP="00B6373C">
      <w:pPr>
        <w:numPr>
          <w:ilvl w:val="2"/>
          <w:numId w:val="31"/>
        </w:numPr>
        <w:ind w:right="-22"/>
        <w:rPr>
          <w:rFonts w:eastAsia="Calibri" w:cs="Times New Roman"/>
          <w:szCs w:val="20"/>
          <w:lang w:val="en-GB"/>
        </w:rPr>
      </w:pPr>
      <w:r w:rsidRPr="00B6373C">
        <w:rPr>
          <w:rFonts w:eastAsia="Calibri" w:cs="Times New Roman"/>
          <w:szCs w:val="20"/>
        </w:rPr>
        <w:t xml:space="preserve">Requirements are defined for known and </w:t>
      </w:r>
      <w:proofErr w:type="spellStart"/>
      <w:r w:rsidRPr="00B6373C">
        <w:rPr>
          <w:rFonts w:eastAsia="Calibri" w:cs="Times New Roman"/>
          <w:szCs w:val="20"/>
        </w:rPr>
        <w:t>unkown</w:t>
      </w:r>
      <w:proofErr w:type="spellEnd"/>
      <w:r w:rsidRPr="00B6373C">
        <w:rPr>
          <w:rFonts w:eastAsia="Calibri" w:cs="Times New Roman"/>
          <w:szCs w:val="20"/>
        </w:rPr>
        <w:t xml:space="preserve"> TCI state</w:t>
      </w:r>
    </w:p>
    <w:p w14:paraId="2B46FB85" w14:textId="77777777" w:rsidR="00E43DC3" w:rsidRPr="00B6373C" w:rsidRDefault="000263F7" w:rsidP="00B6373C">
      <w:pPr>
        <w:numPr>
          <w:ilvl w:val="2"/>
          <w:numId w:val="31"/>
        </w:numPr>
        <w:ind w:right="-22"/>
        <w:rPr>
          <w:rFonts w:eastAsia="Calibri" w:cs="Times New Roman"/>
          <w:szCs w:val="20"/>
          <w:lang w:val="en-GB"/>
        </w:rPr>
      </w:pPr>
      <w:r w:rsidRPr="00B6373C">
        <w:rPr>
          <w:rFonts w:eastAsia="Calibri" w:cs="Times New Roman"/>
          <w:szCs w:val="20"/>
        </w:rPr>
        <w:t>The switching delay for unknown case may include time for L1-RSRP measurement</w:t>
      </w:r>
    </w:p>
    <w:p w14:paraId="5D2BEE16" w14:textId="77777777" w:rsidR="00E43DC3" w:rsidRPr="00B6373C" w:rsidRDefault="000263F7" w:rsidP="00B6373C">
      <w:pPr>
        <w:numPr>
          <w:ilvl w:val="1"/>
          <w:numId w:val="31"/>
        </w:numPr>
        <w:ind w:right="-22"/>
        <w:rPr>
          <w:rFonts w:eastAsia="Calibri" w:cs="Times New Roman"/>
          <w:szCs w:val="20"/>
          <w:lang w:val="en-GB"/>
        </w:rPr>
      </w:pPr>
      <w:r w:rsidRPr="00B6373C">
        <w:rPr>
          <w:rFonts w:eastAsia="Calibri" w:cs="Times New Roman"/>
          <w:szCs w:val="20"/>
        </w:rPr>
        <w:t>Requirement for switching delay for known case: T</w:t>
      </w:r>
      <w:r w:rsidRPr="00B6373C">
        <w:rPr>
          <w:rFonts w:eastAsia="Calibri" w:cs="Times New Roman"/>
          <w:szCs w:val="20"/>
          <w:vertAlign w:val="subscript"/>
        </w:rPr>
        <w:t>HARQ</w:t>
      </w:r>
      <w:r w:rsidRPr="00B6373C">
        <w:rPr>
          <w:rFonts w:eastAsia="Calibri" w:cs="Times New Roman"/>
          <w:szCs w:val="20"/>
        </w:rPr>
        <w:t xml:space="preserve"> + 3ms</w:t>
      </w:r>
    </w:p>
    <w:p w14:paraId="7959BAD9" w14:textId="77777777" w:rsidR="00B6373C" w:rsidRPr="00B6373C" w:rsidRDefault="00B6373C" w:rsidP="00B6373C">
      <w:pPr>
        <w:ind w:right="-22"/>
        <w:rPr>
          <w:rFonts w:eastAsia="Calibri" w:cs="Times New Roman"/>
          <w:szCs w:val="20"/>
          <w:lang w:val="en-GB"/>
        </w:rPr>
      </w:pPr>
      <w:r w:rsidRPr="00B6373C">
        <w:rPr>
          <w:rFonts w:eastAsia="Calibri" w:cs="Times New Roman"/>
          <w:szCs w:val="20"/>
          <w:u w:val="single"/>
        </w:rPr>
        <w:t>Open Issues</w:t>
      </w:r>
    </w:p>
    <w:p w14:paraId="02621684" w14:textId="77777777" w:rsidR="00E43DC3" w:rsidRPr="00B6373C" w:rsidRDefault="000263F7" w:rsidP="00B6373C">
      <w:pPr>
        <w:numPr>
          <w:ilvl w:val="1"/>
          <w:numId w:val="32"/>
        </w:numPr>
        <w:ind w:right="-22"/>
        <w:rPr>
          <w:rFonts w:eastAsia="Calibri" w:cs="Times New Roman"/>
          <w:szCs w:val="20"/>
          <w:lang w:val="en-GB"/>
        </w:rPr>
      </w:pPr>
      <w:r w:rsidRPr="00B6373C">
        <w:rPr>
          <w:rFonts w:eastAsia="Calibri" w:cs="Times New Roman"/>
          <w:szCs w:val="20"/>
        </w:rPr>
        <w:t>Requirements for known/unknown for UE supporting Power Class 2/3/4</w:t>
      </w:r>
    </w:p>
    <w:p w14:paraId="080666DA" w14:textId="77777777" w:rsidR="00E43DC3" w:rsidRPr="00B6373C" w:rsidRDefault="000263F7" w:rsidP="00B6373C">
      <w:pPr>
        <w:numPr>
          <w:ilvl w:val="2"/>
          <w:numId w:val="32"/>
        </w:numPr>
        <w:ind w:right="-22"/>
        <w:rPr>
          <w:rFonts w:eastAsia="Calibri" w:cs="Times New Roman"/>
          <w:szCs w:val="20"/>
          <w:lang w:val="en-GB"/>
        </w:rPr>
      </w:pPr>
      <w:r w:rsidRPr="00B6373C">
        <w:rPr>
          <w:rFonts w:eastAsia="Calibri" w:cs="Times New Roman"/>
          <w:szCs w:val="20"/>
        </w:rPr>
        <w:lastRenderedPageBreak/>
        <w:t>Option 1: Only unknown</w:t>
      </w:r>
    </w:p>
    <w:p w14:paraId="78A462B4" w14:textId="1FAEC8B2" w:rsidR="00E43DC3" w:rsidRPr="00B6373C" w:rsidRDefault="000263F7" w:rsidP="00B6373C">
      <w:pPr>
        <w:numPr>
          <w:ilvl w:val="2"/>
          <w:numId w:val="32"/>
        </w:numPr>
        <w:ind w:right="-22"/>
        <w:rPr>
          <w:rFonts w:eastAsia="Calibri" w:cs="Times New Roman"/>
          <w:szCs w:val="20"/>
          <w:lang w:val="en-GB"/>
        </w:rPr>
      </w:pPr>
      <w:r w:rsidRPr="00B6373C">
        <w:rPr>
          <w:rFonts w:eastAsia="Calibri" w:cs="Times New Roman"/>
          <w:szCs w:val="20"/>
        </w:rPr>
        <w:t>Option 2: known and unknown</w:t>
      </w:r>
    </w:p>
    <w:p w14:paraId="556B9C59" w14:textId="77777777" w:rsidR="00E43DC3" w:rsidRPr="00B6373C" w:rsidRDefault="000263F7" w:rsidP="00B6373C">
      <w:pPr>
        <w:numPr>
          <w:ilvl w:val="1"/>
          <w:numId w:val="32"/>
        </w:numPr>
        <w:ind w:right="-22"/>
        <w:rPr>
          <w:rFonts w:eastAsia="Calibri" w:cs="Times New Roman"/>
          <w:szCs w:val="20"/>
          <w:lang w:val="en-GB"/>
        </w:rPr>
      </w:pPr>
      <w:r w:rsidRPr="00B6373C">
        <w:rPr>
          <w:rFonts w:eastAsia="Calibri" w:cs="Times New Roman"/>
          <w:szCs w:val="20"/>
        </w:rPr>
        <w:t xml:space="preserve">FFS if RAN4 need to </w:t>
      </w:r>
      <w:proofErr w:type="gramStart"/>
      <w:r w:rsidRPr="00B6373C">
        <w:rPr>
          <w:rFonts w:eastAsia="Calibri" w:cs="Times New Roman"/>
          <w:szCs w:val="20"/>
        </w:rPr>
        <w:t>take into account</w:t>
      </w:r>
      <w:proofErr w:type="gramEnd"/>
      <w:r w:rsidRPr="00B6373C">
        <w:rPr>
          <w:rFonts w:eastAsia="Calibri" w:cs="Times New Roman"/>
          <w:szCs w:val="20"/>
        </w:rPr>
        <w:t xml:space="preserve"> the case that UE never report L1-RSRP or L3-RSRP for target TCI to network before receiving the TCI change command</w:t>
      </w:r>
    </w:p>
    <w:p w14:paraId="3FAD3597" w14:textId="1274ECB3" w:rsidR="00976B4C" w:rsidRDefault="00976B4C" w:rsidP="005F18E9">
      <w:pPr>
        <w:ind w:right="-22"/>
        <w:rPr>
          <w:rFonts w:eastAsia="Calibri" w:cs="Times New Roman"/>
          <w:szCs w:val="20"/>
          <w:lang w:val="en-GB"/>
        </w:rPr>
      </w:pPr>
      <w:r>
        <w:rPr>
          <w:rFonts w:eastAsia="Calibri" w:cs="Times New Roman"/>
          <w:szCs w:val="20"/>
          <w:lang w:val="en-GB"/>
        </w:rPr>
        <w:t>The requirement for the PDCCH switch delay is already captured in RAN1 as 3ms and agreed also in RAN4 for the known TCI state. For the unknown TCI state additional L1-RSRP measurement could be assumed.</w:t>
      </w:r>
    </w:p>
    <w:p w14:paraId="1208A9BF" w14:textId="150FEFAE" w:rsidR="00745963" w:rsidRDefault="00976B4C" w:rsidP="005F18E9">
      <w:pPr>
        <w:ind w:right="-22"/>
        <w:rPr>
          <w:rFonts w:eastAsia="Calibri" w:cs="Times New Roman"/>
          <w:szCs w:val="20"/>
          <w:lang w:val="en-GB"/>
        </w:rPr>
      </w:pPr>
      <w:r>
        <w:rPr>
          <w:rFonts w:eastAsia="Calibri" w:cs="Times New Roman"/>
          <w:szCs w:val="20"/>
          <w:lang w:val="en-GB"/>
        </w:rPr>
        <w:t xml:space="preserve">As the </w:t>
      </w:r>
      <w:r w:rsidR="00745963">
        <w:rPr>
          <w:rFonts w:eastAsia="Calibri" w:cs="Times New Roman"/>
          <w:szCs w:val="20"/>
          <w:lang w:val="en-GB"/>
        </w:rPr>
        <w:t xml:space="preserve">typical case would be that the </w:t>
      </w:r>
      <w:r>
        <w:rPr>
          <w:rFonts w:eastAsia="Calibri" w:cs="Times New Roman"/>
          <w:szCs w:val="20"/>
          <w:lang w:val="en-GB"/>
        </w:rPr>
        <w:t>TCI state</w:t>
      </w:r>
      <w:r w:rsidR="00745963">
        <w:rPr>
          <w:rFonts w:eastAsia="Calibri" w:cs="Times New Roman"/>
          <w:szCs w:val="20"/>
          <w:lang w:val="en-GB"/>
        </w:rPr>
        <w:t xml:space="preserve"> is known. Additionally, the network would not benefit from configuring the UE with a PDCCH TCI state which it would not be able to receive. However, network could e.g. activate a PDCCH TCI state based on network knowledge and network deployment knowing that the UE would be able to receive accordingly. </w:t>
      </w:r>
    </w:p>
    <w:p w14:paraId="2A3D1067" w14:textId="77777777" w:rsidR="00745963" w:rsidRDefault="00745963" w:rsidP="005F18E9">
      <w:pPr>
        <w:ind w:right="-22"/>
        <w:rPr>
          <w:rFonts w:eastAsia="Calibri" w:cs="Times New Roman"/>
          <w:szCs w:val="20"/>
          <w:lang w:val="en-GB"/>
        </w:rPr>
      </w:pPr>
      <w:r>
        <w:rPr>
          <w:rFonts w:eastAsia="Calibri" w:cs="Times New Roman"/>
          <w:szCs w:val="20"/>
          <w:lang w:val="en-GB"/>
        </w:rPr>
        <w:t xml:space="preserve">In some situation the UE may need additional time to perform L1-RSRP. I.e. either SSB based or CSI-RS based L1-RSRP. As Rel-15 assumes that the UE can receive with one panel at a time one measurement occasion should be </w:t>
      </w:r>
      <w:proofErr w:type="gramStart"/>
      <w:r>
        <w:rPr>
          <w:rFonts w:eastAsia="Calibri" w:cs="Times New Roman"/>
          <w:szCs w:val="20"/>
          <w:lang w:val="en-GB"/>
        </w:rPr>
        <w:t>sufficient</w:t>
      </w:r>
      <w:proofErr w:type="gramEnd"/>
      <w:r>
        <w:rPr>
          <w:rFonts w:eastAsia="Calibri" w:cs="Times New Roman"/>
          <w:szCs w:val="20"/>
          <w:lang w:val="en-GB"/>
        </w:rPr>
        <w:t>.</w:t>
      </w:r>
    </w:p>
    <w:p w14:paraId="69FB1165" w14:textId="353E108F" w:rsidR="00745963" w:rsidRDefault="00D2075D" w:rsidP="00745963">
      <w:pPr>
        <w:pStyle w:val="RAN4proposal"/>
      </w:pPr>
      <w:r w:rsidRPr="00B6373C">
        <w:rPr>
          <w:rFonts w:eastAsia="Calibri" w:cs="Times New Roman"/>
          <w:szCs w:val="20"/>
        </w:rPr>
        <w:t xml:space="preserve">The switching delay for </w:t>
      </w:r>
      <w:r>
        <w:rPr>
          <w:rFonts w:eastAsia="Calibri" w:cs="Times New Roman"/>
          <w:szCs w:val="20"/>
        </w:rPr>
        <w:t xml:space="preserve">an </w:t>
      </w:r>
      <w:r w:rsidRPr="00B6373C">
        <w:rPr>
          <w:rFonts w:eastAsia="Calibri" w:cs="Times New Roman"/>
          <w:szCs w:val="20"/>
        </w:rPr>
        <w:t>unknown</w:t>
      </w:r>
      <w:r>
        <w:rPr>
          <w:rFonts w:eastAsia="Calibri" w:cs="Times New Roman"/>
          <w:szCs w:val="20"/>
        </w:rPr>
        <w:t xml:space="preserve"> PDCCH TCI state is one occasion of L1-RSRP</w:t>
      </w:r>
      <w:r w:rsidR="00745963" w:rsidRPr="0008612A">
        <w:t>.</w:t>
      </w:r>
    </w:p>
    <w:p w14:paraId="546DDC3C" w14:textId="24F6919D" w:rsidR="00745963" w:rsidRPr="00D2075D" w:rsidRDefault="00D2075D" w:rsidP="005F18E9">
      <w:pPr>
        <w:ind w:right="-22"/>
        <w:rPr>
          <w:rFonts w:eastAsia="Calibri" w:cs="Times New Roman"/>
          <w:szCs w:val="20"/>
        </w:rPr>
      </w:pPr>
      <w:r>
        <w:rPr>
          <w:rFonts w:eastAsia="Calibri" w:cs="Times New Roman"/>
          <w:szCs w:val="20"/>
        </w:rPr>
        <w:t>The actual delay would then depend on the SSB or CSI-RS configuration for the L1-RSRP for the TCI state.</w:t>
      </w:r>
    </w:p>
    <w:p w14:paraId="43AA1A53" w14:textId="009A6F51" w:rsidR="00B6373C" w:rsidRPr="00B6373C" w:rsidRDefault="00B6373C" w:rsidP="005F18E9">
      <w:pPr>
        <w:ind w:right="-22"/>
        <w:rPr>
          <w:rFonts w:eastAsia="Calibri" w:cs="Times New Roman"/>
          <w:szCs w:val="20"/>
          <w:lang w:val="en-GB"/>
        </w:rPr>
      </w:pPr>
      <w:r>
        <w:rPr>
          <w:rFonts w:eastAsia="Calibri" w:cs="Times New Roman"/>
          <w:szCs w:val="20"/>
          <w:lang w:val="en-GB"/>
        </w:rPr>
        <w:t xml:space="preserve">As argued in last section, the TCI state known condition will be applicable for all UE PC types. Same </w:t>
      </w:r>
      <w:r w:rsidR="00532C7F">
        <w:rPr>
          <w:rFonts w:eastAsia="Calibri" w:cs="Times New Roman"/>
          <w:szCs w:val="20"/>
          <w:lang w:val="en-GB"/>
        </w:rPr>
        <w:t>should apply for the PDCCH TCI switch delay.</w:t>
      </w:r>
    </w:p>
    <w:p w14:paraId="74C089EB" w14:textId="7A40D1E8" w:rsidR="0005132A" w:rsidRDefault="00532C7F" w:rsidP="0005132A">
      <w:pPr>
        <w:pStyle w:val="RAN4proposal"/>
      </w:pPr>
      <w:r>
        <w:rPr>
          <w:rFonts w:eastAsia="Calibri" w:cs="Times New Roman"/>
          <w:szCs w:val="20"/>
          <w:lang w:val="en-GB"/>
        </w:rPr>
        <w:t>the PDCCH TCI switch delay is applicable for all UE power class types</w:t>
      </w:r>
      <w:r w:rsidR="0005132A" w:rsidRPr="0008612A">
        <w:t>.</w:t>
      </w:r>
    </w:p>
    <w:p w14:paraId="3F545D6F" w14:textId="77777777" w:rsidR="00AB210C" w:rsidRDefault="00AB210C" w:rsidP="00AB210C">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32ECBE7C" w14:textId="77777777" w:rsidR="00AB210C" w:rsidRDefault="00AB210C" w:rsidP="005F18E9">
      <w:pPr>
        <w:ind w:right="-22"/>
        <w:rPr>
          <w:rFonts w:eastAsia="Calibri" w:cs="Times New Roman"/>
          <w:szCs w:val="20"/>
          <w:lang w:val="en-GB"/>
        </w:rPr>
      </w:pPr>
    </w:p>
    <w:p w14:paraId="5B0A41FE" w14:textId="69A76AD7" w:rsidR="0005132A" w:rsidRPr="008826C1" w:rsidRDefault="0005132A" w:rsidP="0005132A">
      <w:pPr>
        <w:pStyle w:val="RAN4H2"/>
      </w:pPr>
      <w:r w:rsidRPr="005F18E9">
        <w:rPr>
          <w:rFonts w:eastAsia="Calibri"/>
        </w:rPr>
        <w:t>DCI based TCI state switch for PDSCH</w:t>
      </w:r>
    </w:p>
    <w:p w14:paraId="71C98543" w14:textId="2A735481" w:rsidR="0005132A" w:rsidRDefault="005A353A" w:rsidP="005F18E9">
      <w:pPr>
        <w:ind w:right="-22"/>
        <w:rPr>
          <w:rFonts w:eastAsia="Calibri" w:cs="Times New Roman"/>
          <w:szCs w:val="20"/>
          <w:lang w:val="en-GB"/>
        </w:rPr>
      </w:pPr>
      <w:r>
        <w:rPr>
          <w:rFonts w:eastAsia="Calibri" w:cs="Times New Roman"/>
          <w:szCs w:val="20"/>
          <w:lang w:val="en-GB"/>
        </w:rPr>
        <w:t>For this requirement most was agreed already in Xi’an and only one issue remained open:</w:t>
      </w:r>
    </w:p>
    <w:p w14:paraId="1CADE400" w14:textId="77777777" w:rsidR="005A353A" w:rsidRPr="005A353A" w:rsidRDefault="005A353A" w:rsidP="005A353A">
      <w:pPr>
        <w:ind w:right="-22"/>
        <w:rPr>
          <w:rFonts w:eastAsia="Calibri" w:cs="Times New Roman"/>
          <w:szCs w:val="20"/>
          <w:lang w:val="en-GB"/>
        </w:rPr>
      </w:pPr>
      <w:r w:rsidRPr="005A353A">
        <w:rPr>
          <w:rFonts w:eastAsia="Calibri" w:cs="Times New Roman"/>
          <w:szCs w:val="20"/>
          <w:u w:val="single"/>
        </w:rPr>
        <w:t>Agreements</w:t>
      </w:r>
    </w:p>
    <w:p w14:paraId="5610A12D" w14:textId="77777777" w:rsidR="00E43DC3" w:rsidRPr="005A353A" w:rsidRDefault="000263F7" w:rsidP="005A353A">
      <w:pPr>
        <w:numPr>
          <w:ilvl w:val="1"/>
          <w:numId w:val="33"/>
        </w:numPr>
        <w:ind w:right="-22"/>
        <w:rPr>
          <w:rFonts w:eastAsia="Calibri" w:cs="Times New Roman"/>
          <w:szCs w:val="20"/>
          <w:lang w:val="en-GB"/>
        </w:rPr>
      </w:pPr>
      <w:r w:rsidRPr="005A353A">
        <w:rPr>
          <w:rFonts w:eastAsia="Calibri" w:cs="Times New Roman"/>
          <w:szCs w:val="20"/>
        </w:rPr>
        <w:t>Definition of switching delay: From the last symbol of PDCCH to first symbol of PDSCH</w:t>
      </w:r>
    </w:p>
    <w:p w14:paraId="570418A2" w14:textId="77777777" w:rsidR="00E43DC3" w:rsidRPr="005A353A" w:rsidRDefault="000263F7" w:rsidP="005A353A">
      <w:pPr>
        <w:numPr>
          <w:ilvl w:val="1"/>
          <w:numId w:val="33"/>
        </w:numPr>
        <w:ind w:right="-22"/>
        <w:rPr>
          <w:rFonts w:eastAsia="Calibri" w:cs="Times New Roman"/>
          <w:szCs w:val="20"/>
          <w:lang w:val="en-GB"/>
        </w:rPr>
      </w:pPr>
      <w:r w:rsidRPr="005A353A">
        <w:rPr>
          <w:rFonts w:eastAsia="Calibri" w:cs="Times New Roman"/>
          <w:szCs w:val="20"/>
        </w:rPr>
        <w:t xml:space="preserve">For UE supporting Power Class 1 </w:t>
      </w:r>
    </w:p>
    <w:p w14:paraId="5331DE29" w14:textId="77777777" w:rsidR="00E43DC3" w:rsidRPr="005A353A" w:rsidRDefault="000263F7" w:rsidP="005A353A">
      <w:pPr>
        <w:numPr>
          <w:ilvl w:val="2"/>
          <w:numId w:val="33"/>
        </w:numPr>
        <w:ind w:right="-22"/>
        <w:rPr>
          <w:rFonts w:eastAsia="Calibri" w:cs="Times New Roman"/>
          <w:szCs w:val="20"/>
          <w:lang w:val="en-GB"/>
        </w:rPr>
      </w:pPr>
      <w:r w:rsidRPr="005A353A">
        <w:rPr>
          <w:rFonts w:eastAsia="Calibri" w:cs="Times New Roman"/>
          <w:szCs w:val="20"/>
        </w:rPr>
        <w:t>Requirements are defined for known TCI state</w:t>
      </w:r>
    </w:p>
    <w:p w14:paraId="3B24A688" w14:textId="77777777" w:rsidR="00E43DC3" w:rsidRPr="005A353A" w:rsidRDefault="000263F7" w:rsidP="005A353A">
      <w:pPr>
        <w:numPr>
          <w:ilvl w:val="2"/>
          <w:numId w:val="33"/>
        </w:numPr>
        <w:ind w:right="-22"/>
        <w:rPr>
          <w:rFonts w:eastAsia="Calibri" w:cs="Times New Roman"/>
          <w:szCs w:val="20"/>
          <w:lang w:val="en-GB"/>
        </w:rPr>
      </w:pPr>
      <w:r w:rsidRPr="005A353A">
        <w:rPr>
          <w:rFonts w:eastAsia="Calibri" w:cs="Times New Roman"/>
          <w:szCs w:val="20"/>
        </w:rPr>
        <w:t>No requirements for unknown TCI state</w:t>
      </w:r>
    </w:p>
    <w:p w14:paraId="08158EDE" w14:textId="77777777" w:rsidR="00E43DC3" w:rsidRPr="005A353A" w:rsidRDefault="000263F7" w:rsidP="005A353A">
      <w:pPr>
        <w:numPr>
          <w:ilvl w:val="1"/>
          <w:numId w:val="33"/>
        </w:numPr>
        <w:ind w:right="-22"/>
        <w:rPr>
          <w:rFonts w:eastAsia="Calibri" w:cs="Times New Roman"/>
          <w:szCs w:val="20"/>
          <w:lang w:val="en-GB"/>
        </w:rPr>
      </w:pPr>
      <w:r w:rsidRPr="005A353A">
        <w:rPr>
          <w:rFonts w:eastAsia="Calibri" w:cs="Times New Roman"/>
          <w:szCs w:val="20"/>
        </w:rPr>
        <w:t xml:space="preserve">Requirement for switching delay for known TCI state: UE capability for </w:t>
      </w:r>
      <w:proofErr w:type="spellStart"/>
      <w:r w:rsidRPr="005A353A">
        <w:rPr>
          <w:rFonts w:eastAsia="Calibri" w:cs="Times New Roman"/>
          <w:i/>
          <w:iCs/>
          <w:szCs w:val="20"/>
        </w:rPr>
        <w:t>timeDurationForQCL</w:t>
      </w:r>
      <w:proofErr w:type="spellEnd"/>
      <w:r w:rsidRPr="005A353A">
        <w:rPr>
          <w:rFonts w:eastAsia="Calibri" w:cs="Times New Roman"/>
          <w:i/>
          <w:iCs/>
          <w:szCs w:val="20"/>
        </w:rPr>
        <w:t xml:space="preserve"> </w:t>
      </w:r>
    </w:p>
    <w:p w14:paraId="3E169DDC" w14:textId="77777777" w:rsidR="00E43DC3" w:rsidRPr="005A353A" w:rsidRDefault="000263F7" w:rsidP="005A353A">
      <w:pPr>
        <w:numPr>
          <w:ilvl w:val="1"/>
          <w:numId w:val="33"/>
        </w:numPr>
        <w:ind w:right="-22"/>
        <w:rPr>
          <w:rFonts w:eastAsia="Calibri" w:cs="Times New Roman"/>
          <w:szCs w:val="20"/>
          <w:lang w:val="en-GB"/>
        </w:rPr>
      </w:pPr>
      <w:r w:rsidRPr="005A353A">
        <w:rPr>
          <w:rFonts w:eastAsia="Calibri" w:cs="Times New Roman"/>
          <w:szCs w:val="20"/>
        </w:rPr>
        <w:t>In RRM test for DCI based TCI state switch, PDSCH is always scheduled with lowest MCS for new TCI state</w:t>
      </w:r>
    </w:p>
    <w:p w14:paraId="04B2D824" w14:textId="77777777" w:rsidR="005A353A" w:rsidRPr="005A353A" w:rsidRDefault="005A353A" w:rsidP="005A353A">
      <w:pPr>
        <w:ind w:right="-22"/>
        <w:rPr>
          <w:rFonts w:eastAsia="Calibri" w:cs="Times New Roman"/>
          <w:szCs w:val="20"/>
          <w:lang w:val="en-GB"/>
        </w:rPr>
      </w:pPr>
      <w:r w:rsidRPr="005A353A">
        <w:rPr>
          <w:rFonts w:eastAsia="Calibri" w:cs="Times New Roman"/>
          <w:szCs w:val="20"/>
          <w:u w:val="single"/>
        </w:rPr>
        <w:t>Open Issues</w:t>
      </w:r>
    </w:p>
    <w:p w14:paraId="5C1AA109" w14:textId="52A877D0" w:rsidR="00E43DC3" w:rsidRPr="005A353A" w:rsidRDefault="000263F7" w:rsidP="005A353A">
      <w:pPr>
        <w:numPr>
          <w:ilvl w:val="1"/>
          <w:numId w:val="34"/>
        </w:numPr>
        <w:ind w:right="-22"/>
        <w:rPr>
          <w:rFonts w:eastAsia="Calibri" w:cs="Times New Roman"/>
          <w:szCs w:val="20"/>
          <w:lang w:val="en-GB"/>
        </w:rPr>
      </w:pPr>
      <w:r w:rsidRPr="005A353A">
        <w:rPr>
          <w:rFonts w:eastAsia="Calibri" w:cs="Times New Roman"/>
          <w:szCs w:val="20"/>
        </w:rPr>
        <w:t>FFS for UE supporting Power Class 2/3/4</w:t>
      </w:r>
    </w:p>
    <w:p w14:paraId="257DB4A7" w14:textId="3BDB06CC" w:rsidR="005A353A" w:rsidRDefault="001C049B" w:rsidP="005F18E9">
      <w:pPr>
        <w:ind w:right="-22"/>
        <w:rPr>
          <w:rFonts w:eastAsia="Calibri" w:cs="Times New Roman"/>
          <w:szCs w:val="20"/>
          <w:lang w:val="en-GB"/>
        </w:rPr>
      </w:pPr>
      <w:r>
        <w:rPr>
          <w:rFonts w:eastAsia="Calibri" w:cs="Times New Roman"/>
          <w:szCs w:val="20"/>
          <w:lang w:val="en-GB"/>
        </w:rPr>
        <w:t>The already agreed requirement is clear and based on the RAN1 requirements. As argued in in the former sections, the TCI state known condition will need to be applicable for all UE PC types. The same will need to apply for the PDSCH TCI switch delay</w:t>
      </w:r>
    </w:p>
    <w:p w14:paraId="0E7ADCD7" w14:textId="2276F4FA" w:rsidR="0005132A" w:rsidRDefault="001C049B" w:rsidP="0005132A">
      <w:pPr>
        <w:pStyle w:val="RAN4proposal"/>
      </w:pPr>
      <w:r>
        <w:t xml:space="preserve">The </w:t>
      </w:r>
      <w:r w:rsidRPr="005F18E9">
        <w:rPr>
          <w:rFonts w:eastAsia="Calibri" w:cs="Times New Roman"/>
          <w:szCs w:val="20"/>
        </w:rPr>
        <w:t>DCI based TCI state switch for PDSCH</w:t>
      </w:r>
      <w:r>
        <w:rPr>
          <w:rFonts w:eastAsia="Calibri" w:cs="Times New Roman"/>
          <w:szCs w:val="20"/>
        </w:rPr>
        <w:t xml:space="preserve"> applies for </w:t>
      </w:r>
      <w:r>
        <w:rPr>
          <w:rFonts w:eastAsia="Calibri" w:cs="Times New Roman"/>
          <w:szCs w:val="20"/>
          <w:lang w:val="en-GB"/>
        </w:rPr>
        <w:t>all UE power class types</w:t>
      </w:r>
      <w:r w:rsidR="0005132A" w:rsidRPr="0008612A">
        <w:t>.</w:t>
      </w:r>
    </w:p>
    <w:p w14:paraId="167BBF0A" w14:textId="6F7D6519" w:rsidR="0005132A" w:rsidRPr="001C049B" w:rsidRDefault="001C049B" w:rsidP="005F18E9">
      <w:pPr>
        <w:ind w:right="-22"/>
        <w:rPr>
          <w:rFonts w:eastAsia="Calibri" w:cs="Times New Roman"/>
          <w:szCs w:val="20"/>
        </w:rPr>
      </w:pPr>
      <w:r>
        <w:rPr>
          <w:rFonts w:eastAsia="Calibri" w:cs="Times New Roman"/>
          <w:szCs w:val="20"/>
        </w:rPr>
        <w:t>Additionally, we do not believe there would need to be any restrictions on the MCS used for the new PDSCH TCI state</w:t>
      </w:r>
      <w:r w:rsidR="00EC3BC6">
        <w:rPr>
          <w:rFonts w:eastAsia="Calibri" w:cs="Times New Roman"/>
          <w:szCs w:val="20"/>
        </w:rPr>
        <w:t>. Having such assumption could have significant impact on the overall system performance.</w:t>
      </w:r>
    </w:p>
    <w:p w14:paraId="75D0434B" w14:textId="49A65B35" w:rsidR="00EC3BC6" w:rsidRDefault="00EC3BC6" w:rsidP="00EC3BC6">
      <w:pPr>
        <w:pStyle w:val="RAN4proposal"/>
      </w:pPr>
      <w:r>
        <w:t>At least for device types PC2 -PC4 there is no restrictions on the MCS used for the new PDSCH TCI state</w:t>
      </w:r>
      <w:r w:rsidRPr="0008612A">
        <w:t>.</w:t>
      </w:r>
    </w:p>
    <w:p w14:paraId="40CB006E" w14:textId="288A2675" w:rsidR="00EC3BC6" w:rsidRDefault="00EC3BC6" w:rsidP="00EC3BC6">
      <w:pPr>
        <w:pStyle w:val="RAN4proposal"/>
      </w:pPr>
      <w:r>
        <w:lastRenderedPageBreak/>
        <w:t>No restrictions in the MCS used for the new PDSCH TCI state for PC1 device type</w:t>
      </w:r>
      <w:r w:rsidRPr="0008612A">
        <w:t>.</w:t>
      </w:r>
    </w:p>
    <w:p w14:paraId="6B6802D3" w14:textId="77777777" w:rsidR="00AB210C" w:rsidRDefault="00AB210C" w:rsidP="00AB210C">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58A15872" w14:textId="77777777" w:rsidR="00EC3BC6" w:rsidRPr="00AB210C" w:rsidRDefault="00EC3BC6" w:rsidP="005F18E9">
      <w:pPr>
        <w:ind w:right="-22"/>
        <w:rPr>
          <w:rFonts w:eastAsia="Calibri" w:cs="Times New Roman"/>
          <w:szCs w:val="20"/>
          <w:lang w:val="en-GB"/>
        </w:rPr>
      </w:pPr>
    </w:p>
    <w:p w14:paraId="61B15854" w14:textId="60589BE6" w:rsidR="0005132A" w:rsidRPr="008826C1" w:rsidRDefault="0005132A" w:rsidP="0005132A">
      <w:pPr>
        <w:pStyle w:val="RAN4H2"/>
      </w:pPr>
      <w:r w:rsidRPr="005F18E9">
        <w:rPr>
          <w:rFonts w:eastAsia="Calibri"/>
        </w:rPr>
        <w:t>Requirements for RRC based TCI state switch</w:t>
      </w:r>
    </w:p>
    <w:p w14:paraId="0FD7B7C2" w14:textId="174243B1" w:rsidR="0005132A" w:rsidRDefault="00023B32" w:rsidP="005F18E9">
      <w:pPr>
        <w:ind w:right="-22"/>
        <w:rPr>
          <w:rFonts w:eastAsia="Calibri" w:cs="Times New Roman"/>
          <w:szCs w:val="20"/>
          <w:lang w:val="en-GB"/>
        </w:rPr>
      </w:pPr>
      <w:r>
        <w:rPr>
          <w:rFonts w:eastAsia="Calibri" w:cs="Times New Roman"/>
          <w:szCs w:val="20"/>
          <w:lang w:val="en-GB"/>
        </w:rPr>
        <w:t>In last RAN4 meeting it was also discussed and decided to introduce requirements for RRC based TCI state switch.</w:t>
      </w:r>
      <w:r w:rsidR="00817733">
        <w:rPr>
          <w:rFonts w:eastAsia="Calibri" w:cs="Times New Roman"/>
          <w:szCs w:val="20"/>
          <w:lang w:val="en-GB"/>
        </w:rPr>
        <w:t xml:space="preserve"> In this case </w:t>
      </w:r>
      <w:proofErr w:type="spellStart"/>
      <w:r w:rsidR="00817733">
        <w:rPr>
          <w:rFonts w:eastAsia="Calibri" w:cs="Times New Roman"/>
          <w:szCs w:val="20"/>
          <w:lang w:val="en-GB"/>
        </w:rPr>
        <w:t>thre</w:t>
      </w:r>
      <w:proofErr w:type="spellEnd"/>
      <w:r w:rsidR="00817733">
        <w:rPr>
          <w:rFonts w:eastAsia="Calibri" w:cs="Times New Roman"/>
          <w:szCs w:val="20"/>
          <w:lang w:val="en-GB"/>
        </w:rPr>
        <w:t xml:space="preserve"> would only be one TCI state configured and hence it is clear to the UE which TCI state to apply. Therefore, there is no need for a MAC activation or DCI activation of the TCI state.</w:t>
      </w:r>
    </w:p>
    <w:p w14:paraId="3400A18C" w14:textId="1D52FF26" w:rsidR="00817733" w:rsidRDefault="00817733" w:rsidP="005F18E9">
      <w:pPr>
        <w:ind w:right="-22"/>
        <w:rPr>
          <w:rFonts w:eastAsia="Calibri" w:cs="Times New Roman"/>
          <w:szCs w:val="20"/>
          <w:lang w:val="en-GB"/>
        </w:rPr>
      </w:pPr>
      <w:r>
        <w:rPr>
          <w:rFonts w:eastAsia="Calibri" w:cs="Times New Roman"/>
          <w:szCs w:val="20"/>
          <w:lang w:val="en-GB"/>
        </w:rPr>
        <w:t xml:space="preserve">In this case it seems reasonable to assume that the UE delay for changing the TCI state is the same as the RRC processing delay and the worst case of applying the TCI state – as discussed and agreed. I.e. for a known TCI </w:t>
      </w:r>
      <w:r w:rsidR="00764E8A">
        <w:rPr>
          <w:rFonts w:eastAsia="Calibri" w:cs="Times New Roman"/>
          <w:szCs w:val="20"/>
          <w:lang w:val="en-GB"/>
        </w:rPr>
        <w:t>state,</w:t>
      </w:r>
      <w:r>
        <w:rPr>
          <w:rFonts w:eastAsia="Calibri" w:cs="Times New Roman"/>
          <w:szCs w:val="20"/>
          <w:lang w:val="en-GB"/>
        </w:rPr>
        <w:t xml:space="preserve"> the RRC based TCI state switch could be expressed as:</w:t>
      </w:r>
    </w:p>
    <w:p w14:paraId="343C3F36" w14:textId="10F59DF6" w:rsidR="00817733" w:rsidRDefault="00817733" w:rsidP="00817733">
      <w:pPr>
        <w:ind w:left="360" w:right="-22"/>
        <w:rPr>
          <w:rFonts w:eastAsia="Calibri" w:cs="Times New Roman"/>
          <w:szCs w:val="20"/>
          <w:lang w:val="en-GB"/>
        </w:rPr>
      </w:pPr>
      <w:bookmarkStart w:id="6" w:name="_Hlk7763585"/>
      <w:bookmarkStart w:id="7" w:name="_Hlk7763685"/>
      <w:proofErr w:type="spellStart"/>
      <w:r>
        <w:rPr>
          <w:rFonts w:eastAsia="Calibri" w:cs="Times New Roman"/>
          <w:szCs w:val="20"/>
          <w:lang w:val="en-GB"/>
        </w:rPr>
        <w:t>T</w:t>
      </w:r>
      <w:r w:rsidRPr="00817733">
        <w:rPr>
          <w:rFonts w:eastAsia="Calibri" w:cs="Times New Roman"/>
          <w:szCs w:val="20"/>
          <w:vertAlign w:val="subscript"/>
          <w:lang w:val="en-GB"/>
        </w:rPr>
        <w:t>TCI_Delay_RRC</w:t>
      </w:r>
      <w:bookmarkEnd w:id="6"/>
      <w:proofErr w:type="spellEnd"/>
      <w:r>
        <w:rPr>
          <w:rFonts w:eastAsia="Calibri" w:cs="Times New Roman"/>
          <w:szCs w:val="20"/>
          <w:lang w:val="en-GB"/>
        </w:rPr>
        <w:t xml:space="preserve"> = </w:t>
      </w:r>
      <w:proofErr w:type="spellStart"/>
      <w:r w:rsidR="00764E8A">
        <w:rPr>
          <w:rFonts w:eastAsia="Calibri" w:cs="Times New Roman"/>
          <w:szCs w:val="20"/>
          <w:lang w:val="en-GB"/>
        </w:rPr>
        <w:t>T</w:t>
      </w:r>
      <w:r w:rsidR="00764E8A" w:rsidRPr="00764E8A">
        <w:rPr>
          <w:rFonts w:eastAsia="Calibri" w:cs="Times New Roman"/>
          <w:szCs w:val="20"/>
          <w:vertAlign w:val="subscript"/>
          <w:lang w:val="en-GB"/>
        </w:rPr>
        <w:t>RRC_</w:t>
      </w:r>
      <w:r w:rsidR="00764E8A">
        <w:rPr>
          <w:rFonts w:eastAsia="Calibri" w:cs="Times New Roman"/>
          <w:szCs w:val="20"/>
          <w:vertAlign w:val="subscript"/>
          <w:lang w:val="en-GB"/>
        </w:rPr>
        <w:t>d</w:t>
      </w:r>
      <w:r w:rsidR="00764E8A" w:rsidRPr="00764E8A">
        <w:rPr>
          <w:rFonts w:eastAsia="Calibri" w:cs="Times New Roman"/>
          <w:szCs w:val="20"/>
          <w:vertAlign w:val="subscript"/>
          <w:lang w:val="en-GB"/>
        </w:rPr>
        <w:t>elay</w:t>
      </w:r>
      <w:proofErr w:type="spellEnd"/>
      <w:r w:rsidR="00764E8A">
        <w:rPr>
          <w:rFonts w:eastAsia="Calibri" w:cs="Times New Roman"/>
          <w:szCs w:val="20"/>
          <w:lang w:val="en-GB"/>
        </w:rPr>
        <w:t xml:space="preserve"> + </w:t>
      </w:r>
      <w:r w:rsidR="00764E8A">
        <w:rPr>
          <w:szCs w:val="20"/>
        </w:rPr>
        <w:t xml:space="preserve">3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m:rPr>
                <m:sty m:val="p"/>
              </m:rPr>
              <w:rPr>
                <w:rFonts w:ascii="Cambria Math" w:hAnsi="Cambria Math"/>
              </w:rPr>
              <m:t>subframe,μ</m:t>
            </m:r>
          </m:sup>
        </m:sSubSup>
      </m:oMath>
      <w:r w:rsidR="00764E8A">
        <w:rPr>
          <w:szCs w:val="20"/>
        </w:rPr>
        <w:t xml:space="preserve"> </w:t>
      </w:r>
      <w:r w:rsidR="00764E8A">
        <w:rPr>
          <w:rFonts w:cs="Times New Roman"/>
          <w:szCs w:val="20"/>
        </w:rPr>
        <w:t>+ 1</w:t>
      </w:r>
    </w:p>
    <w:bookmarkEnd w:id="7"/>
    <w:p w14:paraId="06D1BE58" w14:textId="71DEA15C" w:rsidR="0005132A" w:rsidRDefault="00764E8A" w:rsidP="005F18E9">
      <w:pPr>
        <w:ind w:right="-22"/>
        <w:rPr>
          <w:rFonts w:eastAsia="Calibri" w:cs="Times New Roman"/>
          <w:szCs w:val="20"/>
          <w:lang w:val="en-GB"/>
        </w:rPr>
      </w:pPr>
      <w:r>
        <w:rPr>
          <w:rFonts w:eastAsia="Calibri" w:cs="Times New Roman"/>
          <w:szCs w:val="20"/>
          <w:lang w:val="en-GB"/>
        </w:rPr>
        <w:t>where:</w:t>
      </w:r>
    </w:p>
    <w:p w14:paraId="04E1473A" w14:textId="14130762" w:rsidR="00764E8A" w:rsidRDefault="00764E8A" w:rsidP="00764E8A">
      <w:pPr>
        <w:ind w:left="360" w:right="-22"/>
        <w:rPr>
          <w:rFonts w:eastAsia="Calibri" w:cs="Times New Roman"/>
          <w:szCs w:val="20"/>
          <w:lang w:val="en-GB"/>
        </w:rPr>
      </w:pPr>
      <w:bookmarkStart w:id="8" w:name="_Hlk7763622"/>
      <w:proofErr w:type="spellStart"/>
      <w:r w:rsidRPr="00764E8A">
        <w:rPr>
          <w:rFonts w:eastAsia="Calibri" w:cs="Times New Roman"/>
          <w:szCs w:val="20"/>
          <w:lang w:val="en-GB"/>
        </w:rPr>
        <w:t>T</w:t>
      </w:r>
      <w:r w:rsidRPr="00764E8A">
        <w:rPr>
          <w:rFonts w:eastAsia="Calibri" w:cs="Times New Roman"/>
          <w:szCs w:val="20"/>
          <w:vertAlign w:val="subscript"/>
          <w:lang w:val="en-GB"/>
        </w:rPr>
        <w:t>RRC_delay</w:t>
      </w:r>
      <w:proofErr w:type="spellEnd"/>
      <w:r w:rsidRPr="00764E8A">
        <w:rPr>
          <w:rFonts w:eastAsia="Calibri" w:cs="Times New Roman"/>
          <w:szCs w:val="20"/>
          <w:lang w:val="en-GB"/>
        </w:rPr>
        <w:t xml:space="preserve"> is the RRC procedure delay as specified in [2].</w:t>
      </w:r>
    </w:p>
    <w:bookmarkEnd w:id="8"/>
    <w:p w14:paraId="24C8E293" w14:textId="4ED95924" w:rsidR="00764E8A" w:rsidRDefault="00764E8A" w:rsidP="00764E8A">
      <w:pPr>
        <w:ind w:right="-22"/>
        <w:rPr>
          <w:rFonts w:eastAsia="Calibri" w:cs="Times New Roman"/>
          <w:szCs w:val="20"/>
          <w:lang w:val="en-GB"/>
        </w:rPr>
      </w:pPr>
      <w:r>
        <w:rPr>
          <w:rFonts w:eastAsia="Calibri" w:cs="Times New Roman"/>
          <w:szCs w:val="20"/>
          <w:lang w:val="en-GB"/>
        </w:rPr>
        <w:t>After which the RRC configured TCI state shall be applied by the UE.</w:t>
      </w:r>
    </w:p>
    <w:p w14:paraId="796F1547" w14:textId="27F282C6" w:rsidR="0005132A" w:rsidRDefault="00FC7956" w:rsidP="0005132A">
      <w:pPr>
        <w:pStyle w:val="RAN4proposal"/>
      </w:pPr>
      <w:r>
        <w:t xml:space="preserve">RRC configured TCI state switch delay is defined as </w:t>
      </w:r>
      <w:proofErr w:type="spellStart"/>
      <w:r>
        <w:rPr>
          <w:rFonts w:eastAsia="Calibri" w:cs="Times New Roman"/>
          <w:szCs w:val="20"/>
          <w:lang w:val="en-GB"/>
        </w:rPr>
        <w:t>T</w:t>
      </w:r>
      <w:r w:rsidRPr="00817733">
        <w:rPr>
          <w:rFonts w:eastAsia="Calibri" w:cs="Times New Roman"/>
          <w:szCs w:val="20"/>
          <w:vertAlign w:val="subscript"/>
          <w:lang w:val="en-GB"/>
        </w:rPr>
        <w:t>TCI_Delay_RRC</w:t>
      </w:r>
      <w:proofErr w:type="spellEnd"/>
      <w:r>
        <w:rPr>
          <w:rFonts w:eastAsia="Calibri" w:cs="Times New Roman"/>
          <w:szCs w:val="20"/>
          <w:lang w:val="en-GB"/>
        </w:rPr>
        <w:t xml:space="preserve"> = </w:t>
      </w:r>
      <w:proofErr w:type="spellStart"/>
      <w:r>
        <w:rPr>
          <w:rFonts w:eastAsia="Calibri" w:cs="Times New Roman"/>
          <w:szCs w:val="20"/>
          <w:lang w:val="en-GB"/>
        </w:rPr>
        <w:t>T</w:t>
      </w:r>
      <w:r w:rsidRPr="00764E8A">
        <w:rPr>
          <w:rFonts w:eastAsia="Calibri" w:cs="Times New Roman"/>
          <w:szCs w:val="20"/>
          <w:vertAlign w:val="subscript"/>
          <w:lang w:val="en-GB"/>
        </w:rPr>
        <w:t>RRC_</w:t>
      </w:r>
      <w:r>
        <w:rPr>
          <w:rFonts w:eastAsia="Calibri" w:cs="Times New Roman"/>
          <w:szCs w:val="20"/>
          <w:vertAlign w:val="subscript"/>
          <w:lang w:val="en-GB"/>
        </w:rPr>
        <w:t>d</w:t>
      </w:r>
      <w:r w:rsidRPr="00764E8A">
        <w:rPr>
          <w:rFonts w:eastAsia="Calibri" w:cs="Times New Roman"/>
          <w:szCs w:val="20"/>
          <w:vertAlign w:val="subscript"/>
          <w:lang w:val="en-GB"/>
        </w:rPr>
        <w:t>elay</w:t>
      </w:r>
      <w:proofErr w:type="spellEnd"/>
      <w:r>
        <w:rPr>
          <w:rFonts w:eastAsia="Calibri" w:cs="Times New Roman"/>
          <w:szCs w:val="20"/>
          <w:lang w:val="en-GB"/>
        </w:rPr>
        <w:t xml:space="preserve"> + </w:t>
      </w:r>
      <w:r>
        <w:rPr>
          <w:szCs w:val="20"/>
        </w:rPr>
        <w:t xml:space="preserve">3 </w:t>
      </w:r>
      <m:oMath>
        <m:sSubSup>
          <m:sSubSupPr>
            <m:ctrlPr>
              <w:rPr>
                <w:rFonts w:ascii="Cambria Math" w:hAnsi="Cambria Math"/>
                <w:b w:val="0"/>
                <w:i/>
                <w:iCs w:val="0"/>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
              </m:rPr>
              <w:rPr>
                <w:rFonts w:ascii="Cambria Math" w:hAnsi="Cambria Math"/>
              </w:rPr>
              <m:t>subframe,μ</m:t>
            </m:r>
          </m:sup>
        </m:sSubSup>
      </m:oMath>
      <w:r>
        <w:rPr>
          <w:szCs w:val="20"/>
        </w:rPr>
        <w:t xml:space="preserve"> </w:t>
      </w:r>
      <w:r>
        <w:rPr>
          <w:rFonts w:cs="Times New Roman"/>
          <w:szCs w:val="20"/>
        </w:rPr>
        <w:t>+ 1</w:t>
      </w:r>
      <w:r w:rsidR="0005132A" w:rsidRPr="0008612A">
        <w:t>.</w:t>
      </w:r>
    </w:p>
    <w:p w14:paraId="43493AF8" w14:textId="77777777" w:rsidR="00AB210C" w:rsidRDefault="00AB210C" w:rsidP="00AB210C">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2AE2BE97" w14:textId="77777777" w:rsidR="00764E8A" w:rsidRDefault="00764E8A" w:rsidP="005F18E9">
      <w:pPr>
        <w:ind w:right="-22"/>
        <w:rPr>
          <w:rFonts w:eastAsia="Calibri" w:cs="Times New Roman"/>
          <w:szCs w:val="20"/>
          <w:lang w:val="en-GB"/>
        </w:rPr>
      </w:pPr>
    </w:p>
    <w:p w14:paraId="3EE83B99" w14:textId="7A4A7FE4" w:rsidR="0005132A" w:rsidRPr="008826C1" w:rsidRDefault="0005132A" w:rsidP="0005132A">
      <w:pPr>
        <w:pStyle w:val="RAN4H2"/>
      </w:pPr>
      <w:r w:rsidRPr="005F18E9">
        <w:rPr>
          <w:rFonts w:eastAsia="Calibri"/>
        </w:rPr>
        <w:t>Interruption due to TCI state switch</w:t>
      </w:r>
    </w:p>
    <w:p w14:paraId="3FB5DCE6" w14:textId="5D7B4C67" w:rsidR="0005132A" w:rsidRDefault="00913B68" w:rsidP="005F18E9">
      <w:pPr>
        <w:ind w:right="-22"/>
        <w:rPr>
          <w:rFonts w:eastAsia="Calibri" w:cs="Times New Roman"/>
          <w:szCs w:val="20"/>
          <w:lang w:val="en-GB"/>
        </w:rPr>
      </w:pPr>
      <w:r>
        <w:rPr>
          <w:rFonts w:eastAsia="Calibri" w:cs="Times New Roman"/>
          <w:szCs w:val="20"/>
          <w:lang w:val="en-GB"/>
        </w:rPr>
        <w:t xml:space="preserve">The WF </w:t>
      </w:r>
      <w:r w:rsidR="006E499F">
        <w:rPr>
          <w:rFonts w:eastAsia="Calibri" w:cs="Times New Roman"/>
          <w:szCs w:val="20"/>
          <w:lang w:val="en-GB"/>
        </w:rPr>
        <w:t>states:</w:t>
      </w:r>
    </w:p>
    <w:p w14:paraId="42258B9C" w14:textId="77777777" w:rsidR="006E499F" w:rsidRPr="006E499F" w:rsidRDefault="006E499F" w:rsidP="006E499F">
      <w:pPr>
        <w:ind w:right="-22"/>
        <w:rPr>
          <w:rFonts w:eastAsia="Calibri" w:cs="Times New Roman"/>
          <w:szCs w:val="20"/>
          <w:lang w:val="en-GB"/>
        </w:rPr>
      </w:pPr>
      <w:r w:rsidRPr="006E499F">
        <w:rPr>
          <w:rFonts w:eastAsia="Calibri" w:cs="Times New Roman"/>
          <w:szCs w:val="20"/>
          <w:u w:val="single"/>
        </w:rPr>
        <w:t>Agreements</w:t>
      </w:r>
    </w:p>
    <w:p w14:paraId="3569B3AB" w14:textId="77777777" w:rsidR="00E43DC3" w:rsidRPr="006E499F" w:rsidRDefault="000263F7" w:rsidP="006E499F">
      <w:pPr>
        <w:numPr>
          <w:ilvl w:val="1"/>
          <w:numId w:val="36"/>
        </w:numPr>
        <w:ind w:right="-22"/>
        <w:rPr>
          <w:rFonts w:eastAsia="Calibri" w:cs="Times New Roman"/>
          <w:szCs w:val="20"/>
          <w:lang w:val="en-GB"/>
        </w:rPr>
      </w:pPr>
      <w:r w:rsidRPr="006E499F">
        <w:rPr>
          <w:rFonts w:eastAsia="Calibri" w:cs="Times New Roman"/>
          <w:szCs w:val="20"/>
          <w:lang w:val="en-GB"/>
        </w:rPr>
        <w:t>No interruption allowed due to DCI based TCI switching except for intra-band non-contiguous CA case</w:t>
      </w:r>
    </w:p>
    <w:p w14:paraId="331E725A" w14:textId="77777777" w:rsidR="00E43DC3" w:rsidRPr="006E499F" w:rsidRDefault="000263F7" w:rsidP="006E499F">
      <w:pPr>
        <w:numPr>
          <w:ilvl w:val="2"/>
          <w:numId w:val="36"/>
        </w:numPr>
        <w:ind w:right="-22"/>
        <w:rPr>
          <w:rFonts w:eastAsia="Calibri" w:cs="Times New Roman"/>
          <w:szCs w:val="20"/>
          <w:lang w:val="en-GB"/>
        </w:rPr>
      </w:pPr>
      <w:r w:rsidRPr="006E499F">
        <w:rPr>
          <w:rFonts w:eastAsia="Calibri" w:cs="Times New Roman"/>
          <w:szCs w:val="20"/>
          <w:lang w:val="en-GB"/>
        </w:rPr>
        <w:t>FFS on the case if the propagation time is changed due to TCI state switching</w:t>
      </w:r>
    </w:p>
    <w:p w14:paraId="3215A842" w14:textId="77777777" w:rsidR="00E43DC3" w:rsidRPr="006E499F" w:rsidRDefault="000263F7" w:rsidP="006E499F">
      <w:pPr>
        <w:numPr>
          <w:ilvl w:val="1"/>
          <w:numId w:val="36"/>
        </w:numPr>
        <w:ind w:right="-22"/>
        <w:rPr>
          <w:rFonts w:eastAsia="Calibri" w:cs="Times New Roman"/>
          <w:szCs w:val="20"/>
          <w:lang w:val="en-GB"/>
        </w:rPr>
      </w:pPr>
      <w:r w:rsidRPr="006E499F">
        <w:rPr>
          <w:rFonts w:eastAsia="Calibri" w:cs="Times New Roman"/>
          <w:szCs w:val="20"/>
          <w:lang w:val="en-GB"/>
        </w:rPr>
        <w:t>No interruption allowed due to MAC based TCI switching except for intra-band non-contiguous CA case</w:t>
      </w:r>
    </w:p>
    <w:p w14:paraId="03E4C359" w14:textId="77777777" w:rsidR="00E43DC3" w:rsidRPr="006E499F" w:rsidRDefault="000263F7" w:rsidP="006E499F">
      <w:pPr>
        <w:numPr>
          <w:ilvl w:val="2"/>
          <w:numId w:val="36"/>
        </w:numPr>
        <w:ind w:right="-22"/>
        <w:rPr>
          <w:rFonts w:eastAsia="Calibri" w:cs="Times New Roman"/>
          <w:szCs w:val="20"/>
          <w:lang w:val="en-GB"/>
        </w:rPr>
      </w:pPr>
      <w:r w:rsidRPr="006E499F">
        <w:rPr>
          <w:rFonts w:eastAsia="Calibri" w:cs="Times New Roman"/>
          <w:szCs w:val="20"/>
          <w:lang w:val="en-GB"/>
        </w:rPr>
        <w:t>FFS on the case if the propagation time is changed due to TCI state switching</w:t>
      </w:r>
    </w:p>
    <w:p w14:paraId="7A26D8DD" w14:textId="77777777" w:rsidR="00E43DC3" w:rsidRPr="006E499F" w:rsidRDefault="000263F7" w:rsidP="006E499F">
      <w:pPr>
        <w:numPr>
          <w:ilvl w:val="2"/>
          <w:numId w:val="36"/>
        </w:numPr>
        <w:ind w:right="-22"/>
        <w:rPr>
          <w:rFonts w:eastAsia="Calibri" w:cs="Times New Roman"/>
          <w:szCs w:val="20"/>
          <w:lang w:val="en-GB"/>
        </w:rPr>
      </w:pPr>
      <w:r w:rsidRPr="006E499F">
        <w:rPr>
          <w:rFonts w:eastAsia="Calibri" w:cs="Times New Roman"/>
          <w:szCs w:val="20"/>
          <w:lang w:val="en-GB"/>
        </w:rPr>
        <w:t>Whether to define scheduling restriction requirement for MAC based TCI switching depends on the conclusions for MRTD.</w:t>
      </w:r>
    </w:p>
    <w:p w14:paraId="3F5A8494" w14:textId="77777777" w:rsidR="006E499F" w:rsidRPr="006E499F" w:rsidRDefault="006E499F" w:rsidP="006E499F">
      <w:pPr>
        <w:ind w:right="-22"/>
        <w:rPr>
          <w:rFonts w:eastAsia="Calibri" w:cs="Times New Roman"/>
          <w:szCs w:val="20"/>
          <w:lang w:val="en-GB"/>
        </w:rPr>
      </w:pPr>
      <w:r w:rsidRPr="006E499F">
        <w:rPr>
          <w:rFonts w:eastAsia="Calibri" w:cs="Times New Roman"/>
          <w:szCs w:val="20"/>
          <w:u w:val="single"/>
        </w:rPr>
        <w:t>Open Issues</w:t>
      </w:r>
    </w:p>
    <w:p w14:paraId="0E9D09FF" w14:textId="77777777" w:rsidR="00E43DC3" w:rsidRPr="006E499F" w:rsidRDefault="000263F7" w:rsidP="006E499F">
      <w:pPr>
        <w:numPr>
          <w:ilvl w:val="1"/>
          <w:numId w:val="37"/>
        </w:numPr>
        <w:ind w:right="-22"/>
        <w:rPr>
          <w:rFonts w:eastAsia="Calibri" w:cs="Times New Roman"/>
          <w:szCs w:val="20"/>
          <w:lang w:val="en-GB"/>
        </w:rPr>
      </w:pPr>
      <w:r w:rsidRPr="006E499F">
        <w:rPr>
          <w:rFonts w:eastAsia="Calibri" w:cs="Times New Roman"/>
          <w:szCs w:val="20"/>
        </w:rPr>
        <w:t>Interruption due to RRC based TCI state switch if defined</w:t>
      </w:r>
    </w:p>
    <w:p w14:paraId="01B473E2" w14:textId="77777777" w:rsidR="006E499F" w:rsidRDefault="000263F7" w:rsidP="006E499F">
      <w:pPr>
        <w:numPr>
          <w:ilvl w:val="2"/>
          <w:numId w:val="37"/>
        </w:numPr>
        <w:ind w:right="-22"/>
        <w:rPr>
          <w:rFonts w:eastAsia="Calibri" w:cs="Times New Roman"/>
          <w:szCs w:val="20"/>
          <w:lang w:val="en-GB"/>
        </w:rPr>
      </w:pPr>
      <w:r w:rsidRPr="006E499F">
        <w:rPr>
          <w:rFonts w:eastAsia="Calibri" w:cs="Times New Roman"/>
          <w:szCs w:val="20"/>
        </w:rPr>
        <w:t xml:space="preserve">Option 1: Yes </w:t>
      </w:r>
    </w:p>
    <w:p w14:paraId="5E2EFEA8" w14:textId="1A58AABA" w:rsidR="006E499F" w:rsidRPr="006E499F" w:rsidRDefault="006E499F" w:rsidP="006E499F">
      <w:pPr>
        <w:numPr>
          <w:ilvl w:val="2"/>
          <w:numId w:val="37"/>
        </w:numPr>
        <w:ind w:right="-22"/>
        <w:rPr>
          <w:rFonts w:eastAsia="Calibri" w:cs="Times New Roman"/>
          <w:szCs w:val="20"/>
          <w:lang w:val="en-GB"/>
        </w:rPr>
      </w:pPr>
      <w:r w:rsidRPr="006E499F">
        <w:rPr>
          <w:rFonts w:eastAsia="Calibri" w:cs="Times New Roman"/>
          <w:szCs w:val="20"/>
        </w:rPr>
        <w:t>Option 2: No</w:t>
      </w:r>
    </w:p>
    <w:p w14:paraId="204164CD" w14:textId="6FBD668D" w:rsidR="0005132A" w:rsidRPr="006E499F" w:rsidRDefault="006E499F" w:rsidP="005F18E9">
      <w:pPr>
        <w:ind w:right="-22"/>
        <w:rPr>
          <w:rFonts w:eastAsia="Calibri" w:cs="Times New Roman"/>
          <w:szCs w:val="20"/>
          <w:lang w:val="en-GB"/>
        </w:rPr>
      </w:pPr>
      <w:r>
        <w:rPr>
          <w:rFonts w:eastAsia="Calibri" w:cs="Times New Roman"/>
          <w:szCs w:val="20"/>
          <w:lang w:val="en-GB"/>
        </w:rPr>
        <w:t xml:space="preserve">The interruption due to RRC based TCI state switch is accounted in the proposed definition of the RRC based TCI state switch delay </w:t>
      </w:r>
      <w:proofErr w:type="spellStart"/>
      <w:r w:rsidRPr="00764E8A">
        <w:rPr>
          <w:rFonts w:eastAsia="Calibri" w:cs="Times New Roman"/>
          <w:szCs w:val="20"/>
          <w:lang w:val="en-GB"/>
        </w:rPr>
        <w:t>T</w:t>
      </w:r>
      <w:r w:rsidRPr="00764E8A">
        <w:rPr>
          <w:rFonts w:eastAsia="Calibri" w:cs="Times New Roman"/>
          <w:szCs w:val="20"/>
          <w:vertAlign w:val="subscript"/>
          <w:lang w:val="en-GB"/>
        </w:rPr>
        <w:t>RRC_delay</w:t>
      </w:r>
      <w:proofErr w:type="spellEnd"/>
      <w:r>
        <w:rPr>
          <w:rFonts w:eastAsia="Calibri" w:cs="Times New Roman"/>
          <w:szCs w:val="20"/>
          <w:lang w:val="en-GB"/>
        </w:rPr>
        <w:t xml:space="preserve"> in the former section. As we the actual switch time as being performed within the CP we do not see a need for any further interruption delay.</w:t>
      </w:r>
    </w:p>
    <w:p w14:paraId="470897CE" w14:textId="2246978F" w:rsidR="0005132A" w:rsidRDefault="006E499F" w:rsidP="0005132A">
      <w:pPr>
        <w:pStyle w:val="RAN4proposal"/>
      </w:pPr>
      <w:r>
        <w:rPr>
          <w:rFonts w:eastAsia="Calibri" w:cs="Times New Roman"/>
          <w:szCs w:val="20"/>
        </w:rPr>
        <w:t>No i</w:t>
      </w:r>
      <w:r w:rsidRPr="006E499F">
        <w:rPr>
          <w:rFonts w:eastAsia="Calibri" w:cs="Times New Roman"/>
          <w:szCs w:val="20"/>
        </w:rPr>
        <w:t>nterruption due to RRC based TCI state switch i</w:t>
      </w:r>
      <w:r>
        <w:rPr>
          <w:rFonts w:eastAsia="Calibri" w:cs="Times New Roman"/>
          <w:szCs w:val="20"/>
        </w:rPr>
        <w:t>s</w:t>
      </w:r>
      <w:r w:rsidRPr="006E499F">
        <w:rPr>
          <w:rFonts w:eastAsia="Calibri" w:cs="Times New Roman"/>
          <w:szCs w:val="20"/>
        </w:rPr>
        <w:t xml:space="preserve"> defined</w:t>
      </w:r>
      <w:r w:rsidR="0005132A" w:rsidRPr="0008612A">
        <w:t>.</w:t>
      </w:r>
    </w:p>
    <w:p w14:paraId="6D6229B7" w14:textId="77777777" w:rsidR="00AB210C" w:rsidRDefault="00AB210C" w:rsidP="00AB210C">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075F4837" w14:textId="77777777" w:rsidR="00AB210C" w:rsidRPr="00AB210C" w:rsidRDefault="00AB210C" w:rsidP="005F18E9">
      <w:pPr>
        <w:ind w:right="-22"/>
        <w:rPr>
          <w:rFonts w:eastAsia="Calibri" w:cs="Times New Roman"/>
          <w:szCs w:val="20"/>
          <w:lang w:val="en-GB"/>
        </w:rPr>
      </w:pPr>
    </w:p>
    <w:p w14:paraId="03A1BA43" w14:textId="77777777" w:rsidR="00D664E5" w:rsidRPr="008826C1" w:rsidRDefault="00D664E5" w:rsidP="00D664E5">
      <w:pPr>
        <w:pStyle w:val="RAN4H2"/>
      </w:pPr>
      <w:r w:rsidRPr="005F18E9">
        <w:rPr>
          <w:rFonts w:eastAsia="Calibri"/>
          <w:lang w:val="en-GB"/>
        </w:rPr>
        <w:t>Requirement for MAC-CE based active TCI state list activation</w:t>
      </w:r>
    </w:p>
    <w:p w14:paraId="202341D8" w14:textId="426EA3C4" w:rsidR="00D664E5" w:rsidRDefault="00C60B6E" w:rsidP="005F18E9">
      <w:pPr>
        <w:ind w:right="-22"/>
        <w:rPr>
          <w:rFonts w:eastAsia="Calibri" w:cs="Times New Roman"/>
          <w:szCs w:val="20"/>
        </w:rPr>
      </w:pPr>
      <w:r>
        <w:rPr>
          <w:rFonts w:eastAsia="Calibri" w:cs="Times New Roman"/>
          <w:szCs w:val="20"/>
        </w:rPr>
        <w:t>Related to MAC CE based change of active TCI state set the following was captured in the WF:</w:t>
      </w:r>
    </w:p>
    <w:p w14:paraId="6354CF39" w14:textId="77777777" w:rsidR="00C60B6E" w:rsidRPr="00C60B6E" w:rsidRDefault="00C60B6E" w:rsidP="00C60B6E">
      <w:pPr>
        <w:ind w:right="-22"/>
        <w:rPr>
          <w:rFonts w:eastAsia="Calibri" w:cs="Times New Roman"/>
          <w:szCs w:val="20"/>
          <w:lang w:val="en-GB"/>
        </w:rPr>
      </w:pPr>
      <w:r w:rsidRPr="00C60B6E">
        <w:rPr>
          <w:rFonts w:eastAsia="Calibri" w:cs="Times New Roman"/>
          <w:szCs w:val="20"/>
          <w:u w:val="single"/>
        </w:rPr>
        <w:t>Background</w:t>
      </w:r>
    </w:p>
    <w:p w14:paraId="479EAB07" w14:textId="77777777" w:rsidR="00E43DC3" w:rsidRPr="00C60B6E" w:rsidRDefault="000263F7" w:rsidP="00C60B6E">
      <w:pPr>
        <w:numPr>
          <w:ilvl w:val="1"/>
          <w:numId w:val="38"/>
        </w:numPr>
        <w:ind w:right="-22"/>
        <w:rPr>
          <w:rFonts w:eastAsia="Calibri" w:cs="Times New Roman"/>
          <w:szCs w:val="20"/>
          <w:lang w:val="en-GB"/>
        </w:rPr>
      </w:pPr>
      <w:r w:rsidRPr="00C60B6E">
        <w:rPr>
          <w:rFonts w:eastAsia="Calibri" w:cs="Times New Roman"/>
          <w:szCs w:val="20"/>
        </w:rPr>
        <w:t>Necessity to define delay requirement for MAC CE based active TCI state list update with new TCI state and PDSCH to receive on the newly activated TCI state via DCI based switch</w:t>
      </w:r>
    </w:p>
    <w:p w14:paraId="2D1405E8" w14:textId="77777777" w:rsidR="00E43DC3" w:rsidRPr="00C60B6E" w:rsidRDefault="000263F7" w:rsidP="00C60B6E">
      <w:pPr>
        <w:numPr>
          <w:ilvl w:val="1"/>
          <w:numId w:val="38"/>
        </w:numPr>
        <w:ind w:right="-22"/>
        <w:rPr>
          <w:rFonts w:eastAsia="Calibri" w:cs="Times New Roman"/>
          <w:szCs w:val="20"/>
          <w:lang w:val="en-GB"/>
        </w:rPr>
      </w:pPr>
      <w:r w:rsidRPr="00C60B6E">
        <w:rPr>
          <w:rFonts w:eastAsia="Calibri" w:cs="Times New Roman"/>
          <w:szCs w:val="20"/>
        </w:rPr>
        <w:t>Assumption that UE has measured and reported L1-RSRP on new TCI state</w:t>
      </w:r>
    </w:p>
    <w:p w14:paraId="7433715E" w14:textId="77777777" w:rsidR="00C60B6E" w:rsidRPr="00C60B6E" w:rsidRDefault="00C60B6E" w:rsidP="00C60B6E">
      <w:pPr>
        <w:ind w:right="-22"/>
        <w:rPr>
          <w:rFonts w:eastAsia="Calibri" w:cs="Times New Roman"/>
          <w:szCs w:val="20"/>
          <w:lang w:val="en-GB"/>
        </w:rPr>
      </w:pPr>
      <w:r w:rsidRPr="00C60B6E">
        <w:rPr>
          <w:rFonts w:eastAsia="Calibri" w:cs="Times New Roman"/>
          <w:szCs w:val="20"/>
        </w:rPr>
        <w:t>Agreement:</w:t>
      </w:r>
    </w:p>
    <w:p w14:paraId="7491060D" w14:textId="77777777" w:rsidR="00E43DC3" w:rsidRPr="00C60B6E" w:rsidRDefault="000263F7" w:rsidP="00C60B6E">
      <w:pPr>
        <w:numPr>
          <w:ilvl w:val="1"/>
          <w:numId w:val="39"/>
        </w:numPr>
        <w:ind w:right="-22"/>
        <w:rPr>
          <w:rFonts w:eastAsia="Calibri" w:cs="Times New Roman"/>
          <w:szCs w:val="20"/>
          <w:lang w:val="en-GB"/>
        </w:rPr>
      </w:pPr>
      <w:r w:rsidRPr="00C60B6E">
        <w:rPr>
          <w:rFonts w:eastAsia="Calibri" w:cs="Times New Roman"/>
          <w:szCs w:val="20"/>
        </w:rPr>
        <w:t>Requirement for MAC CE based active TCI state list update will be introduced</w:t>
      </w:r>
    </w:p>
    <w:p w14:paraId="298D7A89" w14:textId="4BE78F79" w:rsidR="00C60B6E" w:rsidRDefault="000759C6" w:rsidP="005F18E9">
      <w:pPr>
        <w:ind w:right="-22"/>
        <w:rPr>
          <w:rFonts w:eastAsia="Calibri" w:cs="Times New Roman"/>
          <w:szCs w:val="20"/>
          <w:lang w:val="en-GB"/>
        </w:rPr>
      </w:pPr>
      <w:r>
        <w:rPr>
          <w:rFonts w:eastAsia="Calibri" w:cs="Times New Roman"/>
          <w:szCs w:val="20"/>
          <w:lang w:val="en-GB"/>
        </w:rPr>
        <w:t xml:space="preserve">The network uses </w:t>
      </w:r>
      <w:bookmarkStart w:id="9" w:name="_Hlk7764407"/>
      <w:r>
        <w:rPr>
          <w:rFonts w:eastAsia="Calibri" w:cs="Times New Roman"/>
          <w:szCs w:val="20"/>
          <w:lang w:val="en-GB"/>
        </w:rPr>
        <w:t>UE specific PDCCH MAC CE</w:t>
      </w:r>
      <w:r w:rsidR="00D80916">
        <w:rPr>
          <w:rFonts w:eastAsia="Calibri" w:cs="Times New Roman"/>
          <w:szCs w:val="20"/>
          <w:lang w:val="en-GB"/>
        </w:rPr>
        <w:t xml:space="preserve"> and UE specific PDSCH MAC CE to indicate the TCI state used for DCCH and configure the active TCI state set for PDSCH respectively</w:t>
      </w:r>
      <w:bookmarkEnd w:id="9"/>
      <w:r w:rsidR="00D80916">
        <w:rPr>
          <w:rFonts w:eastAsia="Calibri" w:cs="Times New Roman"/>
          <w:szCs w:val="20"/>
          <w:lang w:val="en-GB"/>
        </w:rPr>
        <w:t>.</w:t>
      </w:r>
    </w:p>
    <w:p w14:paraId="0D77EC1A" w14:textId="74A4F1AF" w:rsidR="00D80916" w:rsidRDefault="00D80916" w:rsidP="005F18E9">
      <w:pPr>
        <w:ind w:right="-22"/>
        <w:rPr>
          <w:rFonts w:eastAsia="Calibri" w:cs="Times New Roman"/>
          <w:szCs w:val="20"/>
          <w:lang w:val="en-GB"/>
        </w:rPr>
      </w:pPr>
      <w:r>
        <w:rPr>
          <w:rFonts w:eastAsia="Calibri" w:cs="Times New Roman"/>
          <w:szCs w:val="20"/>
          <w:lang w:val="en-GB"/>
        </w:rPr>
        <w:t>In RAN4#90bis RAN4 already decided that the requirements for PDCCH MAC CE is 3ms for PC1 as discussed in section 2.2. This agreement was based on the delay agreed in RAN1.</w:t>
      </w:r>
    </w:p>
    <w:p w14:paraId="76D8B816" w14:textId="436EB5EE" w:rsidR="00D80916" w:rsidRPr="00C60B6E" w:rsidRDefault="00D80916" w:rsidP="005F18E9">
      <w:pPr>
        <w:ind w:right="-22"/>
        <w:rPr>
          <w:rFonts w:eastAsia="Calibri" w:cs="Times New Roman"/>
          <w:szCs w:val="20"/>
          <w:lang w:val="en-GB"/>
        </w:rPr>
      </w:pPr>
      <w:r>
        <w:rPr>
          <w:rFonts w:eastAsia="Calibri" w:cs="Times New Roman"/>
          <w:szCs w:val="20"/>
          <w:lang w:val="en-GB"/>
        </w:rPr>
        <w:t>The delay for the MAC based TCI state set (PDSCH MAC CE) is also defined in the RAN1 specification and RAN4 should apply same delay requirement. RAN1 has defined that ‘</w:t>
      </w:r>
      <w:r w:rsidRPr="00D80916">
        <w:rPr>
          <w:rFonts w:eastAsia="Calibri" w:cs="Times New Roman"/>
          <w:szCs w:val="20"/>
          <w:lang w:val="en-GB"/>
        </w:rPr>
        <w:t xml:space="preserve">When the HARQ-ACK corresponding to the PDSCH carrying the activation command is transmitted in slot n, the indicated </w:t>
      </w:r>
      <w:bookmarkStart w:id="10" w:name="_Hlk7764682"/>
      <w:r w:rsidRPr="00D80916">
        <w:rPr>
          <w:rFonts w:eastAsia="Calibri" w:cs="Times New Roman"/>
          <w:szCs w:val="20"/>
          <w:lang w:val="en-GB"/>
        </w:rPr>
        <w:t xml:space="preserve">mapping between TCI states and codepoints of the DCI field </w:t>
      </w:r>
      <w:r w:rsidRPr="00D80916">
        <w:rPr>
          <w:rFonts w:eastAsia="Calibri" w:cs="Times New Roman"/>
          <w:i/>
          <w:iCs/>
          <w:szCs w:val="20"/>
          <w:lang w:val="en-GB"/>
        </w:rPr>
        <w:t xml:space="preserve">'Transmission Configuration Indication' </w:t>
      </w:r>
      <w:r w:rsidRPr="00D80916">
        <w:rPr>
          <w:rFonts w:eastAsia="Calibri" w:cs="Times New Roman"/>
          <w:szCs w:val="20"/>
          <w:lang w:val="en-GB"/>
        </w:rPr>
        <w:t>should be applied starting from slot</w:t>
      </w:r>
      <w:r>
        <w:rPr>
          <w:rFonts w:eastAsia="Calibri" w:cs="Times New Roman"/>
          <w:szCs w:val="20"/>
          <w:lang w:val="en-GB"/>
        </w:rPr>
        <w:t xml:space="preserve"> </w:t>
      </w:r>
      <w:r>
        <w:rPr>
          <w:szCs w:val="20"/>
        </w:rPr>
        <w:t>3*</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m:rPr>
                <m:sty m:val="p"/>
              </m:rPr>
              <w:rPr>
                <w:rFonts w:ascii="Cambria Math" w:hAnsi="Cambria Math"/>
              </w:rPr>
              <m:t>subframe,μ</m:t>
            </m:r>
          </m:sup>
        </m:sSubSup>
      </m:oMath>
      <w:r>
        <w:rPr>
          <w:rFonts w:eastAsiaTheme="minorEastAsia"/>
          <w:szCs w:val="20"/>
        </w:rPr>
        <w:t xml:space="preserve"> + 1</w:t>
      </w:r>
      <w:r>
        <w:rPr>
          <w:rFonts w:eastAsia="Calibri" w:cs="Times New Roman"/>
          <w:szCs w:val="20"/>
          <w:lang w:val="en-GB"/>
        </w:rPr>
        <w:t>.</w:t>
      </w:r>
      <w:bookmarkEnd w:id="10"/>
      <w:r>
        <w:rPr>
          <w:rFonts w:eastAsia="Calibri" w:cs="Times New Roman"/>
          <w:szCs w:val="20"/>
          <w:lang w:val="en-GB"/>
        </w:rPr>
        <w:t>’</w:t>
      </w:r>
    </w:p>
    <w:p w14:paraId="6139E6A3" w14:textId="34B12D43" w:rsidR="00D80916" w:rsidRDefault="00D80916" w:rsidP="00D80916">
      <w:pPr>
        <w:pStyle w:val="RAN4proposal"/>
      </w:pPr>
      <w:r w:rsidRPr="005F18E9">
        <w:rPr>
          <w:rFonts w:eastAsia="Calibri" w:cs="Times New Roman"/>
          <w:szCs w:val="20"/>
          <w:lang w:val="en-GB"/>
        </w:rPr>
        <w:t>MAC-CE based active TCI state list activation</w:t>
      </w:r>
      <w:r>
        <w:rPr>
          <w:rFonts w:eastAsia="Calibri" w:cs="Times New Roman"/>
          <w:szCs w:val="20"/>
          <w:lang w:val="en-GB"/>
        </w:rPr>
        <w:t xml:space="preserve"> i</w:t>
      </w:r>
      <w:r w:rsidR="00817AE8">
        <w:rPr>
          <w:rFonts w:eastAsia="Calibri" w:cs="Times New Roman"/>
          <w:szCs w:val="20"/>
          <w:lang w:val="en-GB"/>
        </w:rPr>
        <w:t>s</w:t>
      </w:r>
      <w:r>
        <w:rPr>
          <w:rFonts w:eastAsia="Calibri" w:cs="Times New Roman"/>
          <w:szCs w:val="20"/>
          <w:lang w:val="en-GB"/>
        </w:rPr>
        <w:t xml:space="preserve"> defined as </w:t>
      </w:r>
      <w:r>
        <w:rPr>
          <w:szCs w:val="20"/>
        </w:rPr>
        <w:t>3*</w:t>
      </w:r>
      <m:oMath>
        <m:sSubSup>
          <m:sSubSupPr>
            <m:ctrlPr>
              <w:rPr>
                <w:rFonts w:ascii="Cambria Math" w:hAnsi="Cambria Math"/>
                <w:b w:val="0"/>
                <w:i/>
                <w:iCs w:val="0"/>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
              </m:rPr>
              <w:rPr>
                <w:rFonts w:ascii="Cambria Math" w:hAnsi="Cambria Math"/>
              </w:rPr>
              <m:t>subframe,μ</m:t>
            </m:r>
          </m:sup>
        </m:sSubSup>
      </m:oMath>
      <w:r>
        <w:rPr>
          <w:rFonts w:eastAsiaTheme="minorEastAsia"/>
          <w:szCs w:val="20"/>
        </w:rPr>
        <w:t xml:space="preserve"> + 1</w:t>
      </w:r>
      <w:r w:rsidRPr="0008612A">
        <w:t>.</w:t>
      </w:r>
    </w:p>
    <w:p w14:paraId="5A06085F" w14:textId="6F854590" w:rsidR="00D664E5" w:rsidRDefault="00AB210C" w:rsidP="005F18E9">
      <w:pPr>
        <w:ind w:right="-22"/>
        <w:rPr>
          <w:rFonts w:eastAsia="Calibri" w:cs="Times New Roman"/>
          <w:szCs w:val="20"/>
          <w:lang w:val="en-GB"/>
        </w:rPr>
      </w:pPr>
      <w:r w:rsidRPr="00AB210C">
        <w:rPr>
          <w:rFonts w:eastAsia="Calibri" w:cs="Times New Roman"/>
          <w:szCs w:val="20"/>
          <w:lang w:val="en-GB"/>
        </w:rPr>
        <w:t>In [2] we have provided a TP capturing this requirement.</w:t>
      </w:r>
    </w:p>
    <w:p w14:paraId="2C9CA123" w14:textId="77777777" w:rsidR="00D80916" w:rsidRPr="00D80916" w:rsidRDefault="00D80916" w:rsidP="005F18E9">
      <w:pPr>
        <w:ind w:right="-22"/>
        <w:rPr>
          <w:rFonts w:eastAsia="Calibri" w:cs="Times New Roman"/>
          <w:szCs w:val="20"/>
          <w:lang w:val="en-GB"/>
        </w:rPr>
      </w:pPr>
    </w:p>
    <w:p w14:paraId="2BC91BA5" w14:textId="048100BD" w:rsidR="0005132A" w:rsidRPr="008826C1" w:rsidRDefault="0005132A" w:rsidP="0005132A">
      <w:pPr>
        <w:pStyle w:val="RAN4H2"/>
      </w:pPr>
      <w:r w:rsidRPr="005F18E9">
        <w:rPr>
          <w:rFonts w:eastAsia="Calibri"/>
          <w:lang w:val="en-GB"/>
        </w:rPr>
        <w:t>TCI for SCell activation</w:t>
      </w:r>
    </w:p>
    <w:p w14:paraId="24B0C02C" w14:textId="44809D1D" w:rsidR="0005132A" w:rsidRDefault="00DA0E98" w:rsidP="005F18E9">
      <w:pPr>
        <w:ind w:right="-22"/>
        <w:rPr>
          <w:rFonts w:eastAsia="Calibri" w:cs="Times New Roman"/>
          <w:szCs w:val="20"/>
          <w:lang w:val="en-GB"/>
        </w:rPr>
      </w:pPr>
      <w:r>
        <w:rPr>
          <w:rFonts w:eastAsia="Calibri" w:cs="Times New Roman"/>
          <w:szCs w:val="20"/>
          <w:lang w:val="en-GB"/>
        </w:rPr>
        <w:t>The final topic listed in the WF f</w:t>
      </w:r>
      <w:r w:rsidR="00D664E5">
        <w:rPr>
          <w:rFonts w:eastAsia="Calibri" w:cs="Times New Roman"/>
          <w:szCs w:val="20"/>
          <w:lang w:val="en-GB"/>
        </w:rPr>
        <w:t>o</w:t>
      </w:r>
      <w:r>
        <w:rPr>
          <w:rFonts w:eastAsia="Calibri" w:cs="Times New Roman"/>
          <w:szCs w:val="20"/>
          <w:lang w:val="en-GB"/>
        </w:rPr>
        <w:t>r further discussion is the TCI state for the SCell being activated.</w:t>
      </w:r>
      <w:r w:rsidR="009638D7">
        <w:rPr>
          <w:rFonts w:eastAsia="Calibri" w:cs="Times New Roman"/>
          <w:szCs w:val="20"/>
          <w:lang w:val="en-GB"/>
        </w:rPr>
        <w:t xml:space="preserve"> During the last meetings there has been raised question concerning which TCI state the UE shall apply once the SCell is activated.</w:t>
      </w:r>
    </w:p>
    <w:p w14:paraId="3E8EF2A2" w14:textId="5A57A922" w:rsidR="009638D7" w:rsidRDefault="009638D7" w:rsidP="005F18E9">
      <w:pPr>
        <w:ind w:right="-22"/>
        <w:rPr>
          <w:rFonts w:eastAsia="Calibri" w:cs="Times New Roman"/>
          <w:szCs w:val="20"/>
          <w:lang w:val="en-GB"/>
        </w:rPr>
      </w:pPr>
      <w:r>
        <w:rPr>
          <w:rFonts w:eastAsia="Calibri" w:cs="Times New Roman"/>
          <w:szCs w:val="20"/>
          <w:lang w:val="en-GB"/>
        </w:rPr>
        <w:t>The current RRC SCell configuration includes the TCI state configurations for the SCell. I.e. these are known to the UE once the SCell is activated.</w:t>
      </w:r>
    </w:p>
    <w:p w14:paraId="700070AA" w14:textId="151F1EC3" w:rsidR="009638D7" w:rsidRDefault="009638D7" w:rsidP="005F18E9">
      <w:pPr>
        <w:ind w:right="-22"/>
        <w:rPr>
          <w:rFonts w:eastAsia="Calibri" w:cs="Times New Roman"/>
          <w:szCs w:val="20"/>
          <w:lang w:val="en-GB"/>
        </w:rPr>
      </w:pPr>
      <w:r>
        <w:rPr>
          <w:rFonts w:eastAsia="Calibri" w:cs="Times New Roman"/>
          <w:szCs w:val="20"/>
          <w:lang w:val="en-GB"/>
        </w:rPr>
        <w:t xml:space="preserve">It will be the SCell which will configure the activated TCI state set using MAC command. I.e. after the SCell activation delay, when the UE </w:t>
      </w:r>
      <w:proofErr w:type="gramStart"/>
      <w:r>
        <w:rPr>
          <w:rFonts w:eastAsia="Calibri" w:cs="Times New Roman"/>
          <w:szCs w:val="20"/>
          <w:lang w:val="en-GB"/>
        </w:rPr>
        <w:t>is capable of receiving</w:t>
      </w:r>
      <w:proofErr w:type="gramEnd"/>
      <w:r>
        <w:rPr>
          <w:rFonts w:eastAsia="Calibri" w:cs="Times New Roman"/>
          <w:szCs w:val="20"/>
          <w:lang w:val="en-GB"/>
        </w:rPr>
        <w:t xml:space="preserve"> the DL PDCCH and PDSCH in the SCell, the SCell can configure the active TCI state set using </w:t>
      </w:r>
      <w:r w:rsidR="00D664E5">
        <w:rPr>
          <w:rFonts w:eastAsia="Calibri" w:cs="Times New Roman"/>
          <w:szCs w:val="20"/>
          <w:lang w:val="en-GB"/>
        </w:rPr>
        <w:t>a UE specific PDSCH or PDCCH MAC CE for configuring the active TCI states and indicate the TCI state for the PDCCH. This is the same procedure as on e.g. PCell.</w:t>
      </w:r>
    </w:p>
    <w:p w14:paraId="65EBE499" w14:textId="788E4DB4" w:rsidR="00D664E5" w:rsidRDefault="00D664E5" w:rsidP="005F18E9">
      <w:pPr>
        <w:ind w:right="-22"/>
        <w:rPr>
          <w:rFonts w:eastAsia="Calibri" w:cs="Times New Roman"/>
          <w:szCs w:val="20"/>
          <w:lang w:val="en-GB"/>
        </w:rPr>
      </w:pPr>
      <w:r>
        <w:rPr>
          <w:rFonts w:eastAsia="Calibri" w:cs="Times New Roman"/>
          <w:szCs w:val="20"/>
          <w:lang w:val="en-GB"/>
        </w:rPr>
        <w:t xml:space="preserve">Until the UE receives the activation command </w:t>
      </w:r>
      <w:r w:rsidRPr="00D664E5">
        <w:rPr>
          <w:rFonts w:eastAsia="Calibri" w:cs="Times New Roman"/>
          <w:szCs w:val="20"/>
        </w:rPr>
        <w:t>the UE may assume that the DM-RS ports of PDSCH of a serving cell are quasi co-located with the SS/PBCH block determined in the initial access procedure with respect to 'QCL-</w:t>
      </w:r>
      <w:proofErr w:type="spellStart"/>
      <w:r w:rsidRPr="00D664E5">
        <w:rPr>
          <w:rFonts w:eastAsia="Calibri" w:cs="Times New Roman"/>
          <w:szCs w:val="20"/>
        </w:rPr>
        <w:t>TypeA</w:t>
      </w:r>
      <w:proofErr w:type="spellEnd"/>
      <w:r w:rsidRPr="00D664E5">
        <w:rPr>
          <w:rFonts w:eastAsia="Calibri" w:cs="Times New Roman"/>
          <w:szCs w:val="20"/>
        </w:rPr>
        <w:t>', and when applicable, also with respect to</w:t>
      </w:r>
      <w:r>
        <w:rPr>
          <w:rFonts w:eastAsia="Calibri" w:cs="Times New Roman"/>
          <w:szCs w:val="20"/>
        </w:rPr>
        <w:t xml:space="preserve"> </w:t>
      </w:r>
      <w:r w:rsidRPr="00D664E5">
        <w:rPr>
          <w:rFonts w:eastAsia="Calibri" w:cs="Times New Roman"/>
          <w:szCs w:val="20"/>
        </w:rPr>
        <w:t>'QCL-</w:t>
      </w:r>
      <w:proofErr w:type="spellStart"/>
      <w:r w:rsidRPr="00D664E5">
        <w:rPr>
          <w:rFonts w:eastAsia="Calibri" w:cs="Times New Roman"/>
          <w:szCs w:val="20"/>
        </w:rPr>
        <w:t>TypeD</w:t>
      </w:r>
      <w:proofErr w:type="spellEnd"/>
      <w:r>
        <w:rPr>
          <w:rFonts w:eastAsia="Calibri" w:cs="Times New Roman"/>
          <w:szCs w:val="20"/>
        </w:rPr>
        <w:t>’. As defined in the RAN1 specification.</w:t>
      </w:r>
    </w:p>
    <w:p w14:paraId="0CE5E030" w14:textId="77777777" w:rsidR="00D664E5" w:rsidRDefault="00D664E5" w:rsidP="005F18E9">
      <w:pPr>
        <w:ind w:right="-22"/>
        <w:rPr>
          <w:rFonts w:eastAsia="Calibri" w:cs="Times New Roman"/>
          <w:szCs w:val="20"/>
          <w:lang w:val="en-GB"/>
        </w:rPr>
      </w:pPr>
      <w:r>
        <w:rPr>
          <w:rFonts w:eastAsia="Calibri" w:cs="Times New Roman"/>
          <w:szCs w:val="20"/>
          <w:lang w:val="en-GB"/>
        </w:rPr>
        <w:t xml:space="preserve">Based on this it is clear what the UE requirements are concerning which reception assumption to apply in the activated SCell before and after the UE is configured with and active TCI state set. Additionally, it is possible for the network to transmit both SCell activation command and TCI state activation in one and same MAC CE command. </w:t>
      </w:r>
    </w:p>
    <w:p w14:paraId="14D688FD" w14:textId="45C36160" w:rsidR="00D664E5" w:rsidRDefault="00D664E5" w:rsidP="005F18E9">
      <w:pPr>
        <w:ind w:right="-22"/>
        <w:rPr>
          <w:rFonts w:eastAsia="Calibri" w:cs="Times New Roman"/>
          <w:szCs w:val="20"/>
          <w:lang w:val="en-GB"/>
        </w:rPr>
      </w:pPr>
      <w:r>
        <w:rPr>
          <w:rFonts w:eastAsia="Calibri" w:cs="Times New Roman"/>
          <w:szCs w:val="20"/>
          <w:lang w:val="en-GB"/>
        </w:rPr>
        <w:t>I.e. the UE shall be able to receive DL in activated SCell after the SCell activation delay, either based on the Q</w:t>
      </w:r>
      <w:r w:rsidR="00891FBA">
        <w:rPr>
          <w:rFonts w:eastAsia="Calibri" w:cs="Times New Roman"/>
          <w:szCs w:val="20"/>
          <w:lang w:val="en-GB"/>
        </w:rPr>
        <w:t xml:space="preserve">CL assumption with the SSB of the SCell or the </w:t>
      </w:r>
      <w:r>
        <w:rPr>
          <w:rFonts w:eastAsia="Calibri" w:cs="Times New Roman"/>
          <w:szCs w:val="20"/>
          <w:lang w:val="en-GB"/>
        </w:rPr>
        <w:t>applicable TCI state.</w:t>
      </w:r>
    </w:p>
    <w:p w14:paraId="1C6D1368" w14:textId="60AAA274" w:rsidR="0005132A" w:rsidRDefault="00891FBA" w:rsidP="0005132A">
      <w:pPr>
        <w:pStyle w:val="RAN4proposal"/>
      </w:pPr>
      <w:r>
        <w:rPr>
          <w:rFonts w:eastAsia="Calibri" w:cs="Times New Roman"/>
          <w:szCs w:val="20"/>
          <w:lang w:val="en-GB"/>
        </w:rPr>
        <w:t xml:space="preserve">UE shall be able to receive DL in </w:t>
      </w:r>
      <w:r w:rsidR="000263F7">
        <w:rPr>
          <w:rFonts w:eastAsia="Calibri" w:cs="Times New Roman"/>
          <w:szCs w:val="20"/>
          <w:lang w:val="en-GB"/>
        </w:rPr>
        <w:t xml:space="preserve">an </w:t>
      </w:r>
      <w:r>
        <w:rPr>
          <w:rFonts w:eastAsia="Calibri" w:cs="Times New Roman"/>
          <w:szCs w:val="20"/>
          <w:lang w:val="en-GB"/>
        </w:rPr>
        <w:t>activated SCell after the SCell activation delay, either based on the QCL assumption with the SSB of the SCell or the applicable TCI state</w:t>
      </w:r>
      <w:r w:rsidR="0005132A" w:rsidRPr="0008612A">
        <w:t>.</w:t>
      </w:r>
    </w:p>
    <w:p w14:paraId="6229BBC3" w14:textId="77777777" w:rsidR="002C2D19" w:rsidRDefault="002C2D19" w:rsidP="003B659E">
      <w:pPr>
        <w:ind w:right="-22"/>
        <w:rPr>
          <w:rFonts w:cs="Times New Roman"/>
        </w:rPr>
      </w:pPr>
    </w:p>
    <w:p w14:paraId="761516E1" w14:textId="7ECDC23D" w:rsidR="00CD7492" w:rsidRDefault="00CD7492" w:rsidP="00A37002">
      <w:pPr>
        <w:pStyle w:val="RAN4H1"/>
      </w:pPr>
      <w:r w:rsidRPr="00A37002">
        <w:lastRenderedPageBreak/>
        <w:t>Conclusion</w:t>
      </w:r>
    </w:p>
    <w:p w14:paraId="36A1906D" w14:textId="1C300969" w:rsidR="001770FE" w:rsidRDefault="000263F7" w:rsidP="001770FE">
      <w:pPr>
        <w:rPr>
          <w:rFonts w:eastAsia="Calibri" w:cs="Times New Roman"/>
          <w:szCs w:val="20"/>
          <w:lang w:val="en-GB"/>
        </w:rPr>
      </w:pPr>
      <w:r>
        <w:rPr>
          <w:lang w:val="en-GB"/>
        </w:rPr>
        <w:t xml:space="preserve">In this paper we discuss </w:t>
      </w:r>
      <w:r>
        <w:rPr>
          <w:rFonts w:eastAsia="Calibri" w:cs="Times New Roman"/>
          <w:szCs w:val="20"/>
          <w:lang w:val="en-GB"/>
        </w:rPr>
        <w:t xml:space="preserve">the TCI state switching delay requirements for serving cell as well as the related delay requirements based on the agreed </w:t>
      </w:r>
      <w:r w:rsidRPr="00382DAD">
        <w:rPr>
          <w:rFonts w:eastAsia="Calibri" w:cs="Times New Roman"/>
          <w:szCs w:val="20"/>
          <w:lang w:val="en-GB"/>
        </w:rPr>
        <w:t>WF [</w:t>
      </w:r>
      <w:r w:rsidR="00382DAD" w:rsidRPr="00382DAD">
        <w:rPr>
          <w:rFonts w:eastAsia="Calibri" w:cs="Times New Roman"/>
          <w:szCs w:val="20"/>
          <w:lang w:val="en-GB"/>
        </w:rPr>
        <w:t>1</w:t>
      </w:r>
      <w:r w:rsidRPr="00382DAD">
        <w:rPr>
          <w:rFonts w:eastAsia="Calibri" w:cs="Times New Roman"/>
          <w:szCs w:val="20"/>
          <w:lang w:val="en-GB"/>
        </w:rPr>
        <w:t>] from RAN4</w:t>
      </w:r>
      <w:r>
        <w:rPr>
          <w:rFonts w:eastAsia="Calibri" w:cs="Times New Roman"/>
          <w:szCs w:val="20"/>
          <w:lang w:val="en-GB"/>
        </w:rPr>
        <w:t>#90bis. We propose:</w:t>
      </w:r>
    </w:p>
    <w:p w14:paraId="46F91542" w14:textId="75D6D115" w:rsidR="000263F7" w:rsidRDefault="000263F7" w:rsidP="001770FE">
      <w:pPr>
        <w:rPr>
          <w:rFonts w:eastAsia="Calibri" w:cs="Times New Roman"/>
          <w:szCs w:val="20"/>
        </w:rPr>
      </w:pPr>
      <w:r w:rsidRPr="005F18E9">
        <w:rPr>
          <w:rFonts w:eastAsia="Calibri" w:cs="Times New Roman"/>
          <w:szCs w:val="20"/>
        </w:rPr>
        <w:t>Definition of known/unknown TCI state</w:t>
      </w:r>
      <w:r>
        <w:rPr>
          <w:rFonts w:eastAsia="Calibri" w:cs="Times New Roman"/>
          <w:szCs w:val="20"/>
        </w:rPr>
        <w:t>:</w:t>
      </w:r>
    </w:p>
    <w:p w14:paraId="56E4112B" w14:textId="77777777" w:rsidR="000263F7" w:rsidRDefault="000263F7" w:rsidP="000263F7">
      <w:pPr>
        <w:pStyle w:val="RAN4proposal"/>
        <w:numPr>
          <w:ilvl w:val="0"/>
          <w:numId w:val="40"/>
        </w:numPr>
      </w:pPr>
      <w:r w:rsidRPr="000263F7">
        <w:rPr>
          <w:rFonts w:eastAsia="Calibri" w:cs="Times New Roman"/>
          <w:szCs w:val="20"/>
          <w:lang w:val="en-GB"/>
        </w:rPr>
        <w:t>Known TCI state conditions is based on the UE L1-RSRP reporting periodicity</w:t>
      </w:r>
      <w:r w:rsidRPr="0008612A">
        <w:t>.</w:t>
      </w:r>
    </w:p>
    <w:p w14:paraId="17307C62" w14:textId="77777777" w:rsidR="000263F7" w:rsidRDefault="000263F7" w:rsidP="000263F7">
      <w:pPr>
        <w:pStyle w:val="RAN4proposal"/>
        <w:numPr>
          <w:ilvl w:val="0"/>
          <w:numId w:val="40"/>
        </w:numPr>
      </w:pPr>
      <w:r w:rsidRPr="000263F7">
        <w:rPr>
          <w:rFonts w:eastAsia="Calibri" w:cs="Times New Roman"/>
          <w:szCs w:val="20"/>
          <w:lang w:val="en-GB"/>
        </w:rPr>
        <w:t>Known TCI state conditions is applicable for all UE power class types</w:t>
      </w:r>
      <w:r w:rsidRPr="0008612A">
        <w:t>.</w:t>
      </w:r>
    </w:p>
    <w:p w14:paraId="4D201C6C" w14:textId="0FE85A69" w:rsidR="000263F7" w:rsidRDefault="000263F7" w:rsidP="001770FE">
      <w:pPr>
        <w:rPr>
          <w:rFonts w:eastAsia="Calibri" w:cs="Times New Roman"/>
          <w:szCs w:val="20"/>
        </w:rPr>
      </w:pPr>
      <w:r w:rsidRPr="005F18E9">
        <w:rPr>
          <w:rFonts w:eastAsia="Calibri" w:cs="Times New Roman"/>
          <w:szCs w:val="20"/>
        </w:rPr>
        <w:t>MAC CE based TCI state switch for PDCCH</w:t>
      </w:r>
      <w:r>
        <w:rPr>
          <w:rFonts w:eastAsia="Calibri" w:cs="Times New Roman"/>
          <w:szCs w:val="20"/>
        </w:rPr>
        <w:t>:</w:t>
      </w:r>
    </w:p>
    <w:p w14:paraId="418BB070" w14:textId="77777777" w:rsidR="000263F7" w:rsidRDefault="000263F7" w:rsidP="000263F7">
      <w:pPr>
        <w:pStyle w:val="RAN4proposal"/>
      </w:pPr>
      <w:r w:rsidRPr="00B6373C">
        <w:rPr>
          <w:rFonts w:eastAsia="Calibri" w:cs="Times New Roman"/>
          <w:szCs w:val="20"/>
        </w:rPr>
        <w:t xml:space="preserve">The switching delay for </w:t>
      </w:r>
      <w:r>
        <w:rPr>
          <w:rFonts w:eastAsia="Calibri" w:cs="Times New Roman"/>
          <w:szCs w:val="20"/>
        </w:rPr>
        <w:t xml:space="preserve">an </w:t>
      </w:r>
      <w:r w:rsidRPr="00B6373C">
        <w:rPr>
          <w:rFonts w:eastAsia="Calibri" w:cs="Times New Roman"/>
          <w:szCs w:val="20"/>
        </w:rPr>
        <w:t>unknown</w:t>
      </w:r>
      <w:r>
        <w:rPr>
          <w:rFonts w:eastAsia="Calibri" w:cs="Times New Roman"/>
          <w:szCs w:val="20"/>
        </w:rPr>
        <w:t xml:space="preserve"> PDCCH TCI state is one occasion of L1-RSRP</w:t>
      </w:r>
      <w:r w:rsidRPr="0008612A">
        <w:t>.</w:t>
      </w:r>
    </w:p>
    <w:p w14:paraId="4400E608" w14:textId="77777777" w:rsidR="000263F7" w:rsidRDefault="000263F7" w:rsidP="000263F7">
      <w:pPr>
        <w:pStyle w:val="RAN4proposal"/>
      </w:pPr>
      <w:r>
        <w:rPr>
          <w:rFonts w:eastAsia="Calibri" w:cs="Times New Roman"/>
          <w:szCs w:val="20"/>
          <w:lang w:val="en-GB"/>
        </w:rPr>
        <w:t>the PDCCH TCI switch delay is applicable for all UE power class types</w:t>
      </w:r>
      <w:r w:rsidRPr="0008612A">
        <w:t>.</w:t>
      </w:r>
    </w:p>
    <w:p w14:paraId="5FE1182E" w14:textId="4B1756C9" w:rsidR="000263F7" w:rsidRDefault="000263F7" w:rsidP="001770FE">
      <w:pPr>
        <w:rPr>
          <w:rFonts w:eastAsia="Calibri" w:cs="Times New Roman"/>
          <w:szCs w:val="20"/>
        </w:rPr>
      </w:pPr>
      <w:r w:rsidRPr="005F18E9">
        <w:rPr>
          <w:rFonts w:eastAsia="Calibri" w:cs="Times New Roman"/>
          <w:szCs w:val="20"/>
        </w:rPr>
        <w:t>DCI based TCI state switch for PDSCH</w:t>
      </w:r>
      <w:r>
        <w:rPr>
          <w:rFonts w:eastAsia="Calibri" w:cs="Times New Roman"/>
          <w:szCs w:val="20"/>
        </w:rPr>
        <w:t>:</w:t>
      </w:r>
    </w:p>
    <w:p w14:paraId="48A754D4" w14:textId="77777777" w:rsidR="000263F7" w:rsidRDefault="000263F7" w:rsidP="000263F7">
      <w:pPr>
        <w:pStyle w:val="RAN4proposal"/>
      </w:pPr>
      <w:r>
        <w:t xml:space="preserve">The </w:t>
      </w:r>
      <w:r w:rsidRPr="005F18E9">
        <w:rPr>
          <w:rFonts w:eastAsia="Calibri" w:cs="Times New Roman"/>
          <w:szCs w:val="20"/>
        </w:rPr>
        <w:t>DCI based TCI state switch for PDSCH</w:t>
      </w:r>
      <w:r>
        <w:rPr>
          <w:rFonts w:eastAsia="Calibri" w:cs="Times New Roman"/>
          <w:szCs w:val="20"/>
        </w:rPr>
        <w:t xml:space="preserve"> applies for </w:t>
      </w:r>
      <w:r>
        <w:rPr>
          <w:rFonts w:eastAsia="Calibri" w:cs="Times New Roman"/>
          <w:szCs w:val="20"/>
          <w:lang w:val="en-GB"/>
        </w:rPr>
        <w:t>all UE power class types</w:t>
      </w:r>
      <w:r w:rsidRPr="0008612A">
        <w:t>.</w:t>
      </w:r>
    </w:p>
    <w:p w14:paraId="5A477CB6" w14:textId="77777777" w:rsidR="000263F7" w:rsidRDefault="000263F7" w:rsidP="000263F7">
      <w:pPr>
        <w:pStyle w:val="RAN4proposal"/>
      </w:pPr>
      <w:r>
        <w:t>At least for device types PC2 -PC4 there is no restrictions on the MCS used for the new PDSCH TCI state</w:t>
      </w:r>
      <w:r w:rsidRPr="0008612A">
        <w:t>.</w:t>
      </w:r>
    </w:p>
    <w:p w14:paraId="1D4142B1" w14:textId="77777777" w:rsidR="000263F7" w:rsidRDefault="000263F7" w:rsidP="000263F7">
      <w:pPr>
        <w:pStyle w:val="RAN4proposal"/>
      </w:pPr>
      <w:r>
        <w:t>No restrictions in the MCS used for the new PDSCH TCI state for PC1 device type</w:t>
      </w:r>
      <w:r w:rsidRPr="0008612A">
        <w:t>.</w:t>
      </w:r>
    </w:p>
    <w:p w14:paraId="5969453E" w14:textId="1A7F11CF" w:rsidR="000263F7" w:rsidRDefault="000263F7" w:rsidP="001770FE">
      <w:pPr>
        <w:rPr>
          <w:rFonts w:eastAsia="Calibri" w:cs="Times New Roman"/>
          <w:szCs w:val="20"/>
        </w:rPr>
      </w:pPr>
      <w:r w:rsidRPr="005F18E9">
        <w:rPr>
          <w:rFonts w:eastAsia="Calibri" w:cs="Times New Roman"/>
          <w:szCs w:val="20"/>
        </w:rPr>
        <w:t>Requirements for RRC based TCI state switch</w:t>
      </w:r>
      <w:r>
        <w:rPr>
          <w:rFonts w:eastAsia="Calibri" w:cs="Times New Roman"/>
          <w:szCs w:val="20"/>
        </w:rPr>
        <w:t>:</w:t>
      </w:r>
    </w:p>
    <w:p w14:paraId="4A573916" w14:textId="77777777" w:rsidR="000263F7" w:rsidRDefault="000263F7" w:rsidP="000263F7">
      <w:pPr>
        <w:pStyle w:val="RAN4proposal"/>
      </w:pPr>
      <w:r>
        <w:t xml:space="preserve">RRC configured TCI state switch delay is defined as </w:t>
      </w:r>
      <w:proofErr w:type="spellStart"/>
      <w:r>
        <w:rPr>
          <w:rFonts w:eastAsia="Calibri" w:cs="Times New Roman"/>
          <w:szCs w:val="20"/>
          <w:lang w:val="en-GB"/>
        </w:rPr>
        <w:t>T</w:t>
      </w:r>
      <w:r w:rsidRPr="00817733">
        <w:rPr>
          <w:rFonts w:eastAsia="Calibri" w:cs="Times New Roman"/>
          <w:szCs w:val="20"/>
          <w:vertAlign w:val="subscript"/>
          <w:lang w:val="en-GB"/>
        </w:rPr>
        <w:t>TCI_Delay_RRC</w:t>
      </w:r>
      <w:proofErr w:type="spellEnd"/>
      <w:r>
        <w:rPr>
          <w:rFonts w:eastAsia="Calibri" w:cs="Times New Roman"/>
          <w:szCs w:val="20"/>
          <w:lang w:val="en-GB"/>
        </w:rPr>
        <w:t xml:space="preserve"> = </w:t>
      </w:r>
      <w:proofErr w:type="spellStart"/>
      <w:r>
        <w:rPr>
          <w:rFonts w:eastAsia="Calibri" w:cs="Times New Roman"/>
          <w:szCs w:val="20"/>
          <w:lang w:val="en-GB"/>
        </w:rPr>
        <w:t>T</w:t>
      </w:r>
      <w:r w:rsidRPr="00764E8A">
        <w:rPr>
          <w:rFonts w:eastAsia="Calibri" w:cs="Times New Roman"/>
          <w:szCs w:val="20"/>
          <w:vertAlign w:val="subscript"/>
          <w:lang w:val="en-GB"/>
        </w:rPr>
        <w:t>RRC_</w:t>
      </w:r>
      <w:r>
        <w:rPr>
          <w:rFonts w:eastAsia="Calibri" w:cs="Times New Roman"/>
          <w:szCs w:val="20"/>
          <w:vertAlign w:val="subscript"/>
          <w:lang w:val="en-GB"/>
        </w:rPr>
        <w:t>d</w:t>
      </w:r>
      <w:r w:rsidRPr="00764E8A">
        <w:rPr>
          <w:rFonts w:eastAsia="Calibri" w:cs="Times New Roman"/>
          <w:szCs w:val="20"/>
          <w:vertAlign w:val="subscript"/>
          <w:lang w:val="en-GB"/>
        </w:rPr>
        <w:t>elay</w:t>
      </w:r>
      <w:proofErr w:type="spellEnd"/>
      <w:r>
        <w:rPr>
          <w:rFonts w:eastAsia="Calibri" w:cs="Times New Roman"/>
          <w:szCs w:val="20"/>
          <w:lang w:val="en-GB"/>
        </w:rPr>
        <w:t xml:space="preserve"> + </w:t>
      </w:r>
      <w:r>
        <w:rPr>
          <w:szCs w:val="20"/>
        </w:rPr>
        <w:t xml:space="preserve">3 </w:t>
      </w:r>
      <m:oMath>
        <m:sSubSup>
          <m:sSubSupPr>
            <m:ctrlPr>
              <w:rPr>
                <w:rFonts w:ascii="Cambria Math" w:hAnsi="Cambria Math"/>
                <w:b w:val="0"/>
                <w:i/>
                <w:iCs w:val="0"/>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
              </m:rPr>
              <w:rPr>
                <w:rFonts w:ascii="Cambria Math" w:hAnsi="Cambria Math"/>
              </w:rPr>
              <m:t>subframe,μ</m:t>
            </m:r>
          </m:sup>
        </m:sSubSup>
      </m:oMath>
      <w:r>
        <w:rPr>
          <w:szCs w:val="20"/>
        </w:rPr>
        <w:t xml:space="preserve"> </w:t>
      </w:r>
      <w:r>
        <w:rPr>
          <w:rFonts w:cs="Times New Roman"/>
          <w:szCs w:val="20"/>
        </w:rPr>
        <w:t>+ 1</w:t>
      </w:r>
      <w:r w:rsidRPr="0008612A">
        <w:t>.</w:t>
      </w:r>
    </w:p>
    <w:p w14:paraId="17DAE321" w14:textId="6F307036" w:rsidR="000263F7" w:rsidRDefault="000263F7" w:rsidP="001770FE">
      <w:pPr>
        <w:rPr>
          <w:rFonts w:eastAsia="Calibri" w:cs="Times New Roman"/>
          <w:szCs w:val="20"/>
        </w:rPr>
      </w:pPr>
      <w:r w:rsidRPr="005F18E9">
        <w:rPr>
          <w:rFonts w:eastAsia="Calibri" w:cs="Times New Roman"/>
          <w:szCs w:val="20"/>
        </w:rPr>
        <w:t>Interruption due to TCI state switch</w:t>
      </w:r>
      <w:r>
        <w:rPr>
          <w:rFonts w:eastAsia="Calibri" w:cs="Times New Roman"/>
          <w:szCs w:val="20"/>
        </w:rPr>
        <w:t>:</w:t>
      </w:r>
    </w:p>
    <w:p w14:paraId="3BF22975" w14:textId="77777777" w:rsidR="000263F7" w:rsidRDefault="000263F7" w:rsidP="000263F7">
      <w:pPr>
        <w:pStyle w:val="RAN4proposal"/>
      </w:pPr>
      <w:r>
        <w:rPr>
          <w:rFonts w:eastAsia="Calibri" w:cs="Times New Roman"/>
          <w:szCs w:val="20"/>
        </w:rPr>
        <w:t>No i</w:t>
      </w:r>
      <w:r w:rsidRPr="006E499F">
        <w:rPr>
          <w:rFonts w:eastAsia="Calibri" w:cs="Times New Roman"/>
          <w:szCs w:val="20"/>
        </w:rPr>
        <w:t>nterruption due to RRC based TCI state switch i</w:t>
      </w:r>
      <w:r>
        <w:rPr>
          <w:rFonts w:eastAsia="Calibri" w:cs="Times New Roman"/>
          <w:szCs w:val="20"/>
        </w:rPr>
        <w:t>s</w:t>
      </w:r>
      <w:r w:rsidRPr="006E499F">
        <w:rPr>
          <w:rFonts w:eastAsia="Calibri" w:cs="Times New Roman"/>
          <w:szCs w:val="20"/>
        </w:rPr>
        <w:t xml:space="preserve"> defined</w:t>
      </w:r>
      <w:r w:rsidRPr="0008612A">
        <w:t>.</w:t>
      </w:r>
    </w:p>
    <w:p w14:paraId="304DA91A" w14:textId="1FF52D51" w:rsidR="000263F7" w:rsidRDefault="000263F7" w:rsidP="001770FE">
      <w:pPr>
        <w:rPr>
          <w:rFonts w:eastAsia="Calibri" w:cs="Times New Roman"/>
          <w:szCs w:val="20"/>
          <w:lang w:val="en-GB"/>
        </w:rPr>
      </w:pPr>
      <w:r w:rsidRPr="005F18E9">
        <w:rPr>
          <w:rFonts w:eastAsia="Calibri" w:cs="Times New Roman"/>
          <w:szCs w:val="20"/>
          <w:lang w:val="en-GB"/>
        </w:rPr>
        <w:t>Requirement for MAC-CE based active TCI state list activation</w:t>
      </w:r>
      <w:r>
        <w:rPr>
          <w:rFonts w:eastAsia="Calibri" w:cs="Times New Roman"/>
          <w:szCs w:val="20"/>
          <w:lang w:val="en-GB"/>
        </w:rPr>
        <w:t>:</w:t>
      </w:r>
    </w:p>
    <w:p w14:paraId="6C6CC7A0" w14:textId="77777777" w:rsidR="000263F7" w:rsidRDefault="000263F7" w:rsidP="000263F7">
      <w:pPr>
        <w:pStyle w:val="RAN4proposal"/>
      </w:pPr>
      <w:r w:rsidRPr="005F18E9">
        <w:rPr>
          <w:rFonts w:eastAsia="Calibri" w:cs="Times New Roman"/>
          <w:szCs w:val="20"/>
          <w:lang w:val="en-GB"/>
        </w:rPr>
        <w:t>MAC-CE based active TCI state list activation</w:t>
      </w:r>
      <w:r>
        <w:rPr>
          <w:rFonts w:eastAsia="Calibri" w:cs="Times New Roman"/>
          <w:szCs w:val="20"/>
          <w:lang w:val="en-GB"/>
        </w:rPr>
        <w:t xml:space="preserve"> id defined as </w:t>
      </w:r>
      <w:r>
        <w:rPr>
          <w:szCs w:val="20"/>
        </w:rPr>
        <w:t>3*</w:t>
      </w:r>
      <m:oMath>
        <m:sSubSup>
          <m:sSubSupPr>
            <m:ctrlPr>
              <w:rPr>
                <w:rFonts w:ascii="Cambria Math" w:hAnsi="Cambria Math"/>
                <w:b w:val="0"/>
                <w:i/>
                <w:iCs w:val="0"/>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
              </m:rPr>
              <w:rPr>
                <w:rFonts w:ascii="Cambria Math" w:hAnsi="Cambria Math"/>
              </w:rPr>
              <m:t>subframe,μ</m:t>
            </m:r>
          </m:sup>
        </m:sSubSup>
      </m:oMath>
      <w:r>
        <w:rPr>
          <w:rFonts w:eastAsiaTheme="minorEastAsia"/>
          <w:szCs w:val="20"/>
        </w:rPr>
        <w:t xml:space="preserve"> + 1</w:t>
      </w:r>
      <w:r w:rsidRPr="0008612A">
        <w:t>.</w:t>
      </w:r>
    </w:p>
    <w:p w14:paraId="1BD8434F" w14:textId="195D2B39" w:rsidR="000263F7" w:rsidRDefault="000263F7" w:rsidP="001770FE">
      <w:pPr>
        <w:rPr>
          <w:rFonts w:eastAsia="Calibri" w:cs="Times New Roman"/>
          <w:szCs w:val="20"/>
          <w:lang w:val="en-GB"/>
        </w:rPr>
      </w:pPr>
      <w:r w:rsidRPr="005F18E9">
        <w:rPr>
          <w:rFonts w:eastAsia="Calibri" w:cs="Times New Roman"/>
          <w:szCs w:val="20"/>
          <w:lang w:val="en-GB"/>
        </w:rPr>
        <w:t>TCI for SCell activation</w:t>
      </w:r>
      <w:r>
        <w:rPr>
          <w:rFonts w:eastAsia="Calibri" w:cs="Times New Roman"/>
          <w:szCs w:val="20"/>
          <w:lang w:val="en-GB"/>
        </w:rPr>
        <w:t>:</w:t>
      </w:r>
    </w:p>
    <w:p w14:paraId="513AFA38" w14:textId="306CADCB" w:rsidR="000263F7" w:rsidRDefault="000263F7" w:rsidP="000263F7">
      <w:pPr>
        <w:pStyle w:val="RAN4proposal"/>
      </w:pPr>
      <w:r>
        <w:rPr>
          <w:rFonts w:eastAsia="Calibri" w:cs="Times New Roman"/>
          <w:szCs w:val="20"/>
          <w:lang w:val="en-GB"/>
        </w:rPr>
        <w:t>UE shall be able to receive DL in an activated SCell after the SCell activation delay, either based on the QCL assumption with the SSB of the SCell or the applicable TCI state</w:t>
      </w:r>
      <w:r w:rsidRPr="0008612A">
        <w:t>.</w:t>
      </w:r>
    </w:p>
    <w:p w14:paraId="1D3963A0" w14:textId="7C044CCB" w:rsidR="002B4922" w:rsidRDefault="000263F7" w:rsidP="000263F7">
      <w:r>
        <w:t>In [</w:t>
      </w:r>
      <w:r w:rsidR="00382DAD">
        <w:t>2</w:t>
      </w:r>
      <w:r>
        <w:t>] we have provided draft text proposal.</w:t>
      </w:r>
    </w:p>
    <w:p w14:paraId="556733A0" w14:textId="77777777" w:rsidR="000263F7" w:rsidRDefault="000263F7" w:rsidP="000263F7"/>
    <w:p w14:paraId="3DAFBD41" w14:textId="77777777" w:rsidR="003B659E" w:rsidRPr="0095295C" w:rsidRDefault="003B659E" w:rsidP="0008612A">
      <w:pPr>
        <w:pStyle w:val="RAN4H1"/>
      </w:pPr>
      <w:r w:rsidRPr="0095295C">
        <w:t>References</w:t>
      </w:r>
    </w:p>
    <w:p w14:paraId="19FC2F12" w14:textId="16083C9D" w:rsidR="003B659E" w:rsidRDefault="000263F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1" w:name="_Ref431017336"/>
      <w:r w:rsidRPr="000263F7">
        <w:rPr>
          <w:rFonts w:eastAsia="Calibri" w:cs="Times New Roman"/>
          <w:szCs w:val="20"/>
          <w:lang w:val="en-GB"/>
        </w:rPr>
        <w:t>R4-1904700</w:t>
      </w:r>
      <w:r w:rsidR="003B659E" w:rsidRPr="000263F7">
        <w:rPr>
          <w:rFonts w:eastAsia="Times New Roman" w:cs="Times New Roman"/>
          <w:szCs w:val="20"/>
          <w:lang w:val="en-GB"/>
        </w:rPr>
        <w:t xml:space="preserve">, </w:t>
      </w:r>
      <w:r w:rsidRPr="000263F7">
        <w:rPr>
          <w:rFonts w:eastAsia="Calibri" w:cs="Times New Roman"/>
          <w:szCs w:val="20"/>
        </w:rPr>
        <w:t>Way Forward on TCI State Switching Requirements</w:t>
      </w:r>
      <w:r w:rsidR="003B659E" w:rsidRPr="000263F7">
        <w:rPr>
          <w:rFonts w:eastAsia="Times New Roman" w:cs="Times New Roman"/>
          <w:szCs w:val="20"/>
          <w:lang w:val="en-GB"/>
        </w:rPr>
        <w:t xml:space="preserve">, </w:t>
      </w:r>
      <w:r w:rsidRPr="000263F7">
        <w:rPr>
          <w:rFonts w:eastAsia="Times New Roman" w:cs="Times New Roman"/>
          <w:szCs w:val="20"/>
          <w:lang w:val="en-GB"/>
        </w:rPr>
        <w:t>Intel</w:t>
      </w:r>
      <w:r w:rsidR="003B659E" w:rsidRPr="000263F7" w:rsidDel="00C651B9">
        <w:rPr>
          <w:rFonts w:eastAsia="Times New Roman" w:cs="Times New Roman"/>
          <w:szCs w:val="20"/>
          <w:lang w:val="en-GB"/>
        </w:rPr>
        <w:t xml:space="preserve"> </w:t>
      </w:r>
      <w:bookmarkEnd w:id="11"/>
    </w:p>
    <w:p w14:paraId="550A10B3" w14:textId="1E9E8E88" w:rsidR="00817AE8" w:rsidRPr="000263F7" w:rsidRDefault="00817AE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R4-190</w:t>
      </w:r>
      <w:r w:rsidR="00382DAD" w:rsidRPr="00382DAD">
        <w:rPr>
          <w:rFonts w:eastAsia="Calibri" w:cs="Times New Roman"/>
          <w:szCs w:val="20"/>
          <w:lang w:val="en-GB"/>
        </w:rPr>
        <w:t>5942</w:t>
      </w:r>
      <w:r>
        <w:rPr>
          <w:rFonts w:eastAsia="Calibri" w:cs="Times New Roman"/>
          <w:szCs w:val="20"/>
          <w:lang w:val="en-GB"/>
        </w:rPr>
        <w:t xml:space="preserve">, </w:t>
      </w:r>
      <w:r w:rsidRPr="00817AE8">
        <w:rPr>
          <w:rFonts w:eastAsia="Calibri" w:cs="Times New Roman"/>
          <w:szCs w:val="20"/>
        </w:rPr>
        <w:t>CR for TCI State Switching Delay Requirements</w:t>
      </w:r>
      <w:r>
        <w:rPr>
          <w:rFonts w:eastAsia="Calibri" w:cs="Times New Roman"/>
          <w:szCs w:val="20"/>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ADA2E" w14:textId="77777777" w:rsidR="009A23FE" w:rsidRDefault="009A23FE" w:rsidP="00001C9B">
      <w:pPr>
        <w:spacing w:after="0" w:line="240" w:lineRule="auto"/>
      </w:pPr>
      <w:r>
        <w:separator/>
      </w:r>
    </w:p>
  </w:endnote>
  <w:endnote w:type="continuationSeparator" w:id="0">
    <w:p w14:paraId="6D5F0E25" w14:textId="77777777" w:rsidR="009A23FE" w:rsidRDefault="009A23F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656AE" w14:textId="77777777" w:rsidR="009A23FE" w:rsidRDefault="009A23FE" w:rsidP="00001C9B">
      <w:pPr>
        <w:spacing w:after="0" w:line="240" w:lineRule="auto"/>
      </w:pPr>
      <w:r>
        <w:separator/>
      </w:r>
    </w:p>
  </w:footnote>
  <w:footnote w:type="continuationSeparator" w:id="0">
    <w:p w14:paraId="38AC0546" w14:textId="77777777" w:rsidR="009A23FE" w:rsidRDefault="009A23F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789D"/>
    <w:multiLevelType w:val="hybridMultilevel"/>
    <w:tmpl w:val="F85EE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DF2282"/>
    <w:multiLevelType w:val="hybridMultilevel"/>
    <w:tmpl w:val="FC864D90"/>
    <w:lvl w:ilvl="0" w:tplc="E06049D8">
      <w:start w:val="1"/>
      <w:numFmt w:val="bullet"/>
      <w:lvlText w:val="•"/>
      <w:lvlJc w:val="left"/>
      <w:pPr>
        <w:tabs>
          <w:tab w:val="num" w:pos="720"/>
        </w:tabs>
        <w:ind w:left="720" w:hanging="360"/>
      </w:pPr>
      <w:rPr>
        <w:rFonts w:ascii="Arial" w:hAnsi="Arial" w:hint="default"/>
      </w:rPr>
    </w:lvl>
    <w:lvl w:ilvl="1" w:tplc="422858AA">
      <w:start w:val="1"/>
      <w:numFmt w:val="bullet"/>
      <w:lvlText w:val="•"/>
      <w:lvlJc w:val="left"/>
      <w:pPr>
        <w:tabs>
          <w:tab w:val="num" w:pos="1440"/>
        </w:tabs>
        <w:ind w:left="1440" w:hanging="360"/>
      </w:pPr>
      <w:rPr>
        <w:rFonts w:ascii="Arial" w:hAnsi="Arial" w:hint="default"/>
      </w:rPr>
    </w:lvl>
    <w:lvl w:ilvl="2" w:tplc="D78A8A1E" w:tentative="1">
      <w:start w:val="1"/>
      <w:numFmt w:val="bullet"/>
      <w:lvlText w:val="•"/>
      <w:lvlJc w:val="left"/>
      <w:pPr>
        <w:tabs>
          <w:tab w:val="num" w:pos="2160"/>
        </w:tabs>
        <w:ind w:left="2160" w:hanging="360"/>
      </w:pPr>
      <w:rPr>
        <w:rFonts w:ascii="Arial" w:hAnsi="Arial" w:hint="default"/>
      </w:rPr>
    </w:lvl>
    <w:lvl w:ilvl="3" w:tplc="22E2A8AA" w:tentative="1">
      <w:start w:val="1"/>
      <w:numFmt w:val="bullet"/>
      <w:lvlText w:val="•"/>
      <w:lvlJc w:val="left"/>
      <w:pPr>
        <w:tabs>
          <w:tab w:val="num" w:pos="2880"/>
        </w:tabs>
        <w:ind w:left="2880" w:hanging="360"/>
      </w:pPr>
      <w:rPr>
        <w:rFonts w:ascii="Arial" w:hAnsi="Arial" w:hint="default"/>
      </w:rPr>
    </w:lvl>
    <w:lvl w:ilvl="4" w:tplc="EDF44AFC" w:tentative="1">
      <w:start w:val="1"/>
      <w:numFmt w:val="bullet"/>
      <w:lvlText w:val="•"/>
      <w:lvlJc w:val="left"/>
      <w:pPr>
        <w:tabs>
          <w:tab w:val="num" w:pos="3600"/>
        </w:tabs>
        <w:ind w:left="3600" w:hanging="360"/>
      </w:pPr>
      <w:rPr>
        <w:rFonts w:ascii="Arial" w:hAnsi="Arial" w:hint="default"/>
      </w:rPr>
    </w:lvl>
    <w:lvl w:ilvl="5" w:tplc="348C282A" w:tentative="1">
      <w:start w:val="1"/>
      <w:numFmt w:val="bullet"/>
      <w:lvlText w:val="•"/>
      <w:lvlJc w:val="left"/>
      <w:pPr>
        <w:tabs>
          <w:tab w:val="num" w:pos="4320"/>
        </w:tabs>
        <w:ind w:left="4320" w:hanging="360"/>
      </w:pPr>
      <w:rPr>
        <w:rFonts w:ascii="Arial" w:hAnsi="Arial" w:hint="default"/>
      </w:rPr>
    </w:lvl>
    <w:lvl w:ilvl="6" w:tplc="35DECE2A" w:tentative="1">
      <w:start w:val="1"/>
      <w:numFmt w:val="bullet"/>
      <w:lvlText w:val="•"/>
      <w:lvlJc w:val="left"/>
      <w:pPr>
        <w:tabs>
          <w:tab w:val="num" w:pos="5040"/>
        </w:tabs>
        <w:ind w:left="5040" w:hanging="360"/>
      </w:pPr>
      <w:rPr>
        <w:rFonts w:ascii="Arial" w:hAnsi="Arial" w:hint="default"/>
      </w:rPr>
    </w:lvl>
    <w:lvl w:ilvl="7" w:tplc="C6D8C0A0" w:tentative="1">
      <w:start w:val="1"/>
      <w:numFmt w:val="bullet"/>
      <w:lvlText w:val="•"/>
      <w:lvlJc w:val="left"/>
      <w:pPr>
        <w:tabs>
          <w:tab w:val="num" w:pos="5760"/>
        </w:tabs>
        <w:ind w:left="5760" w:hanging="360"/>
      </w:pPr>
      <w:rPr>
        <w:rFonts w:ascii="Arial" w:hAnsi="Arial" w:hint="default"/>
      </w:rPr>
    </w:lvl>
    <w:lvl w:ilvl="8" w:tplc="512C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3E0248"/>
    <w:multiLevelType w:val="hybridMultilevel"/>
    <w:tmpl w:val="73D67752"/>
    <w:lvl w:ilvl="0" w:tplc="E3AAB0F2">
      <w:start w:val="1"/>
      <w:numFmt w:val="bullet"/>
      <w:lvlText w:val="•"/>
      <w:lvlJc w:val="left"/>
      <w:pPr>
        <w:tabs>
          <w:tab w:val="num" w:pos="720"/>
        </w:tabs>
        <w:ind w:left="720" w:hanging="360"/>
      </w:pPr>
      <w:rPr>
        <w:rFonts w:ascii="Arial" w:hAnsi="Arial" w:hint="default"/>
      </w:rPr>
    </w:lvl>
    <w:lvl w:ilvl="1" w:tplc="DFEAC64E">
      <w:start w:val="1"/>
      <w:numFmt w:val="bullet"/>
      <w:lvlText w:val="•"/>
      <w:lvlJc w:val="left"/>
      <w:pPr>
        <w:tabs>
          <w:tab w:val="num" w:pos="1440"/>
        </w:tabs>
        <w:ind w:left="1440" w:hanging="360"/>
      </w:pPr>
      <w:rPr>
        <w:rFonts w:ascii="Arial" w:hAnsi="Arial" w:hint="default"/>
      </w:rPr>
    </w:lvl>
    <w:lvl w:ilvl="2" w:tplc="39FCC628">
      <w:start w:val="110"/>
      <w:numFmt w:val="bullet"/>
      <w:lvlText w:val="−"/>
      <w:lvlJc w:val="left"/>
      <w:pPr>
        <w:tabs>
          <w:tab w:val="num" w:pos="2160"/>
        </w:tabs>
        <w:ind w:left="2160" w:hanging="360"/>
      </w:pPr>
      <w:rPr>
        <w:rFonts w:ascii="Calibri" w:hAnsi="Calibri" w:hint="default"/>
      </w:rPr>
    </w:lvl>
    <w:lvl w:ilvl="3" w:tplc="9D22A144" w:tentative="1">
      <w:start w:val="1"/>
      <w:numFmt w:val="bullet"/>
      <w:lvlText w:val="•"/>
      <w:lvlJc w:val="left"/>
      <w:pPr>
        <w:tabs>
          <w:tab w:val="num" w:pos="2880"/>
        </w:tabs>
        <w:ind w:left="2880" w:hanging="360"/>
      </w:pPr>
      <w:rPr>
        <w:rFonts w:ascii="Arial" w:hAnsi="Arial" w:hint="default"/>
      </w:rPr>
    </w:lvl>
    <w:lvl w:ilvl="4" w:tplc="37DEBA42" w:tentative="1">
      <w:start w:val="1"/>
      <w:numFmt w:val="bullet"/>
      <w:lvlText w:val="•"/>
      <w:lvlJc w:val="left"/>
      <w:pPr>
        <w:tabs>
          <w:tab w:val="num" w:pos="3600"/>
        </w:tabs>
        <w:ind w:left="3600" w:hanging="360"/>
      </w:pPr>
      <w:rPr>
        <w:rFonts w:ascii="Arial" w:hAnsi="Arial" w:hint="default"/>
      </w:rPr>
    </w:lvl>
    <w:lvl w:ilvl="5" w:tplc="EE361038" w:tentative="1">
      <w:start w:val="1"/>
      <w:numFmt w:val="bullet"/>
      <w:lvlText w:val="•"/>
      <w:lvlJc w:val="left"/>
      <w:pPr>
        <w:tabs>
          <w:tab w:val="num" w:pos="4320"/>
        </w:tabs>
        <w:ind w:left="4320" w:hanging="360"/>
      </w:pPr>
      <w:rPr>
        <w:rFonts w:ascii="Arial" w:hAnsi="Arial" w:hint="default"/>
      </w:rPr>
    </w:lvl>
    <w:lvl w:ilvl="6" w:tplc="97D2FE10" w:tentative="1">
      <w:start w:val="1"/>
      <w:numFmt w:val="bullet"/>
      <w:lvlText w:val="•"/>
      <w:lvlJc w:val="left"/>
      <w:pPr>
        <w:tabs>
          <w:tab w:val="num" w:pos="5040"/>
        </w:tabs>
        <w:ind w:left="5040" w:hanging="360"/>
      </w:pPr>
      <w:rPr>
        <w:rFonts w:ascii="Arial" w:hAnsi="Arial" w:hint="default"/>
      </w:rPr>
    </w:lvl>
    <w:lvl w:ilvl="7" w:tplc="4DE24A30" w:tentative="1">
      <w:start w:val="1"/>
      <w:numFmt w:val="bullet"/>
      <w:lvlText w:val="•"/>
      <w:lvlJc w:val="left"/>
      <w:pPr>
        <w:tabs>
          <w:tab w:val="num" w:pos="5760"/>
        </w:tabs>
        <w:ind w:left="5760" w:hanging="360"/>
      </w:pPr>
      <w:rPr>
        <w:rFonts w:ascii="Arial" w:hAnsi="Arial" w:hint="default"/>
      </w:rPr>
    </w:lvl>
    <w:lvl w:ilvl="8" w:tplc="81FE9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6360D9"/>
    <w:multiLevelType w:val="hybridMultilevel"/>
    <w:tmpl w:val="3FB46324"/>
    <w:lvl w:ilvl="0" w:tplc="B8C27A5C">
      <w:start w:val="1"/>
      <w:numFmt w:val="bullet"/>
      <w:lvlText w:val="•"/>
      <w:lvlJc w:val="left"/>
      <w:pPr>
        <w:tabs>
          <w:tab w:val="num" w:pos="720"/>
        </w:tabs>
        <w:ind w:left="720" w:hanging="360"/>
      </w:pPr>
      <w:rPr>
        <w:rFonts w:ascii="Arial" w:hAnsi="Arial" w:hint="default"/>
      </w:rPr>
    </w:lvl>
    <w:lvl w:ilvl="1" w:tplc="81B8F3D6">
      <w:start w:val="1"/>
      <w:numFmt w:val="bullet"/>
      <w:lvlText w:val="•"/>
      <w:lvlJc w:val="left"/>
      <w:pPr>
        <w:tabs>
          <w:tab w:val="num" w:pos="1440"/>
        </w:tabs>
        <w:ind w:left="1440" w:hanging="360"/>
      </w:pPr>
      <w:rPr>
        <w:rFonts w:ascii="Arial" w:hAnsi="Arial" w:hint="default"/>
      </w:rPr>
    </w:lvl>
    <w:lvl w:ilvl="2" w:tplc="241805E2">
      <w:start w:val="110"/>
      <w:numFmt w:val="bullet"/>
      <w:lvlText w:val="−"/>
      <w:lvlJc w:val="left"/>
      <w:pPr>
        <w:tabs>
          <w:tab w:val="num" w:pos="2160"/>
        </w:tabs>
        <w:ind w:left="2160" w:hanging="360"/>
      </w:pPr>
      <w:rPr>
        <w:rFonts w:ascii="Calibri" w:hAnsi="Calibri" w:hint="default"/>
      </w:rPr>
    </w:lvl>
    <w:lvl w:ilvl="3" w:tplc="2B00109C" w:tentative="1">
      <w:start w:val="1"/>
      <w:numFmt w:val="bullet"/>
      <w:lvlText w:val="•"/>
      <w:lvlJc w:val="left"/>
      <w:pPr>
        <w:tabs>
          <w:tab w:val="num" w:pos="2880"/>
        </w:tabs>
        <w:ind w:left="2880" w:hanging="360"/>
      </w:pPr>
      <w:rPr>
        <w:rFonts w:ascii="Arial" w:hAnsi="Arial" w:hint="default"/>
      </w:rPr>
    </w:lvl>
    <w:lvl w:ilvl="4" w:tplc="A88457F2" w:tentative="1">
      <w:start w:val="1"/>
      <w:numFmt w:val="bullet"/>
      <w:lvlText w:val="•"/>
      <w:lvlJc w:val="left"/>
      <w:pPr>
        <w:tabs>
          <w:tab w:val="num" w:pos="3600"/>
        </w:tabs>
        <w:ind w:left="3600" w:hanging="360"/>
      </w:pPr>
      <w:rPr>
        <w:rFonts w:ascii="Arial" w:hAnsi="Arial" w:hint="default"/>
      </w:rPr>
    </w:lvl>
    <w:lvl w:ilvl="5" w:tplc="3CEA3632" w:tentative="1">
      <w:start w:val="1"/>
      <w:numFmt w:val="bullet"/>
      <w:lvlText w:val="•"/>
      <w:lvlJc w:val="left"/>
      <w:pPr>
        <w:tabs>
          <w:tab w:val="num" w:pos="4320"/>
        </w:tabs>
        <w:ind w:left="4320" w:hanging="360"/>
      </w:pPr>
      <w:rPr>
        <w:rFonts w:ascii="Arial" w:hAnsi="Arial" w:hint="default"/>
      </w:rPr>
    </w:lvl>
    <w:lvl w:ilvl="6" w:tplc="987E99C0" w:tentative="1">
      <w:start w:val="1"/>
      <w:numFmt w:val="bullet"/>
      <w:lvlText w:val="•"/>
      <w:lvlJc w:val="left"/>
      <w:pPr>
        <w:tabs>
          <w:tab w:val="num" w:pos="5040"/>
        </w:tabs>
        <w:ind w:left="5040" w:hanging="360"/>
      </w:pPr>
      <w:rPr>
        <w:rFonts w:ascii="Arial" w:hAnsi="Arial" w:hint="default"/>
      </w:rPr>
    </w:lvl>
    <w:lvl w:ilvl="7" w:tplc="02524734" w:tentative="1">
      <w:start w:val="1"/>
      <w:numFmt w:val="bullet"/>
      <w:lvlText w:val="•"/>
      <w:lvlJc w:val="left"/>
      <w:pPr>
        <w:tabs>
          <w:tab w:val="num" w:pos="5760"/>
        </w:tabs>
        <w:ind w:left="5760" w:hanging="360"/>
      </w:pPr>
      <w:rPr>
        <w:rFonts w:ascii="Arial" w:hAnsi="Arial" w:hint="default"/>
      </w:rPr>
    </w:lvl>
    <w:lvl w:ilvl="8" w:tplc="289E83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7239A"/>
    <w:multiLevelType w:val="hybridMultilevel"/>
    <w:tmpl w:val="29668E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E0247"/>
    <w:multiLevelType w:val="hybridMultilevel"/>
    <w:tmpl w:val="088E7980"/>
    <w:lvl w:ilvl="0" w:tplc="8416CC3A">
      <w:start w:val="1"/>
      <w:numFmt w:val="bullet"/>
      <w:lvlText w:val="•"/>
      <w:lvlJc w:val="left"/>
      <w:pPr>
        <w:tabs>
          <w:tab w:val="num" w:pos="720"/>
        </w:tabs>
        <w:ind w:left="720" w:hanging="360"/>
      </w:pPr>
      <w:rPr>
        <w:rFonts w:ascii="Arial" w:hAnsi="Arial" w:hint="default"/>
      </w:rPr>
    </w:lvl>
    <w:lvl w:ilvl="1" w:tplc="57CED530">
      <w:start w:val="1"/>
      <w:numFmt w:val="bullet"/>
      <w:lvlText w:val="•"/>
      <w:lvlJc w:val="left"/>
      <w:pPr>
        <w:tabs>
          <w:tab w:val="num" w:pos="1440"/>
        </w:tabs>
        <w:ind w:left="1440" w:hanging="360"/>
      </w:pPr>
      <w:rPr>
        <w:rFonts w:ascii="Arial" w:hAnsi="Arial" w:hint="default"/>
      </w:rPr>
    </w:lvl>
    <w:lvl w:ilvl="2" w:tplc="1A70B1FA">
      <w:start w:val="110"/>
      <w:numFmt w:val="bullet"/>
      <w:lvlText w:val="•"/>
      <w:lvlJc w:val="left"/>
      <w:pPr>
        <w:tabs>
          <w:tab w:val="num" w:pos="2160"/>
        </w:tabs>
        <w:ind w:left="2160" w:hanging="360"/>
      </w:pPr>
      <w:rPr>
        <w:rFonts w:ascii="Arial" w:hAnsi="Arial" w:hint="default"/>
      </w:rPr>
    </w:lvl>
    <w:lvl w:ilvl="3" w:tplc="5CB05370" w:tentative="1">
      <w:start w:val="1"/>
      <w:numFmt w:val="bullet"/>
      <w:lvlText w:val="•"/>
      <w:lvlJc w:val="left"/>
      <w:pPr>
        <w:tabs>
          <w:tab w:val="num" w:pos="2880"/>
        </w:tabs>
        <w:ind w:left="2880" w:hanging="360"/>
      </w:pPr>
      <w:rPr>
        <w:rFonts w:ascii="Arial" w:hAnsi="Arial" w:hint="default"/>
      </w:rPr>
    </w:lvl>
    <w:lvl w:ilvl="4" w:tplc="8598BC96" w:tentative="1">
      <w:start w:val="1"/>
      <w:numFmt w:val="bullet"/>
      <w:lvlText w:val="•"/>
      <w:lvlJc w:val="left"/>
      <w:pPr>
        <w:tabs>
          <w:tab w:val="num" w:pos="3600"/>
        </w:tabs>
        <w:ind w:left="3600" w:hanging="360"/>
      </w:pPr>
      <w:rPr>
        <w:rFonts w:ascii="Arial" w:hAnsi="Arial" w:hint="default"/>
      </w:rPr>
    </w:lvl>
    <w:lvl w:ilvl="5" w:tplc="6FCC7724" w:tentative="1">
      <w:start w:val="1"/>
      <w:numFmt w:val="bullet"/>
      <w:lvlText w:val="•"/>
      <w:lvlJc w:val="left"/>
      <w:pPr>
        <w:tabs>
          <w:tab w:val="num" w:pos="4320"/>
        </w:tabs>
        <w:ind w:left="4320" w:hanging="360"/>
      </w:pPr>
      <w:rPr>
        <w:rFonts w:ascii="Arial" w:hAnsi="Arial" w:hint="default"/>
      </w:rPr>
    </w:lvl>
    <w:lvl w:ilvl="6" w:tplc="2444B012" w:tentative="1">
      <w:start w:val="1"/>
      <w:numFmt w:val="bullet"/>
      <w:lvlText w:val="•"/>
      <w:lvlJc w:val="left"/>
      <w:pPr>
        <w:tabs>
          <w:tab w:val="num" w:pos="5040"/>
        </w:tabs>
        <w:ind w:left="5040" w:hanging="360"/>
      </w:pPr>
      <w:rPr>
        <w:rFonts w:ascii="Arial" w:hAnsi="Arial" w:hint="default"/>
      </w:rPr>
    </w:lvl>
    <w:lvl w:ilvl="7" w:tplc="1930B238" w:tentative="1">
      <w:start w:val="1"/>
      <w:numFmt w:val="bullet"/>
      <w:lvlText w:val="•"/>
      <w:lvlJc w:val="left"/>
      <w:pPr>
        <w:tabs>
          <w:tab w:val="num" w:pos="5760"/>
        </w:tabs>
        <w:ind w:left="5760" w:hanging="360"/>
      </w:pPr>
      <w:rPr>
        <w:rFonts w:ascii="Arial" w:hAnsi="Arial" w:hint="default"/>
      </w:rPr>
    </w:lvl>
    <w:lvl w:ilvl="8" w:tplc="7C9862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62351"/>
    <w:multiLevelType w:val="hybridMultilevel"/>
    <w:tmpl w:val="2FD2D13A"/>
    <w:lvl w:ilvl="0" w:tplc="32C05728">
      <w:start w:val="1"/>
      <w:numFmt w:val="decimal"/>
      <w:lvlText w:val="%1."/>
      <w:lvlJc w:val="left"/>
      <w:pPr>
        <w:tabs>
          <w:tab w:val="num" w:pos="720"/>
        </w:tabs>
        <w:ind w:left="720" w:hanging="360"/>
      </w:pPr>
    </w:lvl>
    <w:lvl w:ilvl="1" w:tplc="1AC43A6A">
      <w:start w:val="1"/>
      <w:numFmt w:val="decimal"/>
      <w:lvlText w:val="%2."/>
      <w:lvlJc w:val="left"/>
      <w:pPr>
        <w:tabs>
          <w:tab w:val="num" w:pos="1440"/>
        </w:tabs>
        <w:ind w:left="1440" w:hanging="360"/>
      </w:pPr>
    </w:lvl>
    <w:lvl w:ilvl="2" w:tplc="5FA00FF6">
      <w:start w:val="1"/>
      <w:numFmt w:val="decimal"/>
      <w:lvlText w:val="%3."/>
      <w:lvlJc w:val="left"/>
      <w:pPr>
        <w:tabs>
          <w:tab w:val="num" w:pos="2160"/>
        </w:tabs>
        <w:ind w:left="2160" w:hanging="360"/>
      </w:pPr>
    </w:lvl>
    <w:lvl w:ilvl="3" w:tplc="C3A420F8" w:tentative="1">
      <w:start w:val="1"/>
      <w:numFmt w:val="decimal"/>
      <w:lvlText w:val="%4."/>
      <w:lvlJc w:val="left"/>
      <w:pPr>
        <w:tabs>
          <w:tab w:val="num" w:pos="2880"/>
        </w:tabs>
        <w:ind w:left="2880" w:hanging="360"/>
      </w:pPr>
    </w:lvl>
    <w:lvl w:ilvl="4" w:tplc="3E3A8BBA" w:tentative="1">
      <w:start w:val="1"/>
      <w:numFmt w:val="decimal"/>
      <w:lvlText w:val="%5."/>
      <w:lvlJc w:val="left"/>
      <w:pPr>
        <w:tabs>
          <w:tab w:val="num" w:pos="3600"/>
        </w:tabs>
        <w:ind w:left="3600" w:hanging="360"/>
      </w:pPr>
    </w:lvl>
    <w:lvl w:ilvl="5" w:tplc="D988C842" w:tentative="1">
      <w:start w:val="1"/>
      <w:numFmt w:val="decimal"/>
      <w:lvlText w:val="%6."/>
      <w:lvlJc w:val="left"/>
      <w:pPr>
        <w:tabs>
          <w:tab w:val="num" w:pos="4320"/>
        </w:tabs>
        <w:ind w:left="4320" w:hanging="360"/>
      </w:pPr>
    </w:lvl>
    <w:lvl w:ilvl="6" w:tplc="486A7A50" w:tentative="1">
      <w:start w:val="1"/>
      <w:numFmt w:val="decimal"/>
      <w:lvlText w:val="%7."/>
      <w:lvlJc w:val="left"/>
      <w:pPr>
        <w:tabs>
          <w:tab w:val="num" w:pos="5040"/>
        </w:tabs>
        <w:ind w:left="5040" w:hanging="360"/>
      </w:pPr>
    </w:lvl>
    <w:lvl w:ilvl="7" w:tplc="B14C2398" w:tentative="1">
      <w:start w:val="1"/>
      <w:numFmt w:val="decimal"/>
      <w:lvlText w:val="%8."/>
      <w:lvlJc w:val="left"/>
      <w:pPr>
        <w:tabs>
          <w:tab w:val="num" w:pos="5760"/>
        </w:tabs>
        <w:ind w:left="5760" w:hanging="360"/>
      </w:pPr>
    </w:lvl>
    <w:lvl w:ilvl="8" w:tplc="E2043872" w:tentative="1">
      <w:start w:val="1"/>
      <w:numFmt w:val="decimal"/>
      <w:lvlText w:val="%9."/>
      <w:lvlJc w:val="left"/>
      <w:pPr>
        <w:tabs>
          <w:tab w:val="num" w:pos="6480"/>
        </w:tabs>
        <w:ind w:left="6480" w:hanging="36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E0D8A"/>
    <w:multiLevelType w:val="hybridMultilevel"/>
    <w:tmpl w:val="192C2252"/>
    <w:lvl w:ilvl="0" w:tplc="F5DE0DB0">
      <w:start w:val="1"/>
      <w:numFmt w:val="bullet"/>
      <w:lvlText w:val="•"/>
      <w:lvlJc w:val="left"/>
      <w:pPr>
        <w:tabs>
          <w:tab w:val="num" w:pos="720"/>
        </w:tabs>
        <w:ind w:left="720" w:hanging="360"/>
      </w:pPr>
      <w:rPr>
        <w:rFonts w:ascii="Arial" w:hAnsi="Arial" w:hint="default"/>
      </w:rPr>
    </w:lvl>
    <w:lvl w:ilvl="1" w:tplc="8BB08A7C">
      <w:start w:val="1"/>
      <w:numFmt w:val="bullet"/>
      <w:lvlText w:val="•"/>
      <w:lvlJc w:val="left"/>
      <w:pPr>
        <w:tabs>
          <w:tab w:val="num" w:pos="1440"/>
        </w:tabs>
        <w:ind w:left="1440" w:hanging="360"/>
      </w:pPr>
      <w:rPr>
        <w:rFonts w:ascii="Arial" w:hAnsi="Arial" w:hint="default"/>
      </w:rPr>
    </w:lvl>
    <w:lvl w:ilvl="2" w:tplc="3F2CD7D4" w:tentative="1">
      <w:start w:val="1"/>
      <w:numFmt w:val="bullet"/>
      <w:lvlText w:val="•"/>
      <w:lvlJc w:val="left"/>
      <w:pPr>
        <w:tabs>
          <w:tab w:val="num" w:pos="2160"/>
        </w:tabs>
        <w:ind w:left="2160" w:hanging="360"/>
      </w:pPr>
      <w:rPr>
        <w:rFonts w:ascii="Arial" w:hAnsi="Arial" w:hint="default"/>
      </w:rPr>
    </w:lvl>
    <w:lvl w:ilvl="3" w:tplc="77461BE8" w:tentative="1">
      <w:start w:val="1"/>
      <w:numFmt w:val="bullet"/>
      <w:lvlText w:val="•"/>
      <w:lvlJc w:val="left"/>
      <w:pPr>
        <w:tabs>
          <w:tab w:val="num" w:pos="2880"/>
        </w:tabs>
        <w:ind w:left="2880" w:hanging="360"/>
      </w:pPr>
      <w:rPr>
        <w:rFonts w:ascii="Arial" w:hAnsi="Arial" w:hint="default"/>
      </w:rPr>
    </w:lvl>
    <w:lvl w:ilvl="4" w:tplc="F888FA06" w:tentative="1">
      <w:start w:val="1"/>
      <w:numFmt w:val="bullet"/>
      <w:lvlText w:val="•"/>
      <w:lvlJc w:val="left"/>
      <w:pPr>
        <w:tabs>
          <w:tab w:val="num" w:pos="3600"/>
        </w:tabs>
        <w:ind w:left="3600" w:hanging="360"/>
      </w:pPr>
      <w:rPr>
        <w:rFonts w:ascii="Arial" w:hAnsi="Arial" w:hint="default"/>
      </w:rPr>
    </w:lvl>
    <w:lvl w:ilvl="5" w:tplc="48CADF9A" w:tentative="1">
      <w:start w:val="1"/>
      <w:numFmt w:val="bullet"/>
      <w:lvlText w:val="•"/>
      <w:lvlJc w:val="left"/>
      <w:pPr>
        <w:tabs>
          <w:tab w:val="num" w:pos="4320"/>
        </w:tabs>
        <w:ind w:left="4320" w:hanging="360"/>
      </w:pPr>
      <w:rPr>
        <w:rFonts w:ascii="Arial" w:hAnsi="Arial" w:hint="default"/>
      </w:rPr>
    </w:lvl>
    <w:lvl w:ilvl="6" w:tplc="DB5871F2" w:tentative="1">
      <w:start w:val="1"/>
      <w:numFmt w:val="bullet"/>
      <w:lvlText w:val="•"/>
      <w:lvlJc w:val="left"/>
      <w:pPr>
        <w:tabs>
          <w:tab w:val="num" w:pos="5040"/>
        </w:tabs>
        <w:ind w:left="5040" w:hanging="360"/>
      </w:pPr>
      <w:rPr>
        <w:rFonts w:ascii="Arial" w:hAnsi="Arial" w:hint="default"/>
      </w:rPr>
    </w:lvl>
    <w:lvl w:ilvl="7" w:tplc="CC0ECB26" w:tentative="1">
      <w:start w:val="1"/>
      <w:numFmt w:val="bullet"/>
      <w:lvlText w:val="•"/>
      <w:lvlJc w:val="left"/>
      <w:pPr>
        <w:tabs>
          <w:tab w:val="num" w:pos="5760"/>
        </w:tabs>
        <w:ind w:left="5760" w:hanging="360"/>
      </w:pPr>
      <w:rPr>
        <w:rFonts w:ascii="Arial" w:hAnsi="Arial" w:hint="default"/>
      </w:rPr>
    </w:lvl>
    <w:lvl w:ilvl="8" w:tplc="E6D88D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CF53F0"/>
    <w:multiLevelType w:val="hybridMultilevel"/>
    <w:tmpl w:val="E2323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C7276"/>
    <w:multiLevelType w:val="hybridMultilevel"/>
    <w:tmpl w:val="DD1AA9E6"/>
    <w:lvl w:ilvl="0" w:tplc="4B4626A0">
      <w:start w:val="1"/>
      <w:numFmt w:val="bullet"/>
      <w:lvlText w:val="•"/>
      <w:lvlJc w:val="left"/>
      <w:pPr>
        <w:tabs>
          <w:tab w:val="num" w:pos="720"/>
        </w:tabs>
        <w:ind w:left="720" w:hanging="360"/>
      </w:pPr>
      <w:rPr>
        <w:rFonts w:ascii="Arial" w:hAnsi="Arial" w:hint="default"/>
      </w:rPr>
    </w:lvl>
    <w:lvl w:ilvl="1" w:tplc="3050D6E4">
      <w:start w:val="1"/>
      <w:numFmt w:val="bullet"/>
      <w:lvlText w:val="•"/>
      <w:lvlJc w:val="left"/>
      <w:pPr>
        <w:tabs>
          <w:tab w:val="num" w:pos="1440"/>
        </w:tabs>
        <w:ind w:left="1440" w:hanging="360"/>
      </w:pPr>
      <w:rPr>
        <w:rFonts w:ascii="Arial" w:hAnsi="Arial" w:hint="default"/>
      </w:rPr>
    </w:lvl>
    <w:lvl w:ilvl="2" w:tplc="85F81924" w:tentative="1">
      <w:start w:val="1"/>
      <w:numFmt w:val="bullet"/>
      <w:lvlText w:val="•"/>
      <w:lvlJc w:val="left"/>
      <w:pPr>
        <w:tabs>
          <w:tab w:val="num" w:pos="2160"/>
        </w:tabs>
        <w:ind w:left="2160" w:hanging="360"/>
      </w:pPr>
      <w:rPr>
        <w:rFonts w:ascii="Arial" w:hAnsi="Arial" w:hint="default"/>
      </w:rPr>
    </w:lvl>
    <w:lvl w:ilvl="3" w:tplc="B9940E86" w:tentative="1">
      <w:start w:val="1"/>
      <w:numFmt w:val="bullet"/>
      <w:lvlText w:val="•"/>
      <w:lvlJc w:val="left"/>
      <w:pPr>
        <w:tabs>
          <w:tab w:val="num" w:pos="2880"/>
        </w:tabs>
        <w:ind w:left="2880" w:hanging="360"/>
      </w:pPr>
      <w:rPr>
        <w:rFonts w:ascii="Arial" w:hAnsi="Arial" w:hint="default"/>
      </w:rPr>
    </w:lvl>
    <w:lvl w:ilvl="4" w:tplc="97EA7908" w:tentative="1">
      <w:start w:val="1"/>
      <w:numFmt w:val="bullet"/>
      <w:lvlText w:val="•"/>
      <w:lvlJc w:val="left"/>
      <w:pPr>
        <w:tabs>
          <w:tab w:val="num" w:pos="3600"/>
        </w:tabs>
        <w:ind w:left="3600" w:hanging="360"/>
      </w:pPr>
      <w:rPr>
        <w:rFonts w:ascii="Arial" w:hAnsi="Arial" w:hint="default"/>
      </w:rPr>
    </w:lvl>
    <w:lvl w:ilvl="5" w:tplc="B8CCF82A" w:tentative="1">
      <w:start w:val="1"/>
      <w:numFmt w:val="bullet"/>
      <w:lvlText w:val="•"/>
      <w:lvlJc w:val="left"/>
      <w:pPr>
        <w:tabs>
          <w:tab w:val="num" w:pos="4320"/>
        </w:tabs>
        <w:ind w:left="4320" w:hanging="360"/>
      </w:pPr>
      <w:rPr>
        <w:rFonts w:ascii="Arial" w:hAnsi="Arial" w:hint="default"/>
      </w:rPr>
    </w:lvl>
    <w:lvl w:ilvl="6" w:tplc="09F437D4" w:tentative="1">
      <w:start w:val="1"/>
      <w:numFmt w:val="bullet"/>
      <w:lvlText w:val="•"/>
      <w:lvlJc w:val="left"/>
      <w:pPr>
        <w:tabs>
          <w:tab w:val="num" w:pos="5040"/>
        </w:tabs>
        <w:ind w:left="5040" w:hanging="360"/>
      </w:pPr>
      <w:rPr>
        <w:rFonts w:ascii="Arial" w:hAnsi="Arial" w:hint="default"/>
      </w:rPr>
    </w:lvl>
    <w:lvl w:ilvl="7" w:tplc="3F1ECC18" w:tentative="1">
      <w:start w:val="1"/>
      <w:numFmt w:val="bullet"/>
      <w:lvlText w:val="•"/>
      <w:lvlJc w:val="left"/>
      <w:pPr>
        <w:tabs>
          <w:tab w:val="num" w:pos="5760"/>
        </w:tabs>
        <w:ind w:left="5760" w:hanging="360"/>
      </w:pPr>
      <w:rPr>
        <w:rFonts w:ascii="Arial" w:hAnsi="Arial" w:hint="default"/>
      </w:rPr>
    </w:lvl>
    <w:lvl w:ilvl="8" w:tplc="2D3CAE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A72317"/>
    <w:multiLevelType w:val="hybridMultilevel"/>
    <w:tmpl w:val="E6D050E2"/>
    <w:lvl w:ilvl="0" w:tplc="4A945FDC">
      <w:start w:val="1"/>
      <w:numFmt w:val="bullet"/>
      <w:lvlText w:val="•"/>
      <w:lvlJc w:val="left"/>
      <w:pPr>
        <w:tabs>
          <w:tab w:val="num" w:pos="720"/>
        </w:tabs>
        <w:ind w:left="720" w:hanging="360"/>
      </w:pPr>
      <w:rPr>
        <w:rFonts w:ascii="Arial" w:hAnsi="Arial" w:hint="default"/>
      </w:rPr>
    </w:lvl>
    <w:lvl w:ilvl="1" w:tplc="F9106F56">
      <w:start w:val="1"/>
      <w:numFmt w:val="bullet"/>
      <w:lvlText w:val="•"/>
      <w:lvlJc w:val="left"/>
      <w:pPr>
        <w:tabs>
          <w:tab w:val="num" w:pos="1440"/>
        </w:tabs>
        <w:ind w:left="1440" w:hanging="360"/>
      </w:pPr>
      <w:rPr>
        <w:rFonts w:ascii="Arial" w:hAnsi="Arial" w:hint="default"/>
      </w:rPr>
    </w:lvl>
    <w:lvl w:ilvl="2" w:tplc="AC780724">
      <w:start w:val="110"/>
      <w:numFmt w:val="bullet"/>
      <w:lvlText w:val="•"/>
      <w:lvlJc w:val="left"/>
      <w:pPr>
        <w:tabs>
          <w:tab w:val="num" w:pos="2160"/>
        </w:tabs>
        <w:ind w:left="2160" w:hanging="360"/>
      </w:pPr>
      <w:rPr>
        <w:rFonts w:ascii="Arial" w:hAnsi="Arial" w:hint="default"/>
      </w:rPr>
    </w:lvl>
    <w:lvl w:ilvl="3" w:tplc="303E1DF8" w:tentative="1">
      <w:start w:val="1"/>
      <w:numFmt w:val="bullet"/>
      <w:lvlText w:val="•"/>
      <w:lvlJc w:val="left"/>
      <w:pPr>
        <w:tabs>
          <w:tab w:val="num" w:pos="2880"/>
        </w:tabs>
        <w:ind w:left="2880" w:hanging="360"/>
      </w:pPr>
      <w:rPr>
        <w:rFonts w:ascii="Arial" w:hAnsi="Arial" w:hint="default"/>
      </w:rPr>
    </w:lvl>
    <w:lvl w:ilvl="4" w:tplc="2390A79E" w:tentative="1">
      <w:start w:val="1"/>
      <w:numFmt w:val="bullet"/>
      <w:lvlText w:val="•"/>
      <w:lvlJc w:val="left"/>
      <w:pPr>
        <w:tabs>
          <w:tab w:val="num" w:pos="3600"/>
        </w:tabs>
        <w:ind w:left="3600" w:hanging="360"/>
      </w:pPr>
      <w:rPr>
        <w:rFonts w:ascii="Arial" w:hAnsi="Arial" w:hint="default"/>
      </w:rPr>
    </w:lvl>
    <w:lvl w:ilvl="5" w:tplc="CF1E67E4" w:tentative="1">
      <w:start w:val="1"/>
      <w:numFmt w:val="bullet"/>
      <w:lvlText w:val="•"/>
      <w:lvlJc w:val="left"/>
      <w:pPr>
        <w:tabs>
          <w:tab w:val="num" w:pos="4320"/>
        </w:tabs>
        <w:ind w:left="4320" w:hanging="360"/>
      </w:pPr>
      <w:rPr>
        <w:rFonts w:ascii="Arial" w:hAnsi="Arial" w:hint="default"/>
      </w:rPr>
    </w:lvl>
    <w:lvl w:ilvl="6" w:tplc="07AA4296" w:tentative="1">
      <w:start w:val="1"/>
      <w:numFmt w:val="bullet"/>
      <w:lvlText w:val="•"/>
      <w:lvlJc w:val="left"/>
      <w:pPr>
        <w:tabs>
          <w:tab w:val="num" w:pos="5040"/>
        </w:tabs>
        <w:ind w:left="5040" w:hanging="360"/>
      </w:pPr>
      <w:rPr>
        <w:rFonts w:ascii="Arial" w:hAnsi="Arial" w:hint="default"/>
      </w:rPr>
    </w:lvl>
    <w:lvl w:ilvl="7" w:tplc="F5AE9A0A" w:tentative="1">
      <w:start w:val="1"/>
      <w:numFmt w:val="bullet"/>
      <w:lvlText w:val="•"/>
      <w:lvlJc w:val="left"/>
      <w:pPr>
        <w:tabs>
          <w:tab w:val="num" w:pos="5760"/>
        </w:tabs>
        <w:ind w:left="5760" w:hanging="360"/>
      </w:pPr>
      <w:rPr>
        <w:rFonts w:ascii="Arial" w:hAnsi="Arial" w:hint="default"/>
      </w:rPr>
    </w:lvl>
    <w:lvl w:ilvl="8" w:tplc="1CFA2A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DC6F4E"/>
    <w:multiLevelType w:val="hybridMultilevel"/>
    <w:tmpl w:val="AD763C6C"/>
    <w:lvl w:ilvl="0" w:tplc="7EF89212">
      <w:start w:val="1"/>
      <w:numFmt w:val="bullet"/>
      <w:lvlText w:val="•"/>
      <w:lvlJc w:val="left"/>
      <w:pPr>
        <w:tabs>
          <w:tab w:val="num" w:pos="720"/>
        </w:tabs>
        <w:ind w:left="720" w:hanging="360"/>
      </w:pPr>
      <w:rPr>
        <w:rFonts w:ascii="Arial" w:hAnsi="Arial" w:hint="default"/>
      </w:rPr>
    </w:lvl>
    <w:lvl w:ilvl="1" w:tplc="46B271A6">
      <w:start w:val="1"/>
      <w:numFmt w:val="bullet"/>
      <w:lvlText w:val="•"/>
      <w:lvlJc w:val="left"/>
      <w:pPr>
        <w:tabs>
          <w:tab w:val="num" w:pos="1440"/>
        </w:tabs>
        <w:ind w:left="1440" w:hanging="360"/>
      </w:pPr>
      <w:rPr>
        <w:rFonts w:ascii="Arial" w:hAnsi="Arial" w:hint="default"/>
      </w:rPr>
    </w:lvl>
    <w:lvl w:ilvl="2" w:tplc="5E0EA19E">
      <w:start w:val="110"/>
      <w:numFmt w:val="bullet"/>
      <w:lvlText w:val="•"/>
      <w:lvlJc w:val="left"/>
      <w:pPr>
        <w:tabs>
          <w:tab w:val="num" w:pos="2160"/>
        </w:tabs>
        <w:ind w:left="2160" w:hanging="360"/>
      </w:pPr>
      <w:rPr>
        <w:rFonts w:ascii="Arial" w:hAnsi="Arial" w:hint="default"/>
      </w:rPr>
    </w:lvl>
    <w:lvl w:ilvl="3" w:tplc="BBE61534" w:tentative="1">
      <w:start w:val="1"/>
      <w:numFmt w:val="bullet"/>
      <w:lvlText w:val="•"/>
      <w:lvlJc w:val="left"/>
      <w:pPr>
        <w:tabs>
          <w:tab w:val="num" w:pos="2880"/>
        </w:tabs>
        <w:ind w:left="2880" w:hanging="360"/>
      </w:pPr>
      <w:rPr>
        <w:rFonts w:ascii="Arial" w:hAnsi="Arial" w:hint="default"/>
      </w:rPr>
    </w:lvl>
    <w:lvl w:ilvl="4" w:tplc="E3B8B50C" w:tentative="1">
      <w:start w:val="1"/>
      <w:numFmt w:val="bullet"/>
      <w:lvlText w:val="•"/>
      <w:lvlJc w:val="left"/>
      <w:pPr>
        <w:tabs>
          <w:tab w:val="num" w:pos="3600"/>
        </w:tabs>
        <w:ind w:left="3600" w:hanging="360"/>
      </w:pPr>
      <w:rPr>
        <w:rFonts w:ascii="Arial" w:hAnsi="Arial" w:hint="default"/>
      </w:rPr>
    </w:lvl>
    <w:lvl w:ilvl="5" w:tplc="27927554" w:tentative="1">
      <w:start w:val="1"/>
      <w:numFmt w:val="bullet"/>
      <w:lvlText w:val="•"/>
      <w:lvlJc w:val="left"/>
      <w:pPr>
        <w:tabs>
          <w:tab w:val="num" w:pos="4320"/>
        </w:tabs>
        <w:ind w:left="4320" w:hanging="360"/>
      </w:pPr>
      <w:rPr>
        <w:rFonts w:ascii="Arial" w:hAnsi="Arial" w:hint="default"/>
      </w:rPr>
    </w:lvl>
    <w:lvl w:ilvl="6" w:tplc="B1E894E6" w:tentative="1">
      <w:start w:val="1"/>
      <w:numFmt w:val="bullet"/>
      <w:lvlText w:val="•"/>
      <w:lvlJc w:val="left"/>
      <w:pPr>
        <w:tabs>
          <w:tab w:val="num" w:pos="5040"/>
        </w:tabs>
        <w:ind w:left="5040" w:hanging="360"/>
      </w:pPr>
      <w:rPr>
        <w:rFonts w:ascii="Arial" w:hAnsi="Arial" w:hint="default"/>
      </w:rPr>
    </w:lvl>
    <w:lvl w:ilvl="7" w:tplc="AC8280D2" w:tentative="1">
      <w:start w:val="1"/>
      <w:numFmt w:val="bullet"/>
      <w:lvlText w:val="•"/>
      <w:lvlJc w:val="left"/>
      <w:pPr>
        <w:tabs>
          <w:tab w:val="num" w:pos="5760"/>
        </w:tabs>
        <w:ind w:left="5760" w:hanging="360"/>
      </w:pPr>
      <w:rPr>
        <w:rFonts w:ascii="Arial" w:hAnsi="Arial" w:hint="default"/>
      </w:rPr>
    </w:lvl>
    <w:lvl w:ilvl="8" w:tplc="7FDA4C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B9718B"/>
    <w:multiLevelType w:val="hybridMultilevel"/>
    <w:tmpl w:val="45AC3A68"/>
    <w:lvl w:ilvl="0" w:tplc="0FA8E616">
      <w:start w:val="1"/>
      <w:numFmt w:val="bullet"/>
      <w:lvlText w:val="•"/>
      <w:lvlJc w:val="left"/>
      <w:pPr>
        <w:tabs>
          <w:tab w:val="num" w:pos="720"/>
        </w:tabs>
        <w:ind w:left="720" w:hanging="360"/>
      </w:pPr>
      <w:rPr>
        <w:rFonts w:ascii="Arial" w:hAnsi="Arial" w:hint="default"/>
      </w:rPr>
    </w:lvl>
    <w:lvl w:ilvl="1" w:tplc="74CC54EC">
      <w:start w:val="1"/>
      <w:numFmt w:val="bullet"/>
      <w:lvlText w:val="•"/>
      <w:lvlJc w:val="left"/>
      <w:pPr>
        <w:tabs>
          <w:tab w:val="num" w:pos="1440"/>
        </w:tabs>
        <w:ind w:left="1440" w:hanging="360"/>
      </w:pPr>
      <w:rPr>
        <w:rFonts w:ascii="Arial" w:hAnsi="Arial" w:hint="default"/>
      </w:rPr>
    </w:lvl>
    <w:lvl w:ilvl="2" w:tplc="7BD051C2">
      <w:start w:val="110"/>
      <w:numFmt w:val="bullet"/>
      <w:lvlText w:val="•"/>
      <w:lvlJc w:val="left"/>
      <w:pPr>
        <w:tabs>
          <w:tab w:val="num" w:pos="2160"/>
        </w:tabs>
        <w:ind w:left="2160" w:hanging="360"/>
      </w:pPr>
      <w:rPr>
        <w:rFonts w:ascii="Arial" w:hAnsi="Arial" w:hint="default"/>
      </w:rPr>
    </w:lvl>
    <w:lvl w:ilvl="3" w:tplc="12849D78" w:tentative="1">
      <w:start w:val="1"/>
      <w:numFmt w:val="bullet"/>
      <w:lvlText w:val="•"/>
      <w:lvlJc w:val="left"/>
      <w:pPr>
        <w:tabs>
          <w:tab w:val="num" w:pos="2880"/>
        </w:tabs>
        <w:ind w:left="2880" w:hanging="360"/>
      </w:pPr>
      <w:rPr>
        <w:rFonts w:ascii="Arial" w:hAnsi="Arial" w:hint="default"/>
      </w:rPr>
    </w:lvl>
    <w:lvl w:ilvl="4" w:tplc="8C74D98A" w:tentative="1">
      <w:start w:val="1"/>
      <w:numFmt w:val="bullet"/>
      <w:lvlText w:val="•"/>
      <w:lvlJc w:val="left"/>
      <w:pPr>
        <w:tabs>
          <w:tab w:val="num" w:pos="3600"/>
        </w:tabs>
        <w:ind w:left="3600" w:hanging="360"/>
      </w:pPr>
      <w:rPr>
        <w:rFonts w:ascii="Arial" w:hAnsi="Arial" w:hint="default"/>
      </w:rPr>
    </w:lvl>
    <w:lvl w:ilvl="5" w:tplc="FFAAA15A" w:tentative="1">
      <w:start w:val="1"/>
      <w:numFmt w:val="bullet"/>
      <w:lvlText w:val="•"/>
      <w:lvlJc w:val="left"/>
      <w:pPr>
        <w:tabs>
          <w:tab w:val="num" w:pos="4320"/>
        </w:tabs>
        <w:ind w:left="4320" w:hanging="360"/>
      </w:pPr>
      <w:rPr>
        <w:rFonts w:ascii="Arial" w:hAnsi="Arial" w:hint="default"/>
      </w:rPr>
    </w:lvl>
    <w:lvl w:ilvl="6" w:tplc="72DE33B8" w:tentative="1">
      <w:start w:val="1"/>
      <w:numFmt w:val="bullet"/>
      <w:lvlText w:val="•"/>
      <w:lvlJc w:val="left"/>
      <w:pPr>
        <w:tabs>
          <w:tab w:val="num" w:pos="5040"/>
        </w:tabs>
        <w:ind w:left="5040" w:hanging="360"/>
      </w:pPr>
      <w:rPr>
        <w:rFonts w:ascii="Arial" w:hAnsi="Arial" w:hint="default"/>
      </w:rPr>
    </w:lvl>
    <w:lvl w:ilvl="7" w:tplc="83142A7C" w:tentative="1">
      <w:start w:val="1"/>
      <w:numFmt w:val="bullet"/>
      <w:lvlText w:val="•"/>
      <w:lvlJc w:val="left"/>
      <w:pPr>
        <w:tabs>
          <w:tab w:val="num" w:pos="5760"/>
        </w:tabs>
        <w:ind w:left="5760" w:hanging="360"/>
      </w:pPr>
      <w:rPr>
        <w:rFonts w:ascii="Arial" w:hAnsi="Arial" w:hint="default"/>
      </w:rPr>
    </w:lvl>
    <w:lvl w:ilvl="8" w:tplc="620490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0AA2608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523B6"/>
    <w:multiLevelType w:val="hybridMultilevel"/>
    <w:tmpl w:val="7BF4DD76"/>
    <w:lvl w:ilvl="0" w:tplc="7A5E0450">
      <w:start w:val="1"/>
      <w:numFmt w:val="bullet"/>
      <w:lvlText w:val="•"/>
      <w:lvlJc w:val="left"/>
      <w:pPr>
        <w:tabs>
          <w:tab w:val="num" w:pos="720"/>
        </w:tabs>
        <w:ind w:left="720" w:hanging="360"/>
      </w:pPr>
      <w:rPr>
        <w:rFonts w:ascii="Arial" w:hAnsi="Arial" w:hint="default"/>
      </w:rPr>
    </w:lvl>
    <w:lvl w:ilvl="1" w:tplc="B540F938">
      <w:start w:val="1"/>
      <w:numFmt w:val="bullet"/>
      <w:lvlText w:val="•"/>
      <w:lvlJc w:val="left"/>
      <w:pPr>
        <w:tabs>
          <w:tab w:val="num" w:pos="1440"/>
        </w:tabs>
        <w:ind w:left="1440" w:hanging="360"/>
      </w:pPr>
      <w:rPr>
        <w:rFonts w:ascii="Arial" w:hAnsi="Arial" w:hint="default"/>
      </w:rPr>
    </w:lvl>
    <w:lvl w:ilvl="2" w:tplc="781AE9E4" w:tentative="1">
      <w:start w:val="1"/>
      <w:numFmt w:val="bullet"/>
      <w:lvlText w:val="•"/>
      <w:lvlJc w:val="left"/>
      <w:pPr>
        <w:tabs>
          <w:tab w:val="num" w:pos="2160"/>
        </w:tabs>
        <w:ind w:left="2160" w:hanging="360"/>
      </w:pPr>
      <w:rPr>
        <w:rFonts w:ascii="Arial" w:hAnsi="Arial" w:hint="default"/>
      </w:rPr>
    </w:lvl>
    <w:lvl w:ilvl="3" w:tplc="75BAE918" w:tentative="1">
      <w:start w:val="1"/>
      <w:numFmt w:val="bullet"/>
      <w:lvlText w:val="•"/>
      <w:lvlJc w:val="left"/>
      <w:pPr>
        <w:tabs>
          <w:tab w:val="num" w:pos="2880"/>
        </w:tabs>
        <w:ind w:left="2880" w:hanging="360"/>
      </w:pPr>
      <w:rPr>
        <w:rFonts w:ascii="Arial" w:hAnsi="Arial" w:hint="default"/>
      </w:rPr>
    </w:lvl>
    <w:lvl w:ilvl="4" w:tplc="DE8C4712" w:tentative="1">
      <w:start w:val="1"/>
      <w:numFmt w:val="bullet"/>
      <w:lvlText w:val="•"/>
      <w:lvlJc w:val="left"/>
      <w:pPr>
        <w:tabs>
          <w:tab w:val="num" w:pos="3600"/>
        </w:tabs>
        <w:ind w:left="3600" w:hanging="360"/>
      </w:pPr>
      <w:rPr>
        <w:rFonts w:ascii="Arial" w:hAnsi="Arial" w:hint="default"/>
      </w:rPr>
    </w:lvl>
    <w:lvl w:ilvl="5" w:tplc="D1E6DFAA" w:tentative="1">
      <w:start w:val="1"/>
      <w:numFmt w:val="bullet"/>
      <w:lvlText w:val="•"/>
      <w:lvlJc w:val="left"/>
      <w:pPr>
        <w:tabs>
          <w:tab w:val="num" w:pos="4320"/>
        </w:tabs>
        <w:ind w:left="4320" w:hanging="360"/>
      </w:pPr>
      <w:rPr>
        <w:rFonts w:ascii="Arial" w:hAnsi="Arial" w:hint="default"/>
      </w:rPr>
    </w:lvl>
    <w:lvl w:ilvl="6" w:tplc="3B745000" w:tentative="1">
      <w:start w:val="1"/>
      <w:numFmt w:val="bullet"/>
      <w:lvlText w:val="•"/>
      <w:lvlJc w:val="left"/>
      <w:pPr>
        <w:tabs>
          <w:tab w:val="num" w:pos="5040"/>
        </w:tabs>
        <w:ind w:left="5040" w:hanging="360"/>
      </w:pPr>
      <w:rPr>
        <w:rFonts w:ascii="Arial" w:hAnsi="Arial" w:hint="default"/>
      </w:rPr>
    </w:lvl>
    <w:lvl w:ilvl="7" w:tplc="8D02E7CE" w:tentative="1">
      <w:start w:val="1"/>
      <w:numFmt w:val="bullet"/>
      <w:lvlText w:val="•"/>
      <w:lvlJc w:val="left"/>
      <w:pPr>
        <w:tabs>
          <w:tab w:val="num" w:pos="5760"/>
        </w:tabs>
        <w:ind w:left="5760" w:hanging="360"/>
      </w:pPr>
      <w:rPr>
        <w:rFonts w:ascii="Arial" w:hAnsi="Arial" w:hint="default"/>
      </w:rPr>
    </w:lvl>
    <w:lvl w:ilvl="8" w:tplc="8F02D7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590BAF"/>
    <w:multiLevelType w:val="hybridMultilevel"/>
    <w:tmpl w:val="CD607BD4"/>
    <w:lvl w:ilvl="0" w:tplc="09F8EDC4">
      <w:start w:val="1"/>
      <w:numFmt w:val="bullet"/>
      <w:lvlText w:val="•"/>
      <w:lvlJc w:val="left"/>
      <w:pPr>
        <w:tabs>
          <w:tab w:val="num" w:pos="720"/>
        </w:tabs>
        <w:ind w:left="720" w:hanging="360"/>
      </w:pPr>
      <w:rPr>
        <w:rFonts w:ascii="Arial" w:hAnsi="Arial" w:hint="default"/>
      </w:rPr>
    </w:lvl>
    <w:lvl w:ilvl="1" w:tplc="17509FD0">
      <w:start w:val="1"/>
      <w:numFmt w:val="bullet"/>
      <w:lvlText w:val="•"/>
      <w:lvlJc w:val="left"/>
      <w:pPr>
        <w:tabs>
          <w:tab w:val="num" w:pos="1440"/>
        </w:tabs>
        <w:ind w:left="1440" w:hanging="360"/>
      </w:pPr>
      <w:rPr>
        <w:rFonts w:ascii="Arial" w:hAnsi="Arial" w:hint="default"/>
      </w:rPr>
    </w:lvl>
    <w:lvl w:ilvl="2" w:tplc="96CA6E40">
      <w:start w:val="110"/>
      <w:numFmt w:val="bullet"/>
      <w:lvlText w:val="•"/>
      <w:lvlJc w:val="left"/>
      <w:pPr>
        <w:tabs>
          <w:tab w:val="num" w:pos="2160"/>
        </w:tabs>
        <w:ind w:left="2160" w:hanging="360"/>
      </w:pPr>
      <w:rPr>
        <w:rFonts w:ascii="Arial" w:hAnsi="Arial" w:hint="default"/>
      </w:rPr>
    </w:lvl>
    <w:lvl w:ilvl="3" w:tplc="FE886804" w:tentative="1">
      <w:start w:val="1"/>
      <w:numFmt w:val="bullet"/>
      <w:lvlText w:val="•"/>
      <w:lvlJc w:val="left"/>
      <w:pPr>
        <w:tabs>
          <w:tab w:val="num" w:pos="2880"/>
        </w:tabs>
        <w:ind w:left="2880" w:hanging="360"/>
      </w:pPr>
      <w:rPr>
        <w:rFonts w:ascii="Arial" w:hAnsi="Arial" w:hint="default"/>
      </w:rPr>
    </w:lvl>
    <w:lvl w:ilvl="4" w:tplc="E1007C6A" w:tentative="1">
      <w:start w:val="1"/>
      <w:numFmt w:val="bullet"/>
      <w:lvlText w:val="•"/>
      <w:lvlJc w:val="left"/>
      <w:pPr>
        <w:tabs>
          <w:tab w:val="num" w:pos="3600"/>
        </w:tabs>
        <w:ind w:left="3600" w:hanging="360"/>
      </w:pPr>
      <w:rPr>
        <w:rFonts w:ascii="Arial" w:hAnsi="Arial" w:hint="default"/>
      </w:rPr>
    </w:lvl>
    <w:lvl w:ilvl="5" w:tplc="6CDE04F2" w:tentative="1">
      <w:start w:val="1"/>
      <w:numFmt w:val="bullet"/>
      <w:lvlText w:val="•"/>
      <w:lvlJc w:val="left"/>
      <w:pPr>
        <w:tabs>
          <w:tab w:val="num" w:pos="4320"/>
        </w:tabs>
        <w:ind w:left="4320" w:hanging="360"/>
      </w:pPr>
      <w:rPr>
        <w:rFonts w:ascii="Arial" w:hAnsi="Arial" w:hint="default"/>
      </w:rPr>
    </w:lvl>
    <w:lvl w:ilvl="6" w:tplc="F774C940" w:tentative="1">
      <w:start w:val="1"/>
      <w:numFmt w:val="bullet"/>
      <w:lvlText w:val="•"/>
      <w:lvlJc w:val="left"/>
      <w:pPr>
        <w:tabs>
          <w:tab w:val="num" w:pos="5040"/>
        </w:tabs>
        <w:ind w:left="5040" w:hanging="360"/>
      </w:pPr>
      <w:rPr>
        <w:rFonts w:ascii="Arial" w:hAnsi="Arial" w:hint="default"/>
      </w:rPr>
    </w:lvl>
    <w:lvl w:ilvl="7" w:tplc="55367984" w:tentative="1">
      <w:start w:val="1"/>
      <w:numFmt w:val="bullet"/>
      <w:lvlText w:val="•"/>
      <w:lvlJc w:val="left"/>
      <w:pPr>
        <w:tabs>
          <w:tab w:val="num" w:pos="5760"/>
        </w:tabs>
        <w:ind w:left="5760" w:hanging="360"/>
      </w:pPr>
      <w:rPr>
        <w:rFonts w:ascii="Arial" w:hAnsi="Arial" w:hint="default"/>
      </w:rPr>
    </w:lvl>
    <w:lvl w:ilvl="8" w:tplc="1A14DB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204C4"/>
    <w:multiLevelType w:val="hybridMultilevel"/>
    <w:tmpl w:val="0FACB418"/>
    <w:lvl w:ilvl="0" w:tplc="81B68FB2">
      <w:start w:val="1"/>
      <w:numFmt w:val="bullet"/>
      <w:lvlText w:val="•"/>
      <w:lvlJc w:val="left"/>
      <w:pPr>
        <w:tabs>
          <w:tab w:val="num" w:pos="720"/>
        </w:tabs>
        <w:ind w:left="720" w:hanging="360"/>
      </w:pPr>
      <w:rPr>
        <w:rFonts w:ascii="Arial" w:hAnsi="Arial" w:hint="default"/>
      </w:rPr>
    </w:lvl>
    <w:lvl w:ilvl="1" w:tplc="4BA67982" w:tentative="1">
      <w:start w:val="1"/>
      <w:numFmt w:val="bullet"/>
      <w:lvlText w:val="•"/>
      <w:lvlJc w:val="left"/>
      <w:pPr>
        <w:tabs>
          <w:tab w:val="num" w:pos="1440"/>
        </w:tabs>
        <w:ind w:left="1440" w:hanging="360"/>
      </w:pPr>
      <w:rPr>
        <w:rFonts w:ascii="Arial" w:hAnsi="Arial" w:hint="default"/>
      </w:rPr>
    </w:lvl>
    <w:lvl w:ilvl="2" w:tplc="06CABC2A" w:tentative="1">
      <w:start w:val="1"/>
      <w:numFmt w:val="bullet"/>
      <w:lvlText w:val="•"/>
      <w:lvlJc w:val="left"/>
      <w:pPr>
        <w:tabs>
          <w:tab w:val="num" w:pos="2160"/>
        </w:tabs>
        <w:ind w:left="2160" w:hanging="360"/>
      </w:pPr>
      <w:rPr>
        <w:rFonts w:ascii="Arial" w:hAnsi="Arial" w:hint="default"/>
      </w:rPr>
    </w:lvl>
    <w:lvl w:ilvl="3" w:tplc="201883AC" w:tentative="1">
      <w:start w:val="1"/>
      <w:numFmt w:val="bullet"/>
      <w:lvlText w:val="•"/>
      <w:lvlJc w:val="left"/>
      <w:pPr>
        <w:tabs>
          <w:tab w:val="num" w:pos="2880"/>
        </w:tabs>
        <w:ind w:left="2880" w:hanging="360"/>
      </w:pPr>
      <w:rPr>
        <w:rFonts w:ascii="Arial" w:hAnsi="Arial" w:hint="default"/>
      </w:rPr>
    </w:lvl>
    <w:lvl w:ilvl="4" w:tplc="FB66322E" w:tentative="1">
      <w:start w:val="1"/>
      <w:numFmt w:val="bullet"/>
      <w:lvlText w:val="•"/>
      <w:lvlJc w:val="left"/>
      <w:pPr>
        <w:tabs>
          <w:tab w:val="num" w:pos="3600"/>
        </w:tabs>
        <w:ind w:left="3600" w:hanging="360"/>
      </w:pPr>
      <w:rPr>
        <w:rFonts w:ascii="Arial" w:hAnsi="Arial" w:hint="default"/>
      </w:rPr>
    </w:lvl>
    <w:lvl w:ilvl="5" w:tplc="875442C2" w:tentative="1">
      <w:start w:val="1"/>
      <w:numFmt w:val="bullet"/>
      <w:lvlText w:val="•"/>
      <w:lvlJc w:val="left"/>
      <w:pPr>
        <w:tabs>
          <w:tab w:val="num" w:pos="4320"/>
        </w:tabs>
        <w:ind w:left="4320" w:hanging="360"/>
      </w:pPr>
      <w:rPr>
        <w:rFonts w:ascii="Arial" w:hAnsi="Arial" w:hint="default"/>
      </w:rPr>
    </w:lvl>
    <w:lvl w:ilvl="6" w:tplc="9550A6C6" w:tentative="1">
      <w:start w:val="1"/>
      <w:numFmt w:val="bullet"/>
      <w:lvlText w:val="•"/>
      <w:lvlJc w:val="left"/>
      <w:pPr>
        <w:tabs>
          <w:tab w:val="num" w:pos="5040"/>
        </w:tabs>
        <w:ind w:left="5040" w:hanging="360"/>
      </w:pPr>
      <w:rPr>
        <w:rFonts w:ascii="Arial" w:hAnsi="Arial" w:hint="default"/>
      </w:rPr>
    </w:lvl>
    <w:lvl w:ilvl="7" w:tplc="8D2A17D2" w:tentative="1">
      <w:start w:val="1"/>
      <w:numFmt w:val="bullet"/>
      <w:lvlText w:val="•"/>
      <w:lvlJc w:val="left"/>
      <w:pPr>
        <w:tabs>
          <w:tab w:val="num" w:pos="5760"/>
        </w:tabs>
        <w:ind w:left="5760" w:hanging="360"/>
      </w:pPr>
      <w:rPr>
        <w:rFonts w:ascii="Arial" w:hAnsi="Arial" w:hint="default"/>
      </w:rPr>
    </w:lvl>
    <w:lvl w:ilvl="8" w:tplc="29A05C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AD5395"/>
    <w:multiLevelType w:val="hybridMultilevel"/>
    <w:tmpl w:val="767E3BF4"/>
    <w:lvl w:ilvl="0" w:tplc="912CAB44">
      <w:start w:val="1"/>
      <w:numFmt w:val="bullet"/>
      <w:lvlText w:val="•"/>
      <w:lvlJc w:val="left"/>
      <w:pPr>
        <w:tabs>
          <w:tab w:val="num" w:pos="720"/>
        </w:tabs>
        <w:ind w:left="720" w:hanging="360"/>
      </w:pPr>
      <w:rPr>
        <w:rFonts w:ascii="Arial" w:hAnsi="Arial" w:hint="default"/>
      </w:rPr>
    </w:lvl>
    <w:lvl w:ilvl="1" w:tplc="D8B669F2">
      <w:start w:val="110"/>
      <w:numFmt w:val="bullet"/>
      <w:lvlText w:val="•"/>
      <w:lvlJc w:val="left"/>
      <w:pPr>
        <w:tabs>
          <w:tab w:val="num" w:pos="1440"/>
        </w:tabs>
        <w:ind w:left="1440" w:hanging="360"/>
      </w:pPr>
      <w:rPr>
        <w:rFonts w:ascii="Arial" w:hAnsi="Arial" w:hint="default"/>
      </w:rPr>
    </w:lvl>
    <w:lvl w:ilvl="2" w:tplc="04D6BF9E">
      <w:start w:val="110"/>
      <w:numFmt w:val="bullet"/>
      <w:lvlText w:val="•"/>
      <w:lvlJc w:val="left"/>
      <w:pPr>
        <w:tabs>
          <w:tab w:val="num" w:pos="2160"/>
        </w:tabs>
        <w:ind w:left="2160" w:hanging="360"/>
      </w:pPr>
      <w:rPr>
        <w:rFonts w:ascii="Arial" w:hAnsi="Arial" w:hint="default"/>
      </w:rPr>
    </w:lvl>
    <w:lvl w:ilvl="3" w:tplc="8A14BC00" w:tentative="1">
      <w:start w:val="1"/>
      <w:numFmt w:val="bullet"/>
      <w:lvlText w:val="•"/>
      <w:lvlJc w:val="left"/>
      <w:pPr>
        <w:tabs>
          <w:tab w:val="num" w:pos="2880"/>
        </w:tabs>
        <w:ind w:left="2880" w:hanging="360"/>
      </w:pPr>
      <w:rPr>
        <w:rFonts w:ascii="Arial" w:hAnsi="Arial" w:hint="default"/>
      </w:rPr>
    </w:lvl>
    <w:lvl w:ilvl="4" w:tplc="FB42C32E" w:tentative="1">
      <w:start w:val="1"/>
      <w:numFmt w:val="bullet"/>
      <w:lvlText w:val="•"/>
      <w:lvlJc w:val="left"/>
      <w:pPr>
        <w:tabs>
          <w:tab w:val="num" w:pos="3600"/>
        </w:tabs>
        <w:ind w:left="3600" w:hanging="360"/>
      </w:pPr>
      <w:rPr>
        <w:rFonts w:ascii="Arial" w:hAnsi="Arial" w:hint="default"/>
      </w:rPr>
    </w:lvl>
    <w:lvl w:ilvl="5" w:tplc="3EF8FCF2" w:tentative="1">
      <w:start w:val="1"/>
      <w:numFmt w:val="bullet"/>
      <w:lvlText w:val="•"/>
      <w:lvlJc w:val="left"/>
      <w:pPr>
        <w:tabs>
          <w:tab w:val="num" w:pos="4320"/>
        </w:tabs>
        <w:ind w:left="4320" w:hanging="360"/>
      </w:pPr>
      <w:rPr>
        <w:rFonts w:ascii="Arial" w:hAnsi="Arial" w:hint="default"/>
      </w:rPr>
    </w:lvl>
    <w:lvl w:ilvl="6" w:tplc="863ACF1C" w:tentative="1">
      <w:start w:val="1"/>
      <w:numFmt w:val="bullet"/>
      <w:lvlText w:val="•"/>
      <w:lvlJc w:val="left"/>
      <w:pPr>
        <w:tabs>
          <w:tab w:val="num" w:pos="5040"/>
        </w:tabs>
        <w:ind w:left="5040" w:hanging="360"/>
      </w:pPr>
      <w:rPr>
        <w:rFonts w:ascii="Arial" w:hAnsi="Arial" w:hint="default"/>
      </w:rPr>
    </w:lvl>
    <w:lvl w:ilvl="7" w:tplc="FB36DA90" w:tentative="1">
      <w:start w:val="1"/>
      <w:numFmt w:val="bullet"/>
      <w:lvlText w:val="•"/>
      <w:lvlJc w:val="left"/>
      <w:pPr>
        <w:tabs>
          <w:tab w:val="num" w:pos="5760"/>
        </w:tabs>
        <w:ind w:left="5760" w:hanging="360"/>
      </w:pPr>
      <w:rPr>
        <w:rFonts w:ascii="Arial" w:hAnsi="Arial" w:hint="default"/>
      </w:rPr>
    </w:lvl>
    <w:lvl w:ilvl="8" w:tplc="7B525D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0665B"/>
    <w:multiLevelType w:val="hybridMultilevel"/>
    <w:tmpl w:val="EA4055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B081E"/>
    <w:multiLevelType w:val="hybridMultilevel"/>
    <w:tmpl w:val="4D042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0"/>
  </w:num>
  <w:num w:numId="4">
    <w:abstractNumId w:val="8"/>
  </w:num>
  <w:num w:numId="5">
    <w:abstractNumId w:val="25"/>
  </w:num>
  <w:num w:numId="6">
    <w:abstractNumId w:val="17"/>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7"/>
    <w:lvlOverride w:ilvl="0">
      <w:startOverride w:val="1"/>
    </w:lvlOverride>
  </w:num>
  <w:num w:numId="12">
    <w:abstractNumId w:val="19"/>
    <w:lvlOverride w:ilvl="0">
      <w:startOverride w:val="1"/>
    </w:lvlOverride>
  </w:num>
  <w:num w:numId="13">
    <w:abstractNumId w:val="17"/>
    <w:lvlOverride w:ilvl="0">
      <w:startOverride w:val="1"/>
    </w:lvlOverride>
  </w:num>
  <w:num w:numId="14">
    <w:abstractNumId w:val="19"/>
    <w:lvlOverride w:ilvl="0">
      <w:startOverride w:val="1"/>
    </w:lvlOverride>
  </w:num>
  <w:num w:numId="15">
    <w:abstractNumId w:val="29"/>
  </w:num>
  <w:num w:numId="16">
    <w:abstractNumId w:val="4"/>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9"/>
  </w:num>
  <w:num w:numId="23">
    <w:abstractNumId w:val="5"/>
  </w:num>
  <w:num w:numId="24">
    <w:abstractNumId w:val="3"/>
  </w:num>
  <w:num w:numId="25">
    <w:abstractNumId w:val="12"/>
  </w:num>
  <w:num w:numId="26">
    <w:abstractNumId w:val="0"/>
  </w:num>
  <w:num w:numId="27">
    <w:abstractNumId w:val="23"/>
  </w:num>
  <w:num w:numId="28">
    <w:abstractNumId w:val="28"/>
  </w:num>
  <w:num w:numId="29">
    <w:abstractNumId w:val="27"/>
  </w:num>
  <w:num w:numId="30">
    <w:abstractNumId w:val="13"/>
  </w:num>
  <w:num w:numId="31">
    <w:abstractNumId w:val="18"/>
  </w:num>
  <w:num w:numId="32">
    <w:abstractNumId w:val="15"/>
  </w:num>
  <w:num w:numId="33">
    <w:abstractNumId w:val="22"/>
  </w:num>
  <w:num w:numId="34">
    <w:abstractNumId w:val="11"/>
  </w:num>
  <w:num w:numId="35">
    <w:abstractNumId w:val="26"/>
  </w:num>
  <w:num w:numId="36">
    <w:abstractNumId w:val="14"/>
  </w:num>
  <w:num w:numId="37">
    <w:abstractNumId w:val="7"/>
  </w:num>
  <w:num w:numId="38">
    <w:abstractNumId w:val="21"/>
  </w:num>
  <w:num w:numId="39">
    <w:abstractNumId w:val="2"/>
  </w:num>
  <w:num w:numId="40">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817"/>
    <w:rsid w:val="00023B32"/>
    <w:rsid w:val="000263F7"/>
    <w:rsid w:val="0005132A"/>
    <w:rsid w:val="000759C6"/>
    <w:rsid w:val="0008612A"/>
    <w:rsid w:val="000B0056"/>
    <w:rsid w:val="001745F8"/>
    <w:rsid w:val="00176671"/>
    <w:rsid w:val="001770FE"/>
    <w:rsid w:val="001838CF"/>
    <w:rsid w:val="001C049B"/>
    <w:rsid w:val="001C2F6D"/>
    <w:rsid w:val="001E30F6"/>
    <w:rsid w:val="00235F5C"/>
    <w:rsid w:val="002B4922"/>
    <w:rsid w:val="002C2D19"/>
    <w:rsid w:val="002D10FA"/>
    <w:rsid w:val="002D4C55"/>
    <w:rsid w:val="00305769"/>
    <w:rsid w:val="00363CF1"/>
    <w:rsid w:val="00382DAD"/>
    <w:rsid w:val="003B659E"/>
    <w:rsid w:val="00417AA0"/>
    <w:rsid w:val="0043750A"/>
    <w:rsid w:val="004B7B4A"/>
    <w:rsid w:val="004E5E66"/>
    <w:rsid w:val="00503B4D"/>
    <w:rsid w:val="00504EE9"/>
    <w:rsid w:val="00532C7F"/>
    <w:rsid w:val="0054442C"/>
    <w:rsid w:val="00550285"/>
    <w:rsid w:val="005836F8"/>
    <w:rsid w:val="005918FA"/>
    <w:rsid w:val="005A353A"/>
    <w:rsid w:val="005E61A8"/>
    <w:rsid w:val="005F18E9"/>
    <w:rsid w:val="005F6419"/>
    <w:rsid w:val="00617400"/>
    <w:rsid w:val="00664950"/>
    <w:rsid w:val="00683220"/>
    <w:rsid w:val="00687FA0"/>
    <w:rsid w:val="006B7010"/>
    <w:rsid w:val="006E499F"/>
    <w:rsid w:val="006F7436"/>
    <w:rsid w:val="007145FF"/>
    <w:rsid w:val="00745963"/>
    <w:rsid w:val="00751515"/>
    <w:rsid w:val="00764E8A"/>
    <w:rsid w:val="00785232"/>
    <w:rsid w:val="007965F8"/>
    <w:rsid w:val="007A2E34"/>
    <w:rsid w:val="007C3ED0"/>
    <w:rsid w:val="00806A76"/>
    <w:rsid w:val="00811C9D"/>
    <w:rsid w:val="00816C80"/>
    <w:rsid w:val="00817733"/>
    <w:rsid w:val="00817AE8"/>
    <w:rsid w:val="00841BCD"/>
    <w:rsid w:val="008826C1"/>
    <w:rsid w:val="00891FBA"/>
    <w:rsid w:val="009042BD"/>
    <w:rsid w:val="00913B68"/>
    <w:rsid w:val="009638D7"/>
    <w:rsid w:val="00976B4C"/>
    <w:rsid w:val="00977E1D"/>
    <w:rsid w:val="00981F09"/>
    <w:rsid w:val="009A23FE"/>
    <w:rsid w:val="009F3BBD"/>
    <w:rsid w:val="00A22B78"/>
    <w:rsid w:val="00A25AE5"/>
    <w:rsid w:val="00A356A0"/>
    <w:rsid w:val="00A37002"/>
    <w:rsid w:val="00AA1B0E"/>
    <w:rsid w:val="00AB210C"/>
    <w:rsid w:val="00AB2452"/>
    <w:rsid w:val="00AC5CA7"/>
    <w:rsid w:val="00AE56B1"/>
    <w:rsid w:val="00B6373C"/>
    <w:rsid w:val="00B73862"/>
    <w:rsid w:val="00BA6E48"/>
    <w:rsid w:val="00BA724E"/>
    <w:rsid w:val="00BF2218"/>
    <w:rsid w:val="00C4423E"/>
    <w:rsid w:val="00C60B6E"/>
    <w:rsid w:val="00CB5488"/>
    <w:rsid w:val="00CD7492"/>
    <w:rsid w:val="00CE3A6B"/>
    <w:rsid w:val="00D00211"/>
    <w:rsid w:val="00D06309"/>
    <w:rsid w:val="00D2075D"/>
    <w:rsid w:val="00D351EA"/>
    <w:rsid w:val="00D43403"/>
    <w:rsid w:val="00D62E71"/>
    <w:rsid w:val="00D664E5"/>
    <w:rsid w:val="00D740CA"/>
    <w:rsid w:val="00D80916"/>
    <w:rsid w:val="00D85728"/>
    <w:rsid w:val="00DA0E98"/>
    <w:rsid w:val="00DB780D"/>
    <w:rsid w:val="00DD555A"/>
    <w:rsid w:val="00DF2997"/>
    <w:rsid w:val="00E13003"/>
    <w:rsid w:val="00E43DC3"/>
    <w:rsid w:val="00E7393C"/>
    <w:rsid w:val="00EC3BC6"/>
    <w:rsid w:val="00EC7BC3"/>
    <w:rsid w:val="00ED7600"/>
    <w:rsid w:val="00EF2A70"/>
    <w:rsid w:val="00F1362C"/>
    <w:rsid w:val="00F60D88"/>
    <w:rsid w:val="00F770A5"/>
    <w:rsid w:val="00F824F5"/>
    <w:rsid w:val="00FC29B9"/>
    <w:rsid w:val="00FC6FD3"/>
    <w:rsid w:val="00FC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PlaceholderText">
    <w:name w:val="Placeholder Text"/>
    <w:basedOn w:val="DefaultParagraphFont"/>
    <w:uiPriority w:val="99"/>
    <w:semiHidden/>
    <w:rsid w:val="00764E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860868">
      <w:bodyDiv w:val="1"/>
      <w:marLeft w:val="0"/>
      <w:marRight w:val="0"/>
      <w:marTop w:val="0"/>
      <w:marBottom w:val="0"/>
      <w:divBdr>
        <w:top w:val="none" w:sz="0" w:space="0" w:color="auto"/>
        <w:left w:val="none" w:sz="0" w:space="0" w:color="auto"/>
        <w:bottom w:val="none" w:sz="0" w:space="0" w:color="auto"/>
        <w:right w:val="none" w:sz="0" w:space="0" w:color="auto"/>
      </w:divBdr>
      <w:divsChild>
        <w:div w:id="1967538074">
          <w:marLeft w:val="1080"/>
          <w:marRight w:val="0"/>
          <w:marTop w:val="100"/>
          <w:marBottom w:val="0"/>
          <w:divBdr>
            <w:top w:val="none" w:sz="0" w:space="0" w:color="auto"/>
            <w:left w:val="none" w:sz="0" w:space="0" w:color="auto"/>
            <w:bottom w:val="none" w:sz="0" w:space="0" w:color="auto"/>
            <w:right w:val="none" w:sz="0" w:space="0" w:color="auto"/>
          </w:divBdr>
        </w:div>
      </w:divsChild>
    </w:div>
    <w:div w:id="454444745">
      <w:bodyDiv w:val="1"/>
      <w:marLeft w:val="0"/>
      <w:marRight w:val="0"/>
      <w:marTop w:val="0"/>
      <w:marBottom w:val="0"/>
      <w:divBdr>
        <w:top w:val="none" w:sz="0" w:space="0" w:color="auto"/>
        <w:left w:val="none" w:sz="0" w:space="0" w:color="auto"/>
        <w:bottom w:val="none" w:sz="0" w:space="0" w:color="auto"/>
        <w:right w:val="none" w:sz="0" w:space="0" w:color="auto"/>
      </w:divBdr>
      <w:divsChild>
        <w:div w:id="845290343">
          <w:marLeft w:val="1440"/>
          <w:marRight w:val="0"/>
          <w:marTop w:val="100"/>
          <w:marBottom w:val="0"/>
          <w:divBdr>
            <w:top w:val="none" w:sz="0" w:space="0" w:color="auto"/>
            <w:left w:val="none" w:sz="0" w:space="0" w:color="auto"/>
            <w:bottom w:val="none" w:sz="0" w:space="0" w:color="auto"/>
            <w:right w:val="none" w:sz="0" w:space="0" w:color="auto"/>
          </w:divBdr>
        </w:div>
        <w:div w:id="2030333903">
          <w:marLeft w:val="1440"/>
          <w:marRight w:val="0"/>
          <w:marTop w:val="100"/>
          <w:marBottom w:val="0"/>
          <w:divBdr>
            <w:top w:val="none" w:sz="0" w:space="0" w:color="auto"/>
            <w:left w:val="none" w:sz="0" w:space="0" w:color="auto"/>
            <w:bottom w:val="none" w:sz="0" w:space="0" w:color="auto"/>
            <w:right w:val="none" w:sz="0" w:space="0" w:color="auto"/>
          </w:divBdr>
        </w:div>
        <w:div w:id="709496420">
          <w:marLeft w:val="1440"/>
          <w:marRight w:val="0"/>
          <w:marTop w:val="100"/>
          <w:marBottom w:val="0"/>
          <w:divBdr>
            <w:top w:val="none" w:sz="0" w:space="0" w:color="auto"/>
            <w:left w:val="none" w:sz="0" w:space="0" w:color="auto"/>
            <w:bottom w:val="none" w:sz="0" w:space="0" w:color="auto"/>
            <w:right w:val="none" w:sz="0" w:space="0" w:color="auto"/>
          </w:divBdr>
        </w:div>
        <w:div w:id="882868116">
          <w:marLeft w:val="1440"/>
          <w:marRight w:val="0"/>
          <w:marTop w:val="100"/>
          <w:marBottom w:val="0"/>
          <w:divBdr>
            <w:top w:val="none" w:sz="0" w:space="0" w:color="auto"/>
            <w:left w:val="none" w:sz="0" w:space="0" w:color="auto"/>
            <w:bottom w:val="none" w:sz="0" w:space="0" w:color="auto"/>
            <w:right w:val="none" w:sz="0" w:space="0" w:color="auto"/>
          </w:divBdr>
        </w:div>
        <w:div w:id="1325625551">
          <w:marLeft w:val="1440"/>
          <w:marRight w:val="0"/>
          <w:marTop w:val="100"/>
          <w:marBottom w:val="0"/>
          <w:divBdr>
            <w:top w:val="none" w:sz="0" w:space="0" w:color="auto"/>
            <w:left w:val="none" w:sz="0" w:space="0" w:color="auto"/>
            <w:bottom w:val="none" w:sz="0" w:space="0" w:color="auto"/>
            <w:right w:val="none" w:sz="0" w:space="0" w:color="auto"/>
          </w:divBdr>
        </w:div>
        <w:div w:id="1838379985">
          <w:marLeft w:val="1440"/>
          <w:marRight w:val="0"/>
          <w:marTop w:val="100"/>
          <w:marBottom w:val="0"/>
          <w:divBdr>
            <w:top w:val="none" w:sz="0" w:space="0" w:color="auto"/>
            <w:left w:val="none" w:sz="0" w:space="0" w:color="auto"/>
            <w:bottom w:val="none" w:sz="0" w:space="0" w:color="auto"/>
            <w:right w:val="none" w:sz="0" w:space="0" w:color="auto"/>
          </w:divBdr>
        </w:div>
        <w:div w:id="1257711564">
          <w:marLeft w:val="2160"/>
          <w:marRight w:val="0"/>
          <w:marTop w:val="100"/>
          <w:marBottom w:val="0"/>
          <w:divBdr>
            <w:top w:val="none" w:sz="0" w:space="0" w:color="auto"/>
            <w:left w:val="none" w:sz="0" w:space="0" w:color="auto"/>
            <w:bottom w:val="none" w:sz="0" w:space="0" w:color="auto"/>
            <w:right w:val="none" w:sz="0" w:space="0" w:color="auto"/>
          </w:divBdr>
        </w:div>
        <w:div w:id="839003283">
          <w:marLeft w:val="1440"/>
          <w:marRight w:val="0"/>
          <w:marTop w:val="100"/>
          <w:marBottom w:val="0"/>
          <w:divBdr>
            <w:top w:val="none" w:sz="0" w:space="0" w:color="auto"/>
            <w:left w:val="none" w:sz="0" w:space="0" w:color="auto"/>
            <w:bottom w:val="none" w:sz="0" w:space="0" w:color="auto"/>
            <w:right w:val="none" w:sz="0" w:space="0" w:color="auto"/>
          </w:divBdr>
        </w:div>
      </w:divsChild>
    </w:div>
    <w:div w:id="618219489">
      <w:bodyDiv w:val="1"/>
      <w:marLeft w:val="0"/>
      <w:marRight w:val="0"/>
      <w:marTop w:val="0"/>
      <w:marBottom w:val="0"/>
      <w:divBdr>
        <w:top w:val="none" w:sz="0" w:space="0" w:color="auto"/>
        <w:left w:val="none" w:sz="0" w:space="0" w:color="auto"/>
        <w:bottom w:val="none" w:sz="0" w:space="0" w:color="auto"/>
        <w:right w:val="none" w:sz="0" w:space="0" w:color="auto"/>
      </w:divBdr>
      <w:divsChild>
        <w:div w:id="1618294499">
          <w:marLeft w:val="360"/>
          <w:marRight w:val="0"/>
          <w:marTop w:val="200"/>
          <w:marBottom w:val="0"/>
          <w:divBdr>
            <w:top w:val="none" w:sz="0" w:space="0" w:color="auto"/>
            <w:left w:val="none" w:sz="0" w:space="0" w:color="auto"/>
            <w:bottom w:val="none" w:sz="0" w:space="0" w:color="auto"/>
            <w:right w:val="none" w:sz="0" w:space="0" w:color="auto"/>
          </w:divBdr>
        </w:div>
        <w:div w:id="1444033586">
          <w:marLeft w:val="1080"/>
          <w:marRight w:val="0"/>
          <w:marTop w:val="100"/>
          <w:marBottom w:val="0"/>
          <w:divBdr>
            <w:top w:val="none" w:sz="0" w:space="0" w:color="auto"/>
            <w:left w:val="none" w:sz="0" w:space="0" w:color="auto"/>
            <w:bottom w:val="none" w:sz="0" w:space="0" w:color="auto"/>
            <w:right w:val="none" w:sz="0" w:space="0" w:color="auto"/>
          </w:divBdr>
        </w:div>
        <w:div w:id="1513761080">
          <w:marLeft w:val="1080"/>
          <w:marRight w:val="0"/>
          <w:marTop w:val="100"/>
          <w:marBottom w:val="0"/>
          <w:divBdr>
            <w:top w:val="none" w:sz="0" w:space="0" w:color="auto"/>
            <w:left w:val="none" w:sz="0" w:space="0" w:color="auto"/>
            <w:bottom w:val="none" w:sz="0" w:space="0" w:color="auto"/>
            <w:right w:val="none" w:sz="0" w:space="0" w:color="auto"/>
          </w:divBdr>
        </w:div>
        <w:div w:id="475798202">
          <w:marLeft w:val="1800"/>
          <w:marRight w:val="0"/>
          <w:marTop w:val="100"/>
          <w:marBottom w:val="0"/>
          <w:divBdr>
            <w:top w:val="none" w:sz="0" w:space="0" w:color="auto"/>
            <w:left w:val="none" w:sz="0" w:space="0" w:color="auto"/>
            <w:bottom w:val="none" w:sz="0" w:space="0" w:color="auto"/>
            <w:right w:val="none" w:sz="0" w:space="0" w:color="auto"/>
          </w:divBdr>
        </w:div>
        <w:div w:id="1666862182">
          <w:marLeft w:val="1800"/>
          <w:marRight w:val="0"/>
          <w:marTop w:val="100"/>
          <w:marBottom w:val="0"/>
          <w:divBdr>
            <w:top w:val="none" w:sz="0" w:space="0" w:color="auto"/>
            <w:left w:val="none" w:sz="0" w:space="0" w:color="auto"/>
            <w:bottom w:val="none" w:sz="0" w:space="0" w:color="auto"/>
            <w:right w:val="none" w:sz="0" w:space="0" w:color="auto"/>
          </w:divBdr>
        </w:div>
        <w:div w:id="850802539">
          <w:marLeft w:val="1080"/>
          <w:marRight w:val="0"/>
          <w:marTop w:val="100"/>
          <w:marBottom w:val="0"/>
          <w:divBdr>
            <w:top w:val="none" w:sz="0" w:space="0" w:color="auto"/>
            <w:left w:val="none" w:sz="0" w:space="0" w:color="auto"/>
            <w:bottom w:val="none" w:sz="0" w:space="0" w:color="auto"/>
            <w:right w:val="none" w:sz="0" w:space="0" w:color="auto"/>
          </w:divBdr>
        </w:div>
      </w:divsChild>
    </w:div>
    <w:div w:id="835220681">
      <w:bodyDiv w:val="1"/>
      <w:marLeft w:val="0"/>
      <w:marRight w:val="0"/>
      <w:marTop w:val="0"/>
      <w:marBottom w:val="0"/>
      <w:divBdr>
        <w:top w:val="none" w:sz="0" w:space="0" w:color="auto"/>
        <w:left w:val="none" w:sz="0" w:space="0" w:color="auto"/>
        <w:bottom w:val="none" w:sz="0" w:space="0" w:color="auto"/>
        <w:right w:val="none" w:sz="0" w:space="0" w:color="auto"/>
      </w:divBdr>
      <w:divsChild>
        <w:div w:id="561670838">
          <w:marLeft w:val="1080"/>
          <w:marRight w:val="0"/>
          <w:marTop w:val="100"/>
          <w:marBottom w:val="0"/>
          <w:divBdr>
            <w:top w:val="none" w:sz="0" w:space="0" w:color="auto"/>
            <w:left w:val="none" w:sz="0" w:space="0" w:color="auto"/>
            <w:bottom w:val="none" w:sz="0" w:space="0" w:color="auto"/>
            <w:right w:val="none" w:sz="0" w:space="0" w:color="auto"/>
          </w:divBdr>
        </w:div>
        <w:div w:id="491066793">
          <w:marLeft w:val="1080"/>
          <w:marRight w:val="0"/>
          <w:marTop w:val="100"/>
          <w:marBottom w:val="0"/>
          <w:divBdr>
            <w:top w:val="none" w:sz="0" w:space="0" w:color="auto"/>
            <w:left w:val="none" w:sz="0" w:space="0" w:color="auto"/>
            <w:bottom w:val="none" w:sz="0" w:space="0" w:color="auto"/>
            <w:right w:val="none" w:sz="0" w:space="0" w:color="auto"/>
          </w:divBdr>
        </w:div>
        <w:div w:id="142627347">
          <w:marLeft w:val="1080"/>
          <w:marRight w:val="0"/>
          <w:marTop w:val="100"/>
          <w:marBottom w:val="0"/>
          <w:divBdr>
            <w:top w:val="none" w:sz="0" w:space="0" w:color="auto"/>
            <w:left w:val="none" w:sz="0" w:space="0" w:color="auto"/>
            <w:bottom w:val="none" w:sz="0" w:space="0" w:color="auto"/>
            <w:right w:val="none" w:sz="0" w:space="0" w:color="auto"/>
          </w:divBdr>
        </w:div>
      </w:divsChild>
    </w:div>
    <w:div w:id="927813325">
      <w:bodyDiv w:val="1"/>
      <w:marLeft w:val="0"/>
      <w:marRight w:val="0"/>
      <w:marTop w:val="0"/>
      <w:marBottom w:val="0"/>
      <w:divBdr>
        <w:top w:val="none" w:sz="0" w:space="0" w:color="auto"/>
        <w:left w:val="none" w:sz="0" w:space="0" w:color="auto"/>
        <w:bottom w:val="none" w:sz="0" w:space="0" w:color="auto"/>
        <w:right w:val="none" w:sz="0" w:space="0" w:color="auto"/>
      </w:divBdr>
      <w:divsChild>
        <w:div w:id="1296570374">
          <w:marLeft w:val="1080"/>
          <w:marRight w:val="0"/>
          <w:marTop w:val="100"/>
          <w:marBottom w:val="0"/>
          <w:divBdr>
            <w:top w:val="none" w:sz="0" w:space="0" w:color="auto"/>
            <w:left w:val="none" w:sz="0" w:space="0" w:color="auto"/>
            <w:bottom w:val="none" w:sz="0" w:space="0" w:color="auto"/>
            <w:right w:val="none" w:sz="0" w:space="0" w:color="auto"/>
          </w:divBdr>
        </w:div>
        <w:div w:id="1697122912">
          <w:marLeft w:val="1800"/>
          <w:marRight w:val="0"/>
          <w:marTop w:val="100"/>
          <w:marBottom w:val="0"/>
          <w:divBdr>
            <w:top w:val="none" w:sz="0" w:space="0" w:color="auto"/>
            <w:left w:val="none" w:sz="0" w:space="0" w:color="auto"/>
            <w:bottom w:val="none" w:sz="0" w:space="0" w:color="auto"/>
            <w:right w:val="none" w:sz="0" w:space="0" w:color="auto"/>
          </w:divBdr>
        </w:div>
        <w:div w:id="1783304717">
          <w:marLeft w:val="1080"/>
          <w:marRight w:val="0"/>
          <w:marTop w:val="100"/>
          <w:marBottom w:val="0"/>
          <w:divBdr>
            <w:top w:val="none" w:sz="0" w:space="0" w:color="auto"/>
            <w:left w:val="none" w:sz="0" w:space="0" w:color="auto"/>
            <w:bottom w:val="none" w:sz="0" w:space="0" w:color="auto"/>
            <w:right w:val="none" w:sz="0" w:space="0" w:color="auto"/>
          </w:divBdr>
        </w:div>
        <w:div w:id="529683980">
          <w:marLeft w:val="1080"/>
          <w:marRight w:val="0"/>
          <w:marTop w:val="100"/>
          <w:marBottom w:val="0"/>
          <w:divBdr>
            <w:top w:val="none" w:sz="0" w:space="0" w:color="auto"/>
            <w:left w:val="none" w:sz="0" w:space="0" w:color="auto"/>
            <w:bottom w:val="none" w:sz="0" w:space="0" w:color="auto"/>
            <w:right w:val="none" w:sz="0" w:space="0" w:color="auto"/>
          </w:divBdr>
        </w:div>
        <w:div w:id="1954902439">
          <w:marLeft w:val="1080"/>
          <w:marRight w:val="0"/>
          <w:marTop w:val="100"/>
          <w:marBottom w:val="0"/>
          <w:divBdr>
            <w:top w:val="none" w:sz="0" w:space="0" w:color="auto"/>
            <w:left w:val="none" w:sz="0" w:space="0" w:color="auto"/>
            <w:bottom w:val="none" w:sz="0" w:space="0" w:color="auto"/>
            <w:right w:val="none" w:sz="0" w:space="0" w:color="auto"/>
          </w:divBdr>
        </w:div>
        <w:div w:id="1515264511">
          <w:marLeft w:val="1800"/>
          <w:marRight w:val="0"/>
          <w:marTop w:val="100"/>
          <w:marBottom w:val="0"/>
          <w:divBdr>
            <w:top w:val="none" w:sz="0" w:space="0" w:color="auto"/>
            <w:left w:val="none" w:sz="0" w:space="0" w:color="auto"/>
            <w:bottom w:val="none" w:sz="0" w:space="0" w:color="auto"/>
            <w:right w:val="none" w:sz="0" w:space="0" w:color="auto"/>
          </w:divBdr>
        </w:div>
        <w:div w:id="411315395">
          <w:marLeft w:val="1800"/>
          <w:marRight w:val="0"/>
          <w:marTop w:val="100"/>
          <w:marBottom w:val="0"/>
          <w:divBdr>
            <w:top w:val="none" w:sz="0" w:space="0" w:color="auto"/>
            <w:left w:val="none" w:sz="0" w:space="0" w:color="auto"/>
            <w:bottom w:val="none" w:sz="0" w:space="0" w:color="auto"/>
            <w:right w:val="none" w:sz="0" w:space="0" w:color="auto"/>
          </w:divBdr>
        </w:div>
      </w:divsChild>
    </w:div>
    <w:div w:id="943995239">
      <w:bodyDiv w:val="1"/>
      <w:marLeft w:val="0"/>
      <w:marRight w:val="0"/>
      <w:marTop w:val="0"/>
      <w:marBottom w:val="0"/>
      <w:divBdr>
        <w:top w:val="none" w:sz="0" w:space="0" w:color="auto"/>
        <w:left w:val="none" w:sz="0" w:space="0" w:color="auto"/>
        <w:bottom w:val="none" w:sz="0" w:space="0" w:color="auto"/>
        <w:right w:val="none" w:sz="0" w:space="0" w:color="auto"/>
      </w:divBdr>
      <w:divsChild>
        <w:div w:id="1237546682">
          <w:marLeft w:val="1080"/>
          <w:marRight w:val="0"/>
          <w:marTop w:val="100"/>
          <w:marBottom w:val="0"/>
          <w:divBdr>
            <w:top w:val="none" w:sz="0" w:space="0" w:color="auto"/>
            <w:left w:val="none" w:sz="0" w:space="0" w:color="auto"/>
            <w:bottom w:val="none" w:sz="0" w:space="0" w:color="auto"/>
            <w:right w:val="none" w:sz="0" w:space="0" w:color="auto"/>
          </w:divBdr>
        </w:div>
        <w:div w:id="1301690784">
          <w:marLeft w:val="1800"/>
          <w:marRight w:val="0"/>
          <w:marTop w:val="100"/>
          <w:marBottom w:val="0"/>
          <w:divBdr>
            <w:top w:val="none" w:sz="0" w:space="0" w:color="auto"/>
            <w:left w:val="none" w:sz="0" w:space="0" w:color="auto"/>
            <w:bottom w:val="none" w:sz="0" w:space="0" w:color="auto"/>
            <w:right w:val="none" w:sz="0" w:space="0" w:color="auto"/>
          </w:divBdr>
        </w:div>
        <w:div w:id="964315781">
          <w:marLeft w:val="1080"/>
          <w:marRight w:val="0"/>
          <w:marTop w:val="100"/>
          <w:marBottom w:val="0"/>
          <w:divBdr>
            <w:top w:val="none" w:sz="0" w:space="0" w:color="auto"/>
            <w:left w:val="none" w:sz="0" w:space="0" w:color="auto"/>
            <w:bottom w:val="none" w:sz="0" w:space="0" w:color="auto"/>
            <w:right w:val="none" w:sz="0" w:space="0" w:color="auto"/>
          </w:divBdr>
        </w:div>
        <w:div w:id="1595170131">
          <w:marLeft w:val="1800"/>
          <w:marRight w:val="0"/>
          <w:marTop w:val="100"/>
          <w:marBottom w:val="0"/>
          <w:divBdr>
            <w:top w:val="none" w:sz="0" w:space="0" w:color="auto"/>
            <w:left w:val="none" w:sz="0" w:space="0" w:color="auto"/>
            <w:bottom w:val="none" w:sz="0" w:space="0" w:color="auto"/>
            <w:right w:val="none" w:sz="0" w:space="0" w:color="auto"/>
          </w:divBdr>
        </w:div>
        <w:div w:id="707922742">
          <w:marLeft w:val="1800"/>
          <w:marRight w:val="0"/>
          <w:marTop w:val="100"/>
          <w:marBottom w:val="0"/>
          <w:divBdr>
            <w:top w:val="none" w:sz="0" w:space="0" w:color="auto"/>
            <w:left w:val="none" w:sz="0" w:space="0" w:color="auto"/>
            <w:bottom w:val="none" w:sz="0" w:space="0" w:color="auto"/>
            <w:right w:val="none" w:sz="0" w:space="0" w:color="auto"/>
          </w:divBdr>
        </w:div>
        <w:div w:id="1186211379">
          <w:marLeft w:val="1080"/>
          <w:marRight w:val="0"/>
          <w:marTop w:val="100"/>
          <w:marBottom w:val="0"/>
          <w:divBdr>
            <w:top w:val="none" w:sz="0" w:space="0" w:color="auto"/>
            <w:left w:val="none" w:sz="0" w:space="0" w:color="auto"/>
            <w:bottom w:val="none" w:sz="0" w:space="0" w:color="auto"/>
            <w:right w:val="none" w:sz="0" w:space="0" w:color="auto"/>
          </w:divBdr>
        </w:div>
        <w:div w:id="1000427580">
          <w:marLeft w:val="1800"/>
          <w:marRight w:val="0"/>
          <w:marTop w:val="100"/>
          <w:marBottom w:val="0"/>
          <w:divBdr>
            <w:top w:val="none" w:sz="0" w:space="0" w:color="auto"/>
            <w:left w:val="none" w:sz="0" w:space="0" w:color="auto"/>
            <w:bottom w:val="none" w:sz="0" w:space="0" w:color="auto"/>
            <w:right w:val="none" w:sz="0" w:space="0" w:color="auto"/>
          </w:divBdr>
        </w:div>
      </w:divsChild>
    </w:div>
    <w:div w:id="1587031132">
      <w:bodyDiv w:val="1"/>
      <w:marLeft w:val="0"/>
      <w:marRight w:val="0"/>
      <w:marTop w:val="0"/>
      <w:marBottom w:val="0"/>
      <w:divBdr>
        <w:top w:val="none" w:sz="0" w:space="0" w:color="auto"/>
        <w:left w:val="none" w:sz="0" w:space="0" w:color="auto"/>
        <w:bottom w:val="none" w:sz="0" w:space="0" w:color="auto"/>
        <w:right w:val="none" w:sz="0" w:space="0" w:color="auto"/>
      </w:divBdr>
      <w:divsChild>
        <w:div w:id="2100832496">
          <w:marLeft w:val="360"/>
          <w:marRight w:val="0"/>
          <w:marTop w:val="200"/>
          <w:marBottom w:val="0"/>
          <w:divBdr>
            <w:top w:val="none" w:sz="0" w:space="0" w:color="auto"/>
            <w:left w:val="none" w:sz="0" w:space="0" w:color="auto"/>
            <w:bottom w:val="none" w:sz="0" w:space="0" w:color="auto"/>
            <w:right w:val="none" w:sz="0" w:space="0" w:color="auto"/>
          </w:divBdr>
        </w:div>
        <w:div w:id="258685947">
          <w:marLeft w:val="360"/>
          <w:marRight w:val="0"/>
          <w:marTop w:val="200"/>
          <w:marBottom w:val="0"/>
          <w:divBdr>
            <w:top w:val="none" w:sz="0" w:space="0" w:color="auto"/>
            <w:left w:val="none" w:sz="0" w:space="0" w:color="auto"/>
            <w:bottom w:val="none" w:sz="0" w:space="0" w:color="auto"/>
            <w:right w:val="none" w:sz="0" w:space="0" w:color="auto"/>
          </w:divBdr>
        </w:div>
        <w:div w:id="700397628">
          <w:marLeft w:val="360"/>
          <w:marRight w:val="0"/>
          <w:marTop w:val="200"/>
          <w:marBottom w:val="0"/>
          <w:divBdr>
            <w:top w:val="none" w:sz="0" w:space="0" w:color="auto"/>
            <w:left w:val="none" w:sz="0" w:space="0" w:color="auto"/>
            <w:bottom w:val="none" w:sz="0" w:space="0" w:color="auto"/>
            <w:right w:val="none" w:sz="0" w:space="0" w:color="auto"/>
          </w:divBdr>
        </w:div>
      </w:divsChild>
    </w:div>
    <w:div w:id="1732116864">
      <w:bodyDiv w:val="1"/>
      <w:marLeft w:val="0"/>
      <w:marRight w:val="0"/>
      <w:marTop w:val="0"/>
      <w:marBottom w:val="0"/>
      <w:divBdr>
        <w:top w:val="none" w:sz="0" w:space="0" w:color="auto"/>
        <w:left w:val="none" w:sz="0" w:space="0" w:color="auto"/>
        <w:bottom w:val="none" w:sz="0" w:space="0" w:color="auto"/>
        <w:right w:val="none" w:sz="0" w:space="0" w:color="auto"/>
      </w:divBdr>
      <w:divsChild>
        <w:div w:id="690883409">
          <w:marLeft w:val="1080"/>
          <w:marRight w:val="0"/>
          <w:marTop w:val="100"/>
          <w:marBottom w:val="0"/>
          <w:divBdr>
            <w:top w:val="none" w:sz="0" w:space="0" w:color="auto"/>
            <w:left w:val="none" w:sz="0" w:space="0" w:color="auto"/>
            <w:bottom w:val="none" w:sz="0" w:space="0" w:color="auto"/>
            <w:right w:val="none" w:sz="0" w:space="0" w:color="auto"/>
          </w:divBdr>
        </w:div>
        <w:div w:id="1719427286">
          <w:marLeft w:val="1080"/>
          <w:marRight w:val="0"/>
          <w:marTop w:val="100"/>
          <w:marBottom w:val="0"/>
          <w:divBdr>
            <w:top w:val="none" w:sz="0" w:space="0" w:color="auto"/>
            <w:left w:val="none" w:sz="0" w:space="0" w:color="auto"/>
            <w:bottom w:val="none" w:sz="0" w:space="0" w:color="auto"/>
            <w:right w:val="none" w:sz="0" w:space="0" w:color="auto"/>
          </w:divBdr>
        </w:div>
        <w:div w:id="959141247">
          <w:marLeft w:val="1800"/>
          <w:marRight w:val="0"/>
          <w:marTop w:val="100"/>
          <w:marBottom w:val="0"/>
          <w:divBdr>
            <w:top w:val="none" w:sz="0" w:space="0" w:color="auto"/>
            <w:left w:val="none" w:sz="0" w:space="0" w:color="auto"/>
            <w:bottom w:val="none" w:sz="0" w:space="0" w:color="auto"/>
            <w:right w:val="none" w:sz="0" w:space="0" w:color="auto"/>
          </w:divBdr>
        </w:div>
        <w:div w:id="1084574543">
          <w:marLeft w:val="1800"/>
          <w:marRight w:val="0"/>
          <w:marTop w:val="100"/>
          <w:marBottom w:val="0"/>
          <w:divBdr>
            <w:top w:val="none" w:sz="0" w:space="0" w:color="auto"/>
            <w:left w:val="none" w:sz="0" w:space="0" w:color="auto"/>
            <w:bottom w:val="none" w:sz="0" w:space="0" w:color="auto"/>
            <w:right w:val="none" w:sz="0" w:space="0" w:color="auto"/>
          </w:divBdr>
        </w:div>
        <w:div w:id="274604146">
          <w:marLeft w:val="1080"/>
          <w:marRight w:val="0"/>
          <w:marTop w:val="100"/>
          <w:marBottom w:val="0"/>
          <w:divBdr>
            <w:top w:val="none" w:sz="0" w:space="0" w:color="auto"/>
            <w:left w:val="none" w:sz="0" w:space="0" w:color="auto"/>
            <w:bottom w:val="none" w:sz="0" w:space="0" w:color="auto"/>
            <w:right w:val="none" w:sz="0" w:space="0" w:color="auto"/>
          </w:divBdr>
        </w:div>
        <w:div w:id="1931964506">
          <w:marLeft w:val="1080"/>
          <w:marRight w:val="0"/>
          <w:marTop w:val="100"/>
          <w:marBottom w:val="0"/>
          <w:divBdr>
            <w:top w:val="none" w:sz="0" w:space="0" w:color="auto"/>
            <w:left w:val="none" w:sz="0" w:space="0" w:color="auto"/>
            <w:bottom w:val="none" w:sz="0" w:space="0" w:color="auto"/>
            <w:right w:val="none" w:sz="0" w:space="0" w:color="auto"/>
          </w:divBdr>
        </w:div>
        <w:div w:id="1306593565">
          <w:marLeft w:val="1800"/>
          <w:marRight w:val="0"/>
          <w:marTop w:val="100"/>
          <w:marBottom w:val="0"/>
          <w:divBdr>
            <w:top w:val="none" w:sz="0" w:space="0" w:color="auto"/>
            <w:left w:val="none" w:sz="0" w:space="0" w:color="auto"/>
            <w:bottom w:val="none" w:sz="0" w:space="0" w:color="auto"/>
            <w:right w:val="none" w:sz="0" w:space="0" w:color="auto"/>
          </w:divBdr>
        </w:div>
        <w:div w:id="2074237052">
          <w:marLeft w:val="1800"/>
          <w:marRight w:val="0"/>
          <w:marTop w:val="100"/>
          <w:marBottom w:val="0"/>
          <w:divBdr>
            <w:top w:val="none" w:sz="0" w:space="0" w:color="auto"/>
            <w:left w:val="none" w:sz="0" w:space="0" w:color="auto"/>
            <w:bottom w:val="none" w:sz="0" w:space="0" w:color="auto"/>
            <w:right w:val="none" w:sz="0" w:space="0" w:color="auto"/>
          </w:divBdr>
        </w:div>
        <w:div w:id="1422410162">
          <w:marLeft w:val="1080"/>
          <w:marRight w:val="0"/>
          <w:marTop w:val="100"/>
          <w:marBottom w:val="0"/>
          <w:divBdr>
            <w:top w:val="none" w:sz="0" w:space="0" w:color="auto"/>
            <w:left w:val="none" w:sz="0" w:space="0" w:color="auto"/>
            <w:bottom w:val="none" w:sz="0" w:space="0" w:color="auto"/>
            <w:right w:val="none" w:sz="0" w:space="0" w:color="auto"/>
          </w:divBdr>
        </w:div>
      </w:divsChild>
    </w:div>
    <w:div w:id="2132624949">
      <w:bodyDiv w:val="1"/>
      <w:marLeft w:val="0"/>
      <w:marRight w:val="0"/>
      <w:marTop w:val="0"/>
      <w:marBottom w:val="0"/>
      <w:divBdr>
        <w:top w:val="none" w:sz="0" w:space="0" w:color="auto"/>
        <w:left w:val="none" w:sz="0" w:space="0" w:color="auto"/>
        <w:bottom w:val="none" w:sz="0" w:space="0" w:color="auto"/>
        <w:right w:val="none" w:sz="0" w:space="0" w:color="auto"/>
      </w:divBdr>
      <w:divsChild>
        <w:div w:id="1576041404">
          <w:marLeft w:val="1080"/>
          <w:marRight w:val="0"/>
          <w:marTop w:val="100"/>
          <w:marBottom w:val="0"/>
          <w:divBdr>
            <w:top w:val="none" w:sz="0" w:space="0" w:color="auto"/>
            <w:left w:val="none" w:sz="0" w:space="0" w:color="auto"/>
            <w:bottom w:val="none" w:sz="0" w:space="0" w:color="auto"/>
            <w:right w:val="none" w:sz="0" w:space="0" w:color="auto"/>
          </w:divBdr>
        </w:div>
        <w:div w:id="1662271211">
          <w:marLeft w:val="1080"/>
          <w:marRight w:val="0"/>
          <w:marTop w:val="100"/>
          <w:marBottom w:val="0"/>
          <w:divBdr>
            <w:top w:val="none" w:sz="0" w:space="0" w:color="auto"/>
            <w:left w:val="none" w:sz="0" w:space="0" w:color="auto"/>
            <w:bottom w:val="none" w:sz="0" w:space="0" w:color="auto"/>
            <w:right w:val="none" w:sz="0" w:space="0" w:color="auto"/>
          </w:divBdr>
        </w:div>
        <w:div w:id="940183656">
          <w:marLeft w:val="1800"/>
          <w:marRight w:val="0"/>
          <w:marTop w:val="100"/>
          <w:marBottom w:val="0"/>
          <w:divBdr>
            <w:top w:val="none" w:sz="0" w:space="0" w:color="auto"/>
            <w:left w:val="none" w:sz="0" w:space="0" w:color="auto"/>
            <w:bottom w:val="none" w:sz="0" w:space="0" w:color="auto"/>
            <w:right w:val="none" w:sz="0" w:space="0" w:color="auto"/>
          </w:divBdr>
        </w:div>
        <w:div w:id="1235167717">
          <w:marLeft w:val="1800"/>
          <w:marRight w:val="0"/>
          <w:marTop w:val="100"/>
          <w:marBottom w:val="0"/>
          <w:divBdr>
            <w:top w:val="none" w:sz="0" w:space="0" w:color="auto"/>
            <w:left w:val="none" w:sz="0" w:space="0" w:color="auto"/>
            <w:bottom w:val="none" w:sz="0" w:space="0" w:color="auto"/>
            <w:right w:val="none" w:sz="0" w:space="0" w:color="auto"/>
          </w:divBdr>
        </w:div>
        <w:div w:id="47653708">
          <w:marLeft w:val="1080"/>
          <w:marRight w:val="0"/>
          <w:marTop w:val="100"/>
          <w:marBottom w:val="0"/>
          <w:divBdr>
            <w:top w:val="none" w:sz="0" w:space="0" w:color="auto"/>
            <w:left w:val="none" w:sz="0" w:space="0" w:color="auto"/>
            <w:bottom w:val="none" w:sz="0" w:space="0" w:color="auto"/>
            <w:right w:val="none" w:sz="0" w:space="0" w:color="auto"/>
          </w:divBdr>
        </w:div>
        <w:div w:id="233591108">
          <w:marLeft w:val="1080"/>
          <w:marRight w:val="0"/>
          <w:marTop w:val="100"/>
          <w:marBottom w:val="0"/>
          <w:divBdr>
            <w:top w:val="none" w:sz="0" w:space="0" w:color="auto"/>
            <w:left w:val="none" w:sz="0" w:space="0" w:color="auto"/>
            <w:bottom w:val="none" w:sz="0" w:space="0" w:color="auto"/>
            <w:right w:val="none" w:sz="0" w:space="0" w:color="auto"/>
          </w:divBdr>
        </w:div>
        <w:div w:id="1785884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BEBAB-7CC0-4A23-B6DE-390D516B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2268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2019-05-03T12:38:00Z</dcterms:created>
  <dcterms:modified xsi:type="dcterms:W3CDTF">2019-05-03T12:38:00Z</dcterms:modified>
</cp:coreProperties>
</file>