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FD172C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713839">
        <w:rPr>
          <w:rFonts w:eastAsia="宋体" w:hint="eastAsia"/>
          <w:lang w:eastAsia="zh-CN"/>
        </w:rPr>
        <w:t>0</w:t>
      </w:r>
      <w:r w:rsidR="00006E37">
        <w:rPr>
          <w:rFonts w:eastAsia="宋体" w:hint="eastAsia"/>
          <w:lang w:eastAsia="zh-CN"/>
        </w:rPr>
        <w:t>5454</w:t>
      </w:r>
    </w:p>
    <w:p w:rsidR="003F6833" w:rsidRPr="00B743BF" w:rsidRDefault="00FD172C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Reno,US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13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17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May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CF2E3D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8.5.3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 </w:t>
      </w:r>
      <w:r w:rsidR="00CF2E3D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Consideration on IAB RF requirement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EA7EC7" w:rsidRDefault="00417F58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April meeting RAN4 kicked off the discussion on Rel-16 </w:t>
      </w:r>
      <w:r w:rsidR="00586A50">
        <w:rPr>
          <w:rFonts w:hint="eastAsia"/>
          <w:szCs w:val="21"/>
        </w:rPr>
        <w:t>IAB. And initial agreements or common understanding achieved such as frequency range, IAB access link requirement</w:t>
      </w:r>
      <w:r w:rsidR="00EA7EC7">
        <w:rPr>
          <w:rFonts w:hint="eastAsia"/>
          <w:szCs w:val="21"/>
        </w:rPr>
        <w:t xml:space="preserve"> as below.</w:t>
      </w:r>
    </w:p>
    <w:p w:rsidR="00EA7EC7" w:rsidRPr="00EA7EC7" w:rsidRDefault="00EA7EC7" w:rsidP="00EA7EC7">
      <w:pPr>
        <w:pStyle w:val="ListParagraph"/>
        <w:numPr>
          <w:ilvl w:val="0"/>
          <w:numId w:val="22"/>
        </w:numPr>
        <w:ind w:firstLineChars="0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EA7EC7">
        <w:rPr>
          <w:rFonts w:ascii="Arial" w:hAnsi="Arial" w:cs="Arial"/>
          <w:color w:val="000000" w:themeColor="text1"/>
          <w:sz w:val="20"/>
          <w:szCs w:val="20"/>
          <w:highlight w:val="lightGray"/>
        </w:rPr>
        <w:t>Agreement on operating band</w:t>
      </w:r>
    </w:p>
    <w:p w:rsidR="00EA7EC7" w:rsidRPr="00EA7EC7" w:rsidRDefault="00EA7EC7" w:rsidP="00EA7EC7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sz w:val="20"/>
          <w:szCs w:val="20"/>
          <w:highlight w:val="lightGray"/>
        </w:rPr>
      </w:pPr>
      <w:r w:rsidRPr="00EA7EC7">
        <w:rPr>
          <w:rFonts w:ascii="Arial" w:hAnsi="Arial" w:cs="Arial"/>
          <w:sz w:val="20"/>
          <w:szCs w:val="20"/>
          <w:highlight w:val="lightGray"/>
        </w:rPr>
        <w:t>IAB node specifications should support the below FR2 NR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4760"/>
        <w:gridCol w:w="2413"/>
      </w:tblGrid>
      <w:tr w:rsidR="00EA7EC7" w:rsidRPr="00EA7EC7" w:rsidTr="004F53A3">
        <w:trPr>
          <w:trHeight w:val="704"/>
          <w:jc w:val="center"/>
        </w:trPr>
        <w:tc>
          <w:tcPr>
            <w:tcW w:w="1400" w:type="pct"/>
            <w:shd w:val="clear" w:color="auto" w:fill="auto"/>
          </w:tcPr>
          <w:p w:rsidR="00EA7EC7" w:rsidRPr="00EA7EC7" w:rsidRDefault="00EA7EC7" w:rsidP="004F53A3">
            <w:pPr>
              <w:pStyle w:val="TAH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 xml:space="preserve">NR </w:t>
            </w:r>
            <w:r w:rsidRPr="00EA7EC7">
              <w:rPr>
                <w:rFonts w:cs="Arial"/>
                <w:i/>
                <w:sz w:val="20"/>
                <w:highlight w:val="lightGray"/>
              </w:rPr>
              <w:t>operating band</w:t>
            </w:r>
          </w:p>
        </w:tc>
        <w:tc>
          <w:tcPr>
            <w:tcW w:w="2389" w:type="pct"/>
            <w:shd w:val="clear" w:color="auto" w:fill="auto"/>
          </w:tcPr>
          <w:p w:rsidR="00EA7EC7" w:rsidRPr="00EA7EC7" w:rsidRDefault="00EA7EC7" w:rsidP="004F53A3">
            <w:pPr>
              <w:pStyle w:val="TAH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 xml:space="preserve">Uplink (UL) and Downlink (DL) </w:t>
            </w:r>
            <w:r w:rsidRPr="00EA7EC7">
              <w:rPr>
                <w:rFonts w:cs="Arial"/>
                <w:i/>
                <w:sz w:val="20"/>
                <w:highlight w:val="lightGray"/>
              </w:rPr>
              <w:t>operating band</w:t>
            </w:r>
          </w:p>
          <w:p w:rsidR="00EA7EC7" w:rsidRPr="00EA7EC7" w:rsidRDefault="00EA7EC7" w:rsidP="004F53A3">
            <w:pPr>
              <w:pStyle w:val="TAH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BS transmit/receive</w:t>
            </w:r>
          </w:p>
          <w:p w:rsidR="00EA7EC7" w:rsidRPr="00EA7EC7" w:rsidRDefault="00EA7EC7" w:rsidP="004F53A3">
            <w:pPr>
              <w:pStyle w:val="TAH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UE transmit/receive</w:t>
            </w:r>
          </w:p>
          <w:p w:rsidR="00EA7EC7" w:rsidRPr="00EA7EC7" w:rsidRDefault="00EA7EC7" w:rsidP="004F53A3">
            <w:pPr>
              <w:pStyle w:val="TAH"/>
              <w:ind w:left="692" w:firstLineChars="350" w:firstLine="703"/>
              <w:jc w:val="both"/>
              <w:rPr>
                <w:rFonts w:cs="Arial"/>
                <w:sz w:val="20"/>
                <w:highlight w:val="lightGray"/>
                <w:vertAlign w:val="subscript"/>
              </w:rPr>
            </w:pPr>
            <w:proofErr w:type="spellStart"/>
            <w:r w:rsidRPr="00EA7EC7">
              <w:rPr>
                <w:rFonts w:cs="Arial"/>
                <w:sz w:val="20"/>
                <w:highlight w:val="lightGray"/>
              </w:rPr>
              <w:t>F</w:t>
            </w:r>
            <w:r w:rsidRPr="00EA7EC7">
              <w:rPr>
                <w:rFonts w:cs="Arial"/>
                <w:sz w:val="20"/>
                <w:highlight w:val="lightGray"/>
                <w:vertAlign w:val="subscript"/>
              </w:rPr>
              <w:t>UL,low</w:t>
            </w:r>
            <w:proofErr w:type="spellEnd"/>
            <w:r w:rsidRPr="00EA7EC7">
              <w:rPr>
                <w:rFonts w:cs="Arial"/>
                <w:sz w:val="20"/>
                <w:highlight w:val="lightGray"/>
              </w:rPr>
              <w:t xml:space="preserve">   –  </w:t>
            </w:r>
            <w:proofErr w:type="spellStart"/>
            <w:r w:rsidRPr="00EA7EC7">
              <w:rPr>
                <w:rFonts w:cs="Arial"/>
                <w:sz w:val="20"/>
                <w:highlight w:val="lightGray"/>
              </w:rPr>
              <w:t>F</w:t>
            </w:r>
            <w:r w:rsidRPr="00EA7EC7">
              <w:rPr>
                <w:rFonts w:cs="Arial"/>
                <w:sz w:val="20"/>
                <w:highlight w:val="lightGray"/>
                <w:vertAlign w:val="subscript"/>
              </w:rPr>
              <w:t>UL,high</w:t>
            </w:r>
            <w:proofErr w:type="spellEnd"/>
          </w:p>
          <w:p w:rsidR="00EA7EC7" w:rsidRPr="00EA7EC7" w:rsidRDefault="00EA7EC7" w:rsidP="004F53A3">
            <w:pPr>
              <w:pStyle w:val="TAH"/>
              <w:ind w:left="692" w:firstLineChars="350" w:firstLine="703"/>
              <w:jc w:val="both"/>
              <w:rPr>
                <w:rFonts w:cs="Arial"/>
                <w:sz w:val="20"/>
                <w:highlight w:val="lightGray"/>
              </w:rPr>
            </w:pPr>
            <w:proofErr w:type="spellStart"/>
            <w:r w:rsidRPr="00EA7EC7">
              <w:rPr>
                <w:rFonts w:cs="Arial"/>
                <w:sz w:val="20"/>
                <w:highlight w:val="lightGray"/>
              </w:rPr>
              <w:t>F</w:t>
            </w:r>
            <w:r w:rsidRPr="00EA7EC7">
              <w:rPr>
                <w:rFonts w:cs="Arial"/>
                <w:sz w:val="20"/>
                <w:highlight w:val="lightGray"/>
                <w:vertAlign w:val="subscript"/>
              </w:rPr>
              <w:t>DL,low</w:t>
            </w:r>
            <w:proofErr w:type="spellEnd"/>
            <w:r w:rsidRPr="00EA7EC7">
              <w:rPr>
                <w:rFonts w:cs="Arial"/>
                <w:sz w:val="20"/>
                <w:highlight w:val="lightGray"/>
              </w:rPr>
              <w:t xml:space="preserve">   –  </w:t>
            </w:r>
            <w:proofErr w:type="spellStart"/>
            <w:r w:rsidRPr="00EA7EC7">
              <w:rPr>
                <w:rFonts w:cs="Arial"/>
                <w:sz w:val="20"/>
                <w:highlight w:val="lightGray"/>
              </w:rPr>
              <w:t>F</w:t>
            </w:r>
            <w:r w:rsidRPr="00EA7EC7">
              <w:rPr>
                <w:rFonts w:cs="Arial"/>
                <w:sz w:val="20"/>
                <w:highlight w:val="lightGray"/>
                <w:vertAlign w:val="subscript"/>
              </w:rPr>
              <w:t>DL,high</w:t>
            </w:r>
            <w:proofErr w:type="spellEnd"/>
          </w:p>
        </w:tc>
        <w:tc>
          <w:tcPr>
            <w:tcW w:w="1211" w:type="pct"/>
            <w:shd w:val="clear" w:color="auto" w:fill="auto"/>
          </w:tcPr>
          <w:p w:rsidR="00EA7EC7" w:rsidRPr="00EA7EC7" w:rsidRDefault="00EA7EC7" w:rsidP="004F53A3">
            <w:pPr>
              <w:pStyle w:val="TAH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Duplex Mode</w:t>
            </w:r>
          </w:p>
        </w:tc>
      </w:tr>
      <w:tr w:rsidR="00EA7EC7" w:rsidRPr="00EA7EC7" w:rsidTr="004F53A3">
        <w:trPr>
          <w:jc w:val="center"/>
        </w:trPr>
        <w:tc>
          <w:tcPr>
            <w:tcW w:w="1400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n257</w:t>
            </w:r>
          </w:p>
        </w:tc>
        <w:tc>
          <w:tcPr>
            <w:tcW w:w="2389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26500 MHz – 29500 MHz</w:t>
            </w:r>
          </w:p>
        </w:tc>
        <w:tc>
          <w:tcPr>
            <w:tcW w:w="1211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TDD</w:t>
            </w:r>
          </w:p>
        </w:tc>
      </w:tr>
      <w:tr w:rsidR="00EA7EC7" w:rsidRPr="00EA7EC7" w:rsidTr="004F53A3">
        <w:trPr>
          <w:jc w:val="center"/>
        </w:trPr>
        <w:tc>
          <w:tcPr>
            <w:tcW w:w="1400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n258</w:t>
            </w:r>
          </w:p>
        </w:tc>
        <w:tc>
          <w:tcPr>
            <w:tcW w:w="2389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24250 MHz – 27500 MHz</w:t>
            </w:r>
          </w:p>
        </w:tc>
        <w:tc>
          <w:tcPr>
            <w:tcW w:w="1211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TDD</w:t>
            </w:r>
          </w:p>
        </w:tc>
      </w:tr>
      <w:tr w:rsidR="00EA7EC7" w:rsidRPr="00EA7EC7" w:rsidTr="004F53A3">
        <w:trPr>
          <w:jc w:val="center"/>
        </w:trPr>
        <w:tc>
          <w:tcPr>
            <w:tcW w:w="1400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n260</w:t>
            </w:r>
          </w:p>
        </w:tc>
        <w:tc>
          <w:tcPr>
            <w:tcW w:w="2389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37000 MHz – 40000 MHz</w:t>
            </w:r>
          </w:p>
        </w:tc>
        <w:tc>
          <w:tcPr>
            <w:tcW w:w="1211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TDD</w:t>
            </w:r>
          </w:p>
        </w:tc>
      </w:tr>
      <w:tr w:rsidR="00EA7EC7" w:rsidRPr="00EA7EC7" w:rsidTr="004F53A3">
        <w:trPr>
          <w:jc w:val="center"/>
        </w:trPr>
        <w:tc>
          <w:tcPr>
            <w:tcW w:w="1400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n261</w:t>
            </w:r>
          </w:p>
        </w:tc>
        <w:tc>
          <w:tcPr>
            <w:tcW w:w="2389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27500 MHz – 28350 MHz</w:t>
            </w:r>
          </w:p>
        </w:tc>
        <w:tc>
          <w:tcPr>
            <w:tcW w:w="1211" w:type="pct"/>
            <w:shd w:val="clear" w:color="auto" w:fill="auto"/>
          </w:tcPr>
          <w:p w:rsidR="00EA7EC7" w:rsidRPr="00EA7EC7" w:rsidRDefault="00EA7EC7" w:rsidP="004F53A3">
            <w:pPr>
              <w:pStyle w:val="TAC"/>
              <w:ind w:left="692"/>
              <w:rPr>
                <w:rFonts w:cs="Arial"/>
                <w:sz w:val="20"/>
                <w:highlight w:val="lightGray"/>
              </w:rPr>
            </w:pPr>
            <w:r w:rsidRPr="00EA7EC7">
              <w:rPr>
                <w:rFonts w:cs="Arial"/>
                <w:sz w:val="20"/>
                <w:highlight w:val="lightGray"/>
              </w:rPr>
              <w:t>TDD</w:t>
            </w:r>
          </w:p>
        </w:tc>
      </w:tr>
    </w:tbl>
    <w:p w:rsidR="00EA7EC7" w:rsidRPr="00EA7EC7" w:rsidRDefault="00EA7EC7" w:rsidP="00EA7EC7">
      <w:pPr>
        <w:pStyle w:val="ListParagraph"/>
        <w:ind w:left="1112" w:firstLine="400"/>
        <w:rPr>
          <w:rFonts w:ascii="Arial" w:hAnsi="Arial" w:cs="Arial"/>
          <w:sz w:val="20"/>
          <w:szCs w:val="20"/>
          <w:highlight w:val="lightGray"/>
        </w:rPr>
      </w:pPr>
    </w:p>
    <w:p w:rsidR="00EA7EC7" w:rsidRPr="00EA7EC7" w:rsidRDefault="00EA7EC7" w:rsidP="00EA7EC7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sz w:val="20"/>
          <w:szCs w:val="20"/>
          <w:highlight w:val="lightGray"/>
        </w:rPr>
      </w:pPr>
      <w:r w:rsidRPr="00EA7EC7">
        <w:rPr>
          <w:rFonts w:ascii="Arial" w:hAnsi="Arial" w:cs="Arial"/>
          <w:sz w:val="20"/>
          <w:szCs w:val="20"/>
          <w:highlight w:val="lightGray"/>
        </w:rPr>
        <w:t xml:space="preserve">For new FR2 bands introduced in future, RAN4 will discuss the </w:t>
      </w:r>
      <w:r w:rsidR="000036A2" w:rsidRPr="00EA7EC7">
        <w:rPr>
          <w:rFonts w:ascii="Arial" w:hAnsi="Arial" w:cs="Arial"/>
          <w:sz w:val="20"/>
          <w:szCs w:val="20"/>
          <w:highlight w:val="lightGray"/>
        </w:rPr>
        <w:t>introduction</w:t>
      </w:r>
      <w:r w:rsidRPr="00EA7EC7">
        <w:rPr>
          <w:rFonts w:ascii="Arial" w:hAnsi="Arial" w:cs="Arial"/>
          <w:sz w:val="20"/>
          <w:szCs w:val="20"/>
          <w:highlight w:val="lightGray"/>
        </w:rPr>
        <w:t xml:space="preserve"> of new FR2 bands into IAB specifications after RF requirements for FR2 bands are </w:t>
      </w:r>
      <w:r w:rsidR="000036A2" w:rsidRPr="00EA7EC7">
        <w:rPr>
          <w:rFonts w:ascii="Arial" w:hAnsi="Arial" w:cs="Arial"/>
          <w:sz w:val="20"/>
          <w:szCs w:val="20"/>
          <w:highlight w:val="lightGray"/>
        </w:rPr>
        <w:t>completed</w:t>
      </w:r>
      <w:r w:rsidRPr="00EA7EC7">
        <w:rPr>
          <w:rFonts w:ascii="Arial" w:hAnsi="Arial" w:cs="Arial"/>
          <w:sz w:val="20"/>
          <w:szCs w:val="20"/>
          <w:highlight w:val="lightGray"/>
        </w:rPr>
        <w:t xml:space="preserve">. </w:t>
      </w:r>
    </w:p>
    <w:p w:rsidR="00EA7EC7" w:rsidRPr="00EA7EC7" w:rsidRDefault="00EA7EC7" w:rsidP="00EA7EC7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sz w:val="20"/>
          <w:szCs w:val="20"/>
          <w:highlight w:val="lightGray"/>
        </w:rPr>
      </w:pPr>
      <w:r w:rsidRPr="00EA7EC7">
        <w:rPr>
          <w:rFonts w:ascii="Arial" w:hAnsi="Arial" w:cs="Arial"/>
          <w:sz w:val="20"/>
          <w:szCs w:val="20"/>
          <w:highlight w:val="lightGray"/>
        </w:rPr>
        <w:t xml:space="preserve">Introducing FR1 band(s) in IAB specifications are not precluded. Further discussion on </w:t>
      </w:r>
      <w:r w:rsidR="000036A2" w:rsidRPr="00EA7EC7">
        <w:rPr>
          <w:rFonts w:ascii="Arial" w:hAnsi="Arial" w:cs="Arial"/>
          <w:sz w:val="20"/>
          <w:szCs w:val="20"/>
          <w:highlight w:val="lightGray"/>
        </w:rPr>
        <w:t>introduction</w:t>
      </w:r>
      <w:r w:rsidRPr="00EA7EC7">
        <w:rPr>
          <w:rFonts w:ascii="Arial" w:hAnsi="Arial" w:cs="Arial"/>
          <w:sz w:val="20"/>
          <w:szCs w:val="20"/>
          <w:highlight w:val="lightGray"/>
        </w:rPr>
        <w:t xml:space="preserve"> of FR1 bands is needed. </w:t>
      </w:r>
    </w:p>
    <w:p w:rsidR="00EA7EC7" w:rsidRPr="00EA7EC7" w:rsidRDefault="00EA7EC7" w:rsidP="00EA7EC7">
      <w:pPr>
        <w:pStyle w:val="ListParagraph"/>
        <w:numPr>
          <w:ilvl w:val="0"/>
          <w:numId w:val="23"/>
        </w:numPr>
        <w:ind w:firstLineChars="0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EA7EC7">
        <w:rPr>
          <w:rFonts w:ascii="Arial" w:hAnsi="Arial" w:cs="Arial"/>
          <w:sz w:val="20"/>
          <w:szCs w:val="20"/>
          <w:highlight w:val="lightGray"/>
        </w:rPr>
        <w:t xml:space="preserve">Companies are encouraged to bring the analysis for introducing FR1 band(s) in IAB </w:t>
      </w:r>
      <w:r w:rsidR="000036A2" w:rsidRPr="00EA7EC7">
        <w:rPr>
          <w:rFonts w:ascii="Arial" w:hAnsi="Arial" w:cs="Arial"/>
          <w:sz w:val="20"/>
          <w:szCs w:val="20"/>
          <w:highlight w:val="lightGray"/>
        </w:rPr>
        <w:t>specifications</w:t>
      </w:r>
      <w:r w:rsidRPr="00EA7EC7">
        <w:rPr>
          <w:rFonts w:ascii="Arial" w:hAnsi="Arial" w:cs="Arial"/>
          <w:sz w:val="20"/>
          <w:szCs w:val="20"/>
          <w:highlight w:val="lightGray"/>
        </w:rPr>
        <w:t>.</w:t>
      </w:r>
    </w:p>
    <w:p w:rsidR="00EA7EC7" w:rsidRPr="00EA7EC7" w:rsidRDefault="00EA7EC7" w:rsidP="00EA7EC7">
      <w:pPr>
        <w:pStyle w:val="ListParagraph"/>
        <w:numPr>
          <w:ilvl w:val="0"/>
          <w:numId w:val="22"/>
        </w:numPr>
        <w:ind w:firstLineChars="0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EA7EC7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Common understanding: </w:t>
      </w:r>
    </w:p>
    <w:p w:rsidR="00EA7EC7" w:rsidRPr="00EA7EC7" w:rsidRDefault="00EA7EC7" w:rsidP="00EA7EC7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sz w:val="20"/>
          <w:szCs w:val="20"/>
          <w:highlight w:val="lightGray"/>
        </w:rPr>
      </w:pPr>
      <w:r w:rsidRPr="00EA7EC7">
        <w:rPr>
          <w:rFonts w:ascii="Arial" w:hAnsi="Arial" w:cs="Arial"/>
          <w:sz w:val="20"/>
          <w:szCs w:val="20"/>
          <w:highlight w:val="lightGray"/>
        </w:rPr>
        <w:t xml:space="preserve">Re-use BS RF requirements for IAB access link is a starting point  </w:t>
      </w:r>
    </w:p>
    <w:p w:rsidR="00EA7EC7" w:rsidRPr="00EA7EC7" w:rsidRDefault="00EA7EC7" w:rsidP="00EA7EC7">
      <w:pPr>
        <w:pStyle w:val="ListParagraph"/>
        <w:numPr>
          <w:ilvl w:val="0"/>
          <w:numId w:val="23"/>
        </w:numPr>
        <w:ind w:firstLineChars="0"/>
        <w:rPr>
          <w:rFonts w:ascii="Arial" w:eastAsiaTheme="minorEastAsia" w:hAnsi="Arial" w:cs="Arial"/>
          <w:sz w:val="20"/>
          <w:szCs w:val="20"/>
        </w:rPr>
      </w:pPr>
      <w:r w:rsidRPr="00EA7EC7">
        <w:rPr>
          <w:rFonts w:ascii="Arial" w:hAnsi="Arial" w:cs="Arial"/>
          <w:sz w:val="20"/>
          <w:szCs w:val="20"/>
          <w:highlight w:val="lightGray"/>
        </w:rPr>
        <w:t>Whether all the BS classes will be supported for IAB access link will be further discussed</w:t>
      </w:r>
    </w:p>
    <w:p w:rsidR="004914E1" w:rsidRPr="004914E1" w:rsidRDefault="00586A50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This contribution provides consideration on IAB RF requirement based on those agreements achieved online. </w:t>
      </w:r>
    </w:p>
    <w:p w:rsidR="002A5A60" w:rsidRDefault="002A5A60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BC0505" w:rsidRPr="00C46C26" w:rsidRDefault="00586A50" w:rsidP="00BC0505">
      <w:pPr>
        <w:rPr>
          <w:b/>
          <w:u w:val="single"/>
          <w:lang w:val="en-GB"/>
        </w:rPr>
      </w:pPr>
      <w:r w:rsidRPr="00C46C26">
        <w:rPr>
          <w:rFonts w:hint="eastAsia"/>
          <w:b/>
          <w:u w:val="single"/>
          <w:lang w:val="en-GB"/>
        </w:rPr>
        <w:t>Frequency range</w:t>
      </w:r>
    </w:p>
    <w:p w:rsidR="00E61C7C" w:rsidRDefault="00E61C7C" w:rsidP="00BC0505">
      <w:pPr>
        <w:rPr>
          <w:lang w:val="en-GB"/>
        </w:rPr>
      </w:pPr>
      <w:r>
        <w:rPr>
          <w:rFonts w:hint="eastAsia"/>
          <w:lang w:val="en-GB"/>
        </w:rPr>
        <w:t xml:space="preserve">IAB node is recognized as </w:t>
      </w:r>
      <w:r>
        <w:rPr>
          <w:lang w:val="en-GB"/>
        </w:rPr>
        <w:t>attractive</w:t>
      </w:r>
      <w:r>
        <w:rPr>
          <w:rFonts w:hint="eastAsia"/>
          <w:lang w:val="en-GB"/>
        </w:rPr>
        <w:t xml:space="preserve"> and </w:t>
      </w:r>
      <w:r>
        <w:rPr>
          <w:lang w:val="en-GB"/>
        </w:rPr>
        <w:t>beneficial</w:t>
      </w:r>
      <w:r>
        <w:rPr>
          <w:rFonts w:hint="eastAsia"/>
          <w:lang w:val="en-GB"/>
        </w:rPr>
        <w:t xml:space="preserve"> solution on MMW for flexible and wireless deployment. Hence </w:t>
      </w:r>
      <w:r>
        <w:rPr>
          <w:lang w:val="en-GB"/>
        </w:rPr>
        <w:t>existing</w:t>
      </w:r>
      <w:r>
        <w:rPr>
          <w:rFonts w:hint="eastAsia"/>
          <w:lang w:val="en-GB"/>
        </w:rPr>
        <w:t xml:space="preserve"> FR2 bands in Rel-15 can be agreed to be supported in IAB RF specification without any </w:t>
      </w:r>
      <w:r>
        <w:rPr>
          <w:lang w:val="en-GB"/>
        </w:rPr>
        <w:t>doubt</w:t>
      </w:r>
      <w:r>
        <w:rPr>
          <w:rFonts w:hint="eastAsia"/>
          <w:lang w:val="en-GB"/>
        </w:rPr>
        <w:t xml:space="preserve">. However, considering the experience in LTE Relay, i.e. the feature </w:t>
      </w:r>
      <w:r>
        <w:rPr>
          <w:lang w:val="en-GB"/>
        </w:rPr>
        <w:t>introduced</w:t>
      </w:r>
      <w:r>
        <w:rPr>
          <w:rFonts w:hint="eastAsia"/>
          <w:lang w:val="en-GB"/>
        </w:rPr>
        <w:t xml:space="preserve"> in LTE R11</w:t>
      </w:r>
      <w:r w:rsidR="0092585A">
        <w:rPr>
          <w:rFonts w:hint="eastAsia"/>
          <w:lang w:val="en-GB"/>
        </w:rPr>
        <w:t xml:space="preserve"> which may be not really </w:t>
      </w:r>
      <w:r w:rsidR="0092585A">
        <w:rPr>
          <w:lang w:val="en-GB"/>
        </w:rPr>
        <w:t>deployed in</w:t>
      </w:r>
      <w:r w:rsidR="0092585A">
        <w:rPr>
          <w:rFonts w:hint="eastAsia"/>
          <w:lang w:val="en-GB"/>
        </w:rPr>
        <w:t xml:space="preserve"> </w:t>
      </w:r>
      <w:r w:rsidR="0092585A">
        <w:rPr>
          <w:lang w:val="en-GB"/>
        </w:rPr>
        <w:t>practical</w:t>
      </w:r>
      <w:r w:rsidR="0092585A">
        <w:rPr>
          <w:rFonts w:hint="eastAsia"/>
          <w:lang w:val="en-GB"/>
        </w:rPr>
        <w:t xml:space="preserve"> </w:t>
      </w:r>
      <w:r w:rsidR="00C46C26">
        <w:rPr>
          <w:lang w:val="en-GB"/>
        </w:rPr>
        <w:t>network</w:t>
      </w:r>
      <w:r w:rsidR="00C46C26">
        <w:rPr>
          <w:rFonts w:hint="eastAsia"/>
          <w:lang w:val="en-GB"/>
        </w:rPr>
        <w:t>,</w:t>
      </w:r>
      <w:r w:rsidR="0092585A">
        <w:rPr>
          <w:rFonts w:hint="eastAsia"/>
          <w:lang w:val="en-GB"/>
        </w:rPr>
        <w:t xml:space="preserve"> and the potential restriction of FR1 in backhaul </w:t>
      </w:r>
      <w:r w:rsidR="006A1471">
        <w:rPr>
          <w:rFonts w:hint="eastAsia"/>
          <w:lang w:val="en-GB"/>
        </w:rPr>
        <w:t>for</w:t>
      </w:r>
      <w:r w:rsidR="0092585A">
        <w:rPr>
          <w:rFonts w:hint="eastAsia"/>
          <w:lang w:val="en-GB"/>
        </w:rPr>
        <w:t xml:space="preserve"> both upstream and downstream, the decision on whether to support FR1 for NR IAB is postponed. </w:t>
      </w:r>
    </w:p>
    <w:p w:rsidR="00ED78DD" w:rsidRPr="00ED78DD" w:rsidRDefault="00C46C26" w:rsidP="00ED78DD">
      <w:r>
        <w:rPr>
          <w:lang w:val="en-GB"/>
        </w:rPr>
        <w:lastRenderedPageBreak/>
        <w:t>Even though</w:t>
      </w:r>
      <w:r>
        <w:rPr>
          <w:rFonts w:hint="eastAsia"/>
          <w:lang w:val="en-GB"/>
        </w:rPr>
        <w:t xml:space="preserve"> according to WID FR1 is in the IAB scope, still RAN4 can work with </w:t>
      </w:r>
      <w:r>
        <w:rPr>
          <w:lang w:val="en-GB"/>
        </w:rPr>
        <w:t>some kind</w:t>
      </w:r>
      <w:r>
        <w:rPr>
          <w:rFonts w:hint="eastAsia"/>
          <w:lang w:val="en-GB"/>
        </w:rPr>
        <w:t xml:space="preserve"> of </w:t>
      </w:r>
      <w:r>
        <w:rPr>
          <w:lang w:val="en-GB"/>
        </w:rPr>
        <w:t xml:space="preserve">priority. </w:t>
      </w:r>
      <w:r>
        <w:rPr>
          <w:rFonts w:hint="eastAsia"/>
          <w:lang w:val="en-GB"/>
        </w:rPr>
        <w:t xml:space="preserve">However, at the very </w:t>
      </w:r>
      <w:r>
        <w:rPr>
          <w:lang w:val="en-GB"/>
        </w:rPr>
        <w:t>beginning</w:t>
      </w:r>
      <w:r>
        <w:rPr>
          <w:rFonts w:hint="eastAsia"/>
          <w:lang w:val="en-GB"/>
        </w:rPr>
        <w:t xml:space="preserve"> stage of RAN4 discussion, it is suggested to refer to the Rel-15 NR WI or basket WI </w:t>
      </w:r>
      <w:r>
        <w:rPr>
          <w:lang w:val="en-GB"/>
        </w:rPr>
        <w:t>procedure</w:t>
      </w:r>
      <w:r>
        <w:rPr>
          <w:rFonts w:hint="eastAsia"/>
          <w:lang w:val="en-GB"/>
        </w:rPr>
        <w:t>. That means according to operator(s</w:t>
      </w:r>
      <w:r>
        <w:rPr>
          <w:lang w:val="en-GB"/>
        </w:rPr>
        <w:t>)’</w:t>
      </w:r>
      <w:r>
        <w:rPr>
          <w:rFonts w:hint="eastAsia"/>
          <w:lang w:val="en-GB"/>
        </w:rPr>
        <w:t xml:space="preserve">s request(s), band can be listed on the table. And by the end of Rel-16, the IAB RAN4 RF core part can be declared as </w:t>
      </w:r>
      <w:r>
        <w:rPr>
          <w:lang w:val="en-GB"/>
        </w:rPr>
        <w:t>complete</w:t>
      </w:r>
      <w:r>
        <w:rPr>
          <w:rFonts w:hint="eastAsia"/>
          <w:lang w:val="en-GB"/>
        </w:rPr>
        <w:t xml:space="preserve"> if at least full package of RF requirement</w:t>
      </w:r>
      <w:r w:rsidR="004047E2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</w:t>
      </w:r>
      <w:r w:rsidR="004047E2">
        <w:rPr>
          <w:rFonts w:hint="eastAsia"/>
          <w:lang w:val="en-GB"/>
        </w:rPr>
        <w:t>for</w:t>
      </w:r>
      <w:r>
        <w:rPr>
          <w:rFonts w:hint="eastAsia"/>
          <w:lang w:val="en-GB"/>
        </w:rPr>
        <w:t xml:space="preserve"> one band complete. All bands with remaining issues can be removed from Rel-16. </w:t>
      </w:r>
      <w:r w:rsidR="00ED78DD">
        <w:rPr>
          <w:rFonts w:hint="eastAsia"/>
          <w:lang w:val="en-GB"/>
        </w:rPr>
        <w:t xml:space="preserve">And they can be discussed further in later release according to updated request. Furthermore, as </w:t>
      </w:r>
      <w:r w:rsidR="00426B25">
        <w:rPr>
          <w:lang w:val="en-GB"/>
        </w:rPr>
        <w:t>usual</w:t>
      </w:r>
      <w:r>
        <w:rPr>
          <w:rFonts w:hint="eastAsia"/>
          <w:lang w:val="en-GB"/>
        </w:rPr>
        <w:t xml:space="preserve"> the band introduced in later release </w:t>
      </w:r>
      <w:r w:rsidR="00ED78DD" w:rsidRPr="00ED78DD">
        <w:t>can still be implemented in Rel</w:t>
      </w:r>
      <w:r w:rsidR="00ED78DD">
        <w:rPr>
          <w:rFonts w:hint="eastAsia"/>
        </w:rPr>
        <w:t>-16 IAB</w:t>
      </w:r>
      <w:r w:rsidR="00ED78DD" w:rsidRPr="00ED78DD">
        <w:t xml:space="preserve"> products</w:t>
      </w:r>
      <w:r w:rsidR="00ED78DD">
        <w:rPr>
          <w:rFonts w:hint="eastAsia"/>
        </w:rPr>
        <w:t xml:space="preserve">. </w:t>
      </w:r>
    </w:p>
    <w:p w:rsidR="004047E2" w:rsidRPr="00ED78DD" w:rsidRDefault="004047E2" w:rsidP="00BC0505"/>
    <w:p w:rsidR="00051FA8" w:rsidRDefault="00051FA8" w:rsidP="00BC0505">
      <w:pPr>
        <w:rPr>
          <w:lang w:val="en-GB"/>
        </w:rPr>
      </w:pPr>
      <w:r w:rsidRPr="00ED78DD">
        <w:rPr>
          <w:rFonts w:hint="eastAsia"/>
          <w:b/>
          <w:lang w:val="en-GB"/>
        </w:rPr>
        <w:t xml:space="preserve">Proposal </w:t>
      </w:r>
      <w:r w:rsidR="004047E2" w:rsidRPr="00ED78DD">
        <w:rPr>
          <w:rFonts w:hint="eastAsia"/>
          <w:b/>
          <w:lang w:val="en-GB"/>
        </w:rPr>
        <w:t>1</w:t>
      </w:r>
      <w:r w:rsidR="00ED78DD">
        <w:rPr>
          <w:rFonts w:hint="eastAsia"/>
          <w:lang w:val="en-GB"/>
        </w:rPr>
        <w:t>:</w:t>
      </w:r>
      <w:r w:rsidR="004047E2">
        <w:rPr>
          <w:rFonts w:hint="eastAsia"/>
          <w:lang w:val="en-GB"/>
        </w:rPr>
        <w:t xml:space="preserve"> </w:t>
      </w:r>
      <w:r w:rsidR="00ED78DD">
        <w:rPr>
          <w:rFonts w:hint="eastAsia"/>
          <w:lang w:val="en-GB"/>
        </w:rPr>
        <w:t xml:space="preserve">keep open to all NR operating band requests based on existing Rel-15 from operator and follow the similar handling procedure of Rel-15 NR WI regarding operating band. </w:t>
      </w:r>
    </w:p>
    <w:p w:rsidR="00ED78DD" w:rsidRDefault="00ED78DD" w:rsidP="00BC0505">
      <w:pPr>
        <w:rPr>
          <w:lang w:val="en-GB"/>
        </w:rPr>
      </w:pPr>
    </w:p>
    <w:p w:rsidR="00EA7EC7" w:rsidRDefault="00D126B4" w:rsidP="00BC0505">
      <w:pPr>
        <w:rPr>
          <w:b/>
          <w:u w:val="single"/>
          <w:lang w:val="en-GB"/>
        </w:rPr>
      </w:pPr>
      <w:r w:rsidRPr="00D126B4">
        <w:rPr>
          <w:rFonts w:hint="eastAsia"/>
          <w:b/>
          <w:u w:val="single"/>
          <w:lang w:val="en-GB"/>
        </w:rPr>
        <w:t xml:space="preserve">Consideration on </w:t>
      </w:r>
      <w:r>
        <w:rPr>
          <w:rFonts w:hint="eastAsia"/>
          <w:b/>
          <w:u w:val="single"/>
          <w:lang w:val="en-GB"/>
        </w:rPr>
        <w:t>RF requirement</w:t>
      </w:r>
    </w:p>
    <w:p w:rsidR="00D126B4" w:rsidRDefault="00D126B4" w:rsidP="00BC0505">
      <w:pPr>
        <w:rPr>
          <w:lang w:val="en-GB"/>
        </w:rPr>
      </w:pPr>
      <w:r>
        <w:rPr>
          <w:rFonts w:hint="eastAsia"/>
          <w:lang w:val="en-GB"/>
        </w:rPr>
        <w:t xml:space="preserve">According to the discussion the IAB-DU would play the part of purely BS is common understanding. However, there could be two implementation solutions for IAB as </w:t>
      </w:r>
      <w:r w:rsidR="0091277D">
        <w:rPr>
          <w:rFonts w:hint="eastAsia"/>
          <w:lang w:val="en-GB"/>
        </w:rPr>
        <w:t xml:space="preserve">one is </w:t>
      </w:r>
      <w:r w:rsidR="000E0F21">
        <w:rPr>
          <w:rFonts w:hint="eastAsia"/>
          <w:lang w:val="en-GB"/>
        </w:rPr>
        <w:t>IAB-MT and IAB-DU convergence on</w:t>
      </w:r>
      <w:r w:rsidR="0091277D">
        <w:rPr>
          <w:rFonts w:hint="eastAsia"/>
          <w:lang w:val="en-GB"/>
        </w:rPr>
        <w:t xml:space="preserve"> </w:t>
      </w:r>
      <w:r w:rsidR="000E0F21">
        <w:rPr>
          <w:rFonts w:hint="eastAsia"/>
          <w:lang w:val="en-GB"/>
        </w:rPr>
        <w:t>most RF HW(category I)</w:t>
      </w:r>
      <w:r>
        <w:rPr>
          <w:rFonts w:hint="eastAsia"/>
          <w:lang w:val="en-GB"/>
        </w:rPr>
        <w:t>, and the</w:t>
      </w:r>
      <w:r w:rsidR="0091277D">
        <w:rPr>
          <w:rFonts w:hint="eastAsia"/>
          <w:lang w:val="en-GB"/>
        </w:rPr>
        <w:t xml:space="preserve"> other is </w:t>
      </w:r>
      <w:r w:rsidR="000E0F21">
        <w:rPr>
          <w:rFonts w:hint="eastAsia"/>
          <w:lang w:val="en-GB"/>
        </w:rPr>
        <w:t xml:space="preserve">IAB to be built by two </w:t>
      </w:r>
      <w:r w:rsidR="000E0F21">
        <w:rPr>
          <w:lang w:val="en-GB"/>
        </w:rPr>
        <w:t>relative</w:t>
      </w:r>
      <w:r w:rsidR="000E0F21">
        <w:rPr>
          <w:rFonts w:hint="eastAsia"/>
          <w:lang w:val="en-GB"/>
        </w:rPr>
        <w:t xml:space="preserve"> isolated components of BS(DU)+UE(MT)(category II) </w:t>
      </w:r>
      <w:r>
        <w:rPr>
          <w:rFonts w:hint="eastAsia"/>
          <w:lang w:val="en-GB"/>
        </w:rPr>
        <w:t xml:space="preserve">. </w:t>
      </w:r>
      <w:r w:rsidR="0091277D">
        <w:rPr>
          <w:rFonts w:hint="eastAsia"/>
          <w:lang w:val="en-GB"/>
        </w:rPr>
        <w:t xml:space="preserve">And it is proposed to develop the RF requirement with the target to </w:t>
      </w:r>
      <w:r w:rsidR="0091277D">
        <w:rPr>
          <w:lang w:val="en-GB"/>
        </w:rPr>
        <w:t>accommodate</w:t>
      </w:r>
      <w:r w:rsidR="0091277D">
        <w:rPr>
          <w:rFonts w:hint="eastAsia"/>
          <w:lang w:val="en-GB"/>
        </w:rPr>
        <w:t xml:space="preserve"> with both implementation solutions. For some of the UE specific behaviour(s) which cannot or doesn</w:t>
      </w:r>
      <w:r w:rsidR="0091277D">
        <w:rPr>
          <w:lang w:val="en-GB"/>
        </w:rPr>
        <w:t>’</w:t>
      </w:r>
      <w:r w:rsidR="0091277D">
        <w:rPr>
          <w:rFonts w:hint="eastAsia"/>
          <w:lang w:val="en-GB"/>
        </w:rPr>
        <w:t xml:space="preserve">t necessary be supported by </w:t>
      </w:r>
      <w:r w:rsidR="000E0F21">
        <w:rPr>
          <w:rFonts w:hint="eastAsia"/>
          <w:lang w:val="en-GB"/>
        </w:rPr>
        <w:t xml:space="preserve">category I IAB, the requirement can be defined dedicated for category II IAB node. But the </w:t>
      </w:r>
      <w:r w:rsidR="000E0F21">
        <w:rPr>
          <w:lang w:val="en-GB"/>
        </w:rPr>
        <w:t>fundamental</w:t>
      </w:r>
      <w:r w:rsidR="000E0F21">
        <w:rPr>
          <w:rFonts w:hint="eastAsia"/>
          <w:lang w:val="en-GB"/>
        </w:rPr>
        <w:t xml:space="preserve"> threshold to </w:t>
      </w:r>
      <w:r w:rsidR="000E0F21">
        <w:rPr>
          <w:lang w:val="en-GB"/>
        </w:rPr>
        <w:t>incorporate</w:t>
      </w:r>
      <w:r w:rsidR="000E0F21">
        <w:rPr>
          <w:rFonts w:hint="eastAsia"/>
          <w:lang w:val="en-GB"/>
        </w:rPr>
        <w:t xml:space="preserve"> certain IAB type in specification should be the guarantee of co-existence and </w:t>
      </w:r>
      <w:r w:rsidR="000E0F21">
        <w:rPr>
          <w:lang w:val="en-GB"/>
        </w:rPr>
        <w:t>maintenance</w:t>
      </w:r>
      <w:r w:rsidR="000E0F21">
        <w:rPr>
          <w:rFonts w:hint="eastAsia"/>
          <w:lang w:val="en-GB"/>
        </w:rPr>
        <w:t xml:space="preserve"> of own </w:t>
      </w:r>
      <w:r w:rsidR="000E0F21">
        <w:rPr>
          <w:lang w:val="en-GB"/>
        </w:rPr>
        <w:t>performance</w:t>
      </w:r>
      <w:r w:rsidR="000E0F21">
        <w:rPr>
          <w:rFonts w:hint="eastAsia"/>
          <w:lang w:val="en-GB"/>
        </w:rPr>
        <w:t xml:space="preserve"> target. </w:t>
      </w:r>
    </w:p>
    <w:p w:rsidR="000E0F21" w:rsidRDefault="000E0F21" w:rsidP="00BC0505">
      <w:pPr>
        <w:rPr>
          <w:lang w:val="en-GB"/>
        </w:rPr>
      </w:pPr>
    </w:p>
    <w:p w:rsidR="0091277D" w:rsidRDefault="0091277D" w:rsidP="0091277D">
      <w:pPr>
        <w:rPr>
          <w:lang w:val="en-GB"/>
        </w:rPr>
      </w:pPr>
      <w:r w:rsidRPr="00ED78DD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2</w:t>
      </w:r>
      <w:r>
        <w:rPr>
          <w:rFonts w:hint="eastAsia"/>
          <w:lang w:val="en-GB"/>
        </w:rPr>
        <w:t>:</w:t>
      </w:r>
      <w:r w:rsidR="000E0F21">
        <w:rPr>
          <w:rFonts w:hint="eastAsia"/>
          <w:lang w:val="en-GB"/>
        </w:rPr>
        <w:t xml:space="preserve"> It is proposed to develop RF </w:t>
      </w:r>
      <w:r w:rsidR="000E0F21">
        <w:rPr>
          <w:lang w:val="en-GB"/>
        </w:rPr>
        <w:t>requirement</w:t>
      </w:r>
      <w:r w:rsidR="000E0F21">
        <w:rPr>
          <w:rFonts w:hint="eastAsia"/>
          <w:lang w:val="en-GB"/>
        </w:rPr>
        <w:t xml:space="preserve"> with the target to accommodate with all possible implementation solutions which can ensure the co-existence and performance. </w:t>
      </w:r>
    </w:p>
    <w:p w:rsidR="0091277D" w:rsidRDefault="0091277D" w:rsidP="0091277D">
      <w:pPr>
        <w:rPr>
          <w:lang w:val="en-GB"/>
        </w:rPr>
      </w:pPr>
    </w:p>
    <w:p w:rsidR="0091277D" w:rsidRDefault="000E0F21" w:rsidP="000E0F21">
      <w:pPr>
        <w:rPr>
          <w:lang w:val="en-GB"/>
        </w:rPr>
      </w:pPr>
      <w:r>
        <w:rPr>
          <w:rFonts w:hint="eastAsia"/>
          <w:lang w:val="en-GB"/>
        </w:rPr>
        <w:t xml:space="preserve">Currently FR2 </w:t>
      </w:r>
      <w:r w:rsidR="00EB22DA">
        <w:rPr>
          <w:rFonts w:hint="eastAsia"/>
          <w:lang w:val="en-GB"/>
        </w:rPr>
        <w:t>is agreed to be supported by</w:t>
      </w:r>
      <w:r>
        <w:rPr>
          <w:rFonts w:hint="eastAsia"/>
          <w:lang w:val="en-GB"/>
        </w:rPr>
        <w:t xml:space="preserve"> IAB from both vendors and operators. Hence the following discussion </w:t>
      </w:r>
      <w:r w:rsidR="00EB22DA">
        <w:rPr>
          <w:rFonts w:hint="eastAsia"/>
          <w:lang w:val="en-GB"/>
        </w:rPr>
        <w:t xml:space="preserve">focuses on FR2. Here in table </w:t>
      </w:r>
      <w:r w:rsidR="002E7125">
        <w:rPr>
          <w:rFonts w:hint="eastAsia"/>
          <w:lang w:val="en-GB"/>
        </w:rPr>
        <w:t>1</w:t>
      </w:r>
      <w:r w:rsidR="00EB22DA">
        <w:rPr>
          <w:rFonts w:hint="eastAsia"/>
          <w:lang w:val="en-GB"/>
        </w:rPr>
        <w:t xml:space="preserve"> we </w:t>
      </w:r>
      <w:r w:rsidR="00EB22DA">
        <w:rPr>
          <w:lang w:val="en-GB"/>
        </w:rPr>
        <w:t>summarized</w:t>
      </w:r>
      <w:r w:rsidR="00EB22DA">
        <w:rPr>
          <w:rFonts w:hint="eastAsia"/>
          <w:lang w:val="en-GB"/>
        </w:rPr>
        <w:t xml:space="preserve"> the corresponding TX/RX </w:t>
      </w:r>
      <w:r w:rsidR="00EB22DA">
        <w:rPr>
          <w:lang w:val="en-GB"/>
        </w:rPr>
        <w:t>requirement</w:t>
      </w:r>
      <w:r w:rsidR="00EB22DA">
        <w:rPr>
          <w:rFonts w:hint="eastAsia"/>
          <w:lang w:val="en-GB"/>
        </w:rPr>
        <w:t xml:space="preserve"> defined in TS 38.104 for BS type 2-O and UE side in TS38.101-2 on similar </w:t>
      </w:r>
      <w:r w:rsidR="00EB22DA">
        <w:rPr>
          <w:lang w:val="en-GB"/>
        </w:rPr>
        <w:t>verification</w:t>
      </w:r>
      <w:r w:rsidR="00EB22DA">
        <w:rPr>
          <w:rFonts w:hint="eastAsia"/>
          <w:lang w:val="en-GB"/>
        </w:rPr>
        <w:t xml:space="preserve"> target. This table can be used as starting point to leverage legacy outcome of both UE and BS for IAB node. </w:t>
      </w:r>
      <w:r w:rsidR="002E7125">
        <w:rPr>
          <w:rFonts w:hint="eastAsia"/>
          <w:lang w:val="en-GB"/>
        </w:rPr>
        <w:t xml:space="preserve">At least below aspects need further </w:t>
      </w:r>
      <w:r w:rsidR="002E7125">
        <w:rPr>
          <w:lang w:val="en-GB"/>
        </w:rPr>
        <w:t>discussion</w:t>
      </w:r>
      <w:r w:rsidR="002E7125">
        <w:rPr>
          <w:rFonts w:hint="eastAsia"/>
          <w:lang w:val="en-GB"/>
        </w:rPr>
        <w:t xml:space="preserve">. </w:t>
      </w:r>
      <w:r w:rsidR="006F1F8D">
        <w:rPr>
          <w:rFonts w:hint="eastAsia"/>
          <w:lang w:val="en-GB"/>
        </w:rPr>
        <w:t xml:space="preserve"> And the requirements related unwanted emission and interference rejection will be discussed further based on co-existence study. </w:t>
      </w:r>
    </w:p>
    <w:p w:rsidR="00EB22DA" w:rsidRPr="002E7125" w:rsidRDefault="002E7125" w:rsidP="00EB22DA">
      <w:pPr>
        <w:pStyle w:val="ListParagraph"/>
        <w:numPr>
          <w:ilvl w:val="0"/>
          <w:numId w:val="24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FFS on necessity</w:t>
      </w:r>
      <w:r w:rsidR="00EB22DA" w:rsidRPr="002E7125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 xml:space="preserve"> </w:t>
      </w:r>
      <w:r w:rsidR="00EB22DA"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MPR, AMPR, carrier leakage, and in-band emission</w:t>
      </w:r>
      <w:r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for IAB node</w:t>
      </w:r>
    </w:p>
    <w:p w:rsidR="00EB22DA" w:rsidRPr="002E7125" w:rsidRDefault="002E7125" w:rsidP="00EB22DA">
      <w:pPr>
        <w:pStyle w:val="ListParagraph"/>
        <w:numPr>
          <w:ilvl w:val="0"/>
          <w:numId w:val="24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FFS on necessity of</w:t>
      </w:r>
      <w:r w:rsidR="00EB22DA"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UE-like requirement such as, </w:t>
      </w:r>
      <w:proofErr w:type="spellStart"/>
      <w:r w:rsidR="00EB22DA"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Pcmax</w:t>
      </w:r>
      <w:proofErr w:type="spellEnd"/>
      <w:r w:rsidR="00EB22DA"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, power control, beam </w:t>
      </w:r>
      <w:r w:rsidR="00EB22DA" w:rsidRPr="002E7125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correspondence</w:t>
      </w:r>
      <w:r w:rsidR="00EB22DA"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, </w:t>
      </w:r>
      <w:r w:rsidR="00EB22DA" w:rsidRPr="002E7125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spherical</w:t>
      </w:r>
      <w:r w:rsidR="00EB22DA"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coverage </w:t>
      </w:r>
      <w:r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for</w:t>
      </w:r>
      <w:r w:rsidR="00EB22DA"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IAB</w:t>
      </w:r>
      <w:r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-MT</w:t>
      </w:r>
    </w:p>
    <w:p w:rsidR="00EB22DA" w:rsidRDefault="002E7125" w:rsidP="00EB22DA">
      <w:pPr>
        <w:pStyle w:val="ListParagraph"/>
        <w:numPr>
          <w:ilvl w:val="0"/>
          <w:numId w:val="24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2E7125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FFS on necessity of out-of-band blockin</w:t>
      </w:r>
      <w:r w:rsidR="006F1F8D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g and RX IM for IAB-MT</w:t>
      </w:r>
    </w:p>
    <w:p w:rsidR="002E7125" w:rsidRPr="002E7125" w:rsidRDefault="002E7125" w:rsidP="00EB22DA">
      <w:pPr>
        <w:pStyle w:val="ListParagraph"/>
        <w:numPr>
          <w:ilvl w:val="0"/>
          <w:numId w:val="24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FFS on necessity of additional requirements for IAB case</w:t>
      </w:r>
    </w:p>
    <w:p w:rsidR="0091277D" w:rsidRPr="0091277D" w:rsidRDefault="0091277D" w:rsidP="0091277D">
      <w:pPr>
        <w:pStyle w:val="TH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 w:rsidRPr="0091277D">
        <w:rPr>
          <w:rFonts w:eastAsiaTheme="minorEastAsia" w:hint="eastAsia"/>
          <w:lang w:eastAsia="en-US"/>
        </w:rPr>
        <w:lastRenderedPageBreak/>
        <w:t xml:space="preserve">Table 1: comparison of FR2 UE and </w:t>
      </w:r>
      <w:proofErr w:type="spellStart"/>
      <w:r w:rsidRPr="0091277D">
        <w:rPr>
          <w:rFonts w:eastAsiaTheme="minorEastAsia" w:hint="eastAsia"/>
          <w:lang w:eastAsia="en-US"/>
        </w:rPr>
        <w:t>gNB</w:t>
      </w:r>
      <w:proofErr w:type="spellEnd"/>
      <w:r w:rsidRPr="0091277D">
        <w:rPr>
          <w:rFonts w:eastAsiaTheme="minorEastAsia" w:hint="eastAsia"/>
          <w:lang w:eastAsia="en-US"/>
        </w:rPr>
        <w:t xml:space="preserve"> RF requirement</w:t>
      </w:r>
    </w:p>
    <w:tbl>
      <w:tblPr>
        <w:tblW w:w="6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1533"/>
        <w:gridCol w:w="1533"/>
      </w:tblGrid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Requirement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UE in TS38.101-2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BS type 2-0 in TS38.104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vMerge w:val="restart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</w:rPr>
              <w:t>maximum output power</w:t>
            </w:r>
          </w:p>
        </w:tc>
        <w:tc>
          <w:tcPr>
            <w:tcW w:w="1533" w:type="dxa"/>
            <w:vMerge w:val="restart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 xml:space="preserve">6.2.1 including min peak EIRP, max EIRP, max TRP and spherical coverage 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9.2 Radiated transmit power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vMerge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</w:p>
        </w:tc>
        <w:tc>
          <w:tcPr>
            <w:tcW w:w="1533" w:type="dxa"/>
            <w:vMerge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 xml:space="preserve">9.3 </w:t>
            </w:r>
            <w:r w:rsidRPr="0091277D">
              <w:rPr>
                <w:rFonts w:cs="Arial"/>
                <w:lang w:eastAsia="ja-JP"/>
              </w:rPr>
              <w:t>OTA base station output power</w:t>
            </w:r>
          </w:p>
        </w:tc>
      </w:tr>
      <w:tr w:rsidR="00D126B4" w:rsidRPr="00E52FCC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MPR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6.2.2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NA</w:t>
            </w:r>
          </w:p>
        </w:tc>
      </w:tr>
      <w:tr w:rsidR="00D126B4" w:rsidRPr="00E52FCC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A-MPR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6.2.3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NA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6F1F8D" w:rsidRDefault="00D126B4" w:rsidP="004F53A3">
            <w:pPr>
              <w:pStyle w:val="TAC"/>
              <w:rPr>
                <w:rFonts w:cs="Arial"/>
                <w:highlight w:val="green"/>
              </w:rPr>
            </w:pPr>
            <w:r w:rsidRPr="006F1F8D">
              <w:rPr>
                <w:rFonts w:cs="Arial"/>
                <w:highlight w:val="green"/>
              </w:rPr>
              <w:t xml:space="preserve">Configured transmitter power 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6.2.4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NA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vMerge w:val="restart"/>
            <w:shd w:val="clear" w:color="auto" w:fill="auto"/>
          </w:tcPr>
          <w:p w:rsidR="00D126B4" w:rsidRPr="006F1F8D" w:rsidRDefault="00D126B4" w:rsidP="004F53A3">
            <w:pPr>
              <w:pStyle w:val="TAC"/>
              <w:rPr>
                <w:rFonts w:cs="Arial"/>
                <w:highlight w:val="green"/>
              </w:rPr>
            </w:pPr>
            <w:r w:rsidRPr="006F1F8D">
              <w:rPr>
                <w:rFonts w:cs="Arial"/>
                <w:highlight w:val="green"/>
                <w:lang w:eastAsia="ja-JP"/>
              </w:rPr>
              <w:t>OTA output power dynamics</w:t>
            </w:r>
          </w:p>
        </w:tc>
        <w:tc>
          <w:tcPr>
            <w:tcW w:w="1533" w:type="dxa"/>
            <w:vMerge w:val="restart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 xml:space="preserve">6.3 including minimum output power, Transmit off power, on/off time mask, power control 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9.4</w:t>
            </w:r>
            <w:r w:rsidRPr="0091277D">
              <w:rPr>
                <w:rFonts w:cs="Arial"/>
                <w:lang w:eastAsia="ja-JP"/>
              </w:rPr>
              <w:t xml:space="preserve"> OTA output power dynamics</w:t>
            </w:r>
          </w:p>
        </w:tc>
      </w:tr>
      <w:tr w:rsidR="00D126B4" w:rsidTr="004F53A3">
        <w:trPr>
          <w:jc w:val="center"/>
        </w:trPr>
        <w:tc>
          <w:tcPr>
            <w:tcW w:w="2972" w:type="dxa"/>
            <w:vMerge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33" w:type="dxa"/>
            <w:vMerge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 xml:space="preserve">9.5 </w:t>
            </w:r>
            <w:r w:rsidRPr="0091277D">
              <w:rPr>
                <w:rFonts w:cs="Arial"/>
                <w:lang w:eastAsia="ja-JP"/>
              </w:rPr>
              <w:t>OTA transmit ON/OFF power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  <w:lang w:eastAsia="ja-JP"/>
              </w:rPr>
              <w:t>OTA transmitted signal quality</w:t>
            </w:r>
          </w:p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-Frequency error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6.4.1</w:t>
            </w:r>
          </w:p>
        </w:tc>
        <w:tc>
          <w:tcPr>
            <w:tcW w:w="1533" w:type="dxa"/>
            <w:vMerge w:val="restart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9.6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  <w:lang w:eastAsia="ja-JP"/>
              </w:rPr>
              <w:t>OTA transmitted signal quality</w:t>
            </w:r>
          </w:p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-EVM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6.4.2</w:t>
            </w:r>
          </w:p>
        </w:tc>
        <w:tc>
          <w:tcPr>
            <w:tcW w:w="1533" w:type="dxa"/>
            <w:vMerge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126B4" w:rsidRPr="00E52FCC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  <w:lang w:eastAsia="ja-JP"/>
              </w:rPr>
              <w:t>OTA transmitted signal quality</w:t>
            </w:r>
          </w:p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-Carrier leakage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6.4.3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NA</w:t>
            </w:r>
          </w:p>
        </w:tc>
      </w:tr>
      <w:tr w:rsidR="00D126B4" w:rsidRPr="00E52FCC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  <w:lang w:eastAsia="ja-JP"/>
              </w:rPr>
              <w:t>OTA transmitted signal quality</w:t>
            </w:r>
          </w:p>
          <w:p w:rsidR="00D126B4" w:rsidRPr="0091277D" w:rsidRDefault="00D126B4" w:rsidP="004F53A3">
            <w:pPr>
              <w:pStyle w:val="TAC"/>
              <w:rPr>
                <w:rFonts w:cs="Arial"/>
                <w:strike/>
                <w:lang w:val="en-US"/>
              </w:rPr>
            </w:pPr>
            <w:r w:rsidRPr="0091277D">
              <w:rPr>
                <w:rFonts w:cs="Arial"/>
                <w:strike/>
                <w:lang w:val="en-US"/>
              </w:rPr>
              <w:t>-In band emission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6.4.4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strike/>
              </w:rPr>
            </w:pPr>
            <w:r w:rsidRPr="0091277D">
              <w:rPr>
                <w:rFonts w:cs="Arial"/>
                <w:strike/>
              </w:rPr>
              <w:t>NA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OTA occupied bandwidth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6.5.1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9.7.2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OTA ACLR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6.5.2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9.7.3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OTA out-of-band emission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6.5.2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9.7.4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 xml:space="preserve">OTA transmitter spurious emission 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6.5.3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9.7.5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832303" w:rsidRDefault="00D126B4" w:rsidP="004F53A3">
            <w:pPr>
              <w:pStyle w:val="TAC"/>
              <w:rPr>
                <w:rFonts w:cs="Arial"/>
                <w:highlight w:val="green"/>
              </w:rPr>
            </w:pPr>
            <w:r w:rsidRPr="00832303">
              <w:rPr>
                <w:rFonts w:cs="Arial"/>
                <w:highlight w:val="green"/>
              </w:rPr>
              <w:t xml:space="preserve">Beam correspondence 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6.6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NA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OTA reference sensitivity level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7.3.2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10.3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832303" w:rsidRDefault="00D126B4" w:rsidP="004F53A3">
            <w:pPr>
              <w:pStyle w:val="TAC"/>
              <w:rPr>
                <w:rFonts w:cs="Arial"/>
                <w:highlight w:val="green"/>
              </w:rPr>
            </w:pPr>
            <w:r w:rsidRPr="00832303">
              <w:rPr>
                <w:rFonts w:cs="Arial"/>
                <w:highlight w:val="green"/>
              </w:rPr>
              <w:t xml:space="preserve">Spherical coverage 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7.3.4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NA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2E7125">
              <w:rPr>
                <w:rFonts w:cs="Arial"/>
                <w:color w:val="000000" w:themeColor="text1"/>
                <w:lang w:eastAsia="ja-JP"/>
              </w:rPr>
              <w:t>OTA dynamic range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7.4</w:t>
            </w:r>
          </w:p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Maximum input level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NA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OTA in-band selectivity and blocking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7.5 ACS</w:t>
            </w:r>
          </w:p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7.6 in band blocking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10.5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color w:val="00B050"/>
                <w:lang w:eastAsia="ja-JP"/>
              </w:rPr>
              <w:t>OTA out-of-band blocking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jc w:val="both"/>
              <w:rPr>
                <w:rFonts w:cs="Arial"/>
              </w:rPr>
            </w:pPr>
            <w:r w:rsidRPr="0091277D">
              <w:rPr>
                <w:rFonts w:cs="Arial"/>
              </w:rPr>
              <w:t xml:space="preserve">      NA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10.6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 xml:space="preserve">OTA receiver spurious emission 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7.9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10.7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91277D">
              <w:rPr>
                <w:rFonts w:cs="Arial"/>
                <w:color w:val="00B050"/>
                <w:lang w:eastAsia="ja-JP"/>
              </w:rPr>
              <w:t>OTA receiver intermodulation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NA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10.8</w:t>
            </w:r>
          </w:p>
        </w:tc>
      </w:tr>
      <w:tr w:rsidR="00D126B4" w:rsidRPr="005A07C7" w:rsidTr="004F53A3">
        <w:trPr>
          <w:jc w:val="center"/>
        </w:trPr>
        <w:tc>
          <w:tcPr>
            <w:tcW w:w="2972" w:type="dxa"/>
            <w:shd w:val="clear" w:color="auto" w:fill="auto"/>
          </w:tcPr>
          <w:p w:rsidR="00D126B4" w:rsidRPr="0091277D" w:rsidRDefault="00D126B4" w:rsidP="004F53A3">
            <w:pPr>
              <w:pStyle w:val="TAC"/>
              <w:rPr>
                <w:rFonts w:cs="Arial"/>
                <w:color w:val="00B050"/>
                <w:lang w:eastAsia="ja-JP"/>
              </w:rPr>
            </w:pPr>
            <w:r w:rsidRPr="0091277D">
              <w:rPr>
                <w:rFonts w:cs="Arial"/>
                <w:color w:val="000000" w:themeColor="text1"/>
                <w:lang w:eastAsia="ja-JP"/>
              </w:rPr>
              <w:t>OTA in-channel selectivity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</w:rPr>
            </w:pPr>
            <w:r w:rsidRPr="0091277D">
              <w:rPr>
                <w:rFonts w:cs="Arial"/>
              </w:rPr>
              <w:t>NA</w:t>
            </w:r>
          </w:p>
        </w:tc>
        <w:tc>
          <w:tcPr>
            <w:tcW w:w="1533" w:type="dxa"/>
          </w:tcPr>
          <w:p w:rsidR="00D126B4" w:rsidRPr="0091277D" w:rsidRDefault="00D126B4" w:rsidP="004F53A3">
            <w:pPr>
              <w:pStyle w:val="TAC"/>
              <w:rPr>
                <w:rFonts w:cs="Arial"/>
                <w:lang w:eastAsia="ja-JP"/>
              </w:rPr>
            </w:pPr>
            <w:r w:rsidRPr="0091277D">
              <w:rPr>
                <w:rFonts w:cs="Arial"/>
                <w:lang w:eastAsia="ja-JP"/>
              </w:rPr>
              <w:t>10.9</w:t>
            </w:r>
          </w:p>
        </w:tc>
      </w:tr>
    </w:tbl>
    <w:p w:rsidR="00586A50" w:rsidRPr="00586A50" w:rsidRDefault="002F1D49" w:rsidP="00BC0505">
      <w:pPr>
        <w:rPr>
          <w:lang w:val="en-GB"/>
        </w:rPr>
      </w:pPr>
      <w:r>
        <w:rPr>
          <w:rFonts w:hint="eastAsia"/>
          <w:lang w:val="en-GB"/>
        </w:rPr>
        <w:lastRenderedPageBreak/>
        <w:t xml:space="preserve"> </w:t>
      </w:r>
    </w:p>
    <w:p w:rsidR="00F02DC4" w:rsidRPr="00DF4456" w:rsidRDefault="008200CF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Summary</w:t>
      </w:r>
    </w:p>
    <w:p w:rsidR="00ED78DD" w:rsidRPr="00ED78DD" w:rsidRDefault="0009104B" w:rsidP="00ED78DD">
      <w:pPr>
        <w:spacing w:afterLines="50" w:after="156"/>
        <w:rPr>
          <w:rFonts w:cstheme="minorHAnsi"/>
          <w:szCs w:val="21"/>
        </w:rPr>
      </w:pPr>
      <w:r>
        <w:rPr>
          <w:rFonts w:cstheme="minorHAnsi" w:hint="eastAsia"/>
          <w:szCs w:val="21"/>
        </w:rPr>
        <w:t xml:space="preserve">In this contribution </w:t>
      </w:r>
      <w:r w:rsidR="00536D9A">
        <w:rPr>
          <w:rFonts w:cstheme="minorHAnsi" w:hint="eastAsia"/>
          <w:szCs w:val="21"/>
        </w:rPr>
        <w:t>we have below proposals</w:t>
      </w:r>
      <w:r w:rsidR="00ED78DD">
        <w:rPr>
          <w:rFonts w:cstheme="minorHAnsi" w:hint="eastAsia"/>
          <w:szCs w:val="21"/>
        </w:rPr>
        <w:t xml:space="preserve"> regarding IAB RF </w:t>
      </w:r>
      <w:r w:rsidR="00ED78DD">
        <w:rPr>
          <w:rFonts w:cstheme="minorHAnsi"/>
          <w:szCs w:val="21"/>
        </w:rPr>
        <w:t>requirement</w:t>
      </w:r>
      <w:r w:rsidR="00ED78DD">
        <w:rPr>
          <w:rFonts w:cstheme="minorHAnsi" w:hint="eastAsia"/>
          <w:szCs w:val="21"/>
        </w:rPr>
        <w:t>s</w:t>
      </w:r>
      <w:r w:rsidR="00ED78DD">
        <w:rPr>
          <w:rFonts w:cstheme="minorHAnsi"/>
          <w:szCs w:val="21"/>
        </w:rPr>
        <w:br/>
      </w:r>
      <w:r w:rsidR="00ED78DD" w:rsidRPr="00ED78DD">
        <w:rPr>
          <w:rFonts w:hint="eastAsia"/>
          <w:b/>
          <w:lang w:val="en-GB"/>
        </w:rPr>
        <w:t>Proposal 1</w:t>
      </w:r>
      <w:r w:rsidR="00ED78DD">
        <w:rPr>
          <w:rFonts w:hint="eastAsia"/>
          <w:lang w:val="en-GB"/>
        </w:rPr>
        <w:t xml:space="preserve">: keep open to all NR operating band requests based on existing Rel-15 from operator and follow the similar handling procedure of Rel-15 NR WI regarding operating band. </w:t>
      </w:r>
    </w:p>
    <w:p w:rsidR="003E7A78" w:rsidRDefault="003E7A78" w:rsidP="003E7A78">
      <w:pPr>
        <w:rPr>
          <w:lang w:val="en-GB"/>
        </w:rPr>
      </w:pPr>
      <w:r w:rsidRPr="00ED78DD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2</w:t>
      </w:r>
      <w:r>
        <w:rPr>
          <w:rFonts w:hint="eastAsia"/>
          <w:lang w:val="en-GB"/>
        </w:rPr>
        <w:t xml:space="preserve">: It is proposed to develop RF </w:t>
      </w:r>
      <w:r>
        <w:rPr>
          <w:lang w:val="en-GB"/>
        </w:rPr>
        <w:t>requirement</w:t>
      </w:r>
      <w:r>
        <w:rPr>
          <w:rFonts w:hint="eastAsia"/>
          <w:lang w:val="en-GB"/>
        </w:rPr>
        <w:t xml:space="preserve"> with the target to accommodate with all possible implementation solutions which can ensure the co-existence and performance. </w:t>
      </w:r>
    </w:p>
    <w:p w:rsidR="0044129E" w:rsidRPr="003E7A78" w:rsidRDefault="0044129E" w:rsidP="0071351D">
      <w:pPr>
        <w:spacing w:afterLines="50" w:after="156"/>
        <w:rPr>
          <w:rFonts w:cstheme="minorHAnsi"/>
          <w:szCs w:val="21"/>
          <w:lang w:val="en-GB"/>
        </w:rPr>
      </w:pPr>
    </w:p>
    <w:p w:rsidR="004914E1" w:rsidRPr="00E63F56" w:rsidRDefault="000316D6" w:rsidP="00E63F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E63F56" w:rsidRDefault="00E63F56" w:rsidP="00E63F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3D3E5E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] RP-190</w:t>
      </w:r>
      <w:r w:rsidR="00AB6235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71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2, </w:t>
      </w:r>
      <w:r w:rsidRPr="00B933A8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Integrated Access and Backhaul for NR</w:t>
      </w:r>
    </w:p>
    <w:p w:rsidR="00A544BA" w:rsidRDefault="00F16EF8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[2</w:t>
      </w:r>
      <w:r w:rsidR="00A544BA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] R4-190</w:t>
      </w:r>
      <w:r w:rsidR="00006E3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5451</w:t>
      </w:r>
      <w:r w:rsidR="00A544BA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Discussion on TS skeleton and terminology</w:t>
      </w:r>
    </w:p>
    <w:p w:rsidR="00EF348B" w:rsidRDefault="00EF348B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[3] R4-190</w:t>
      </w:r>
      <w:r w:rsidR="00006E3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5452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Discussion on Rel-16 IAB scope </w:t>
      </w:r>
    </w:p>
    <w:p w:rsidR="00006E37" w:rsidRDefault="00006E37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[4] R4-1905453, Discussion on IAB co-existe</w:t>
      </w:r>
      <w:bookmarkStart w:id="0" w:name="_GoBack"/>
      <w:bookmarkEnd w:id="0"/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nce study</w:t>
      </w:r>
    </w:p>
    <w:p w:rsidR="00A544BA" w:rsidRDefault="00A544B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p w:rsidR="00FB1B36" w:rsidRDefault="00FB1B36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p w:rsidR="00FB1B36" w:rsidRPr="00006E37" w:rsidRDefault="00FB1B36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p w:rsidR="00CB65EA" w:rsidRPr="00E63F56" w:rsidRDefault="00CB65E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CB65EA" w:rsidRPr="00E63F5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E6B" w:rsidRDefault="006F6E6B" w:rsidP="00FF76F4">
      <w:r>
        <w:separator/>
      </w:r>
    </w:p>
  </w:endnote>
  <w:endnote w:type="continuationSeparator" w:id="0">
    <w:p w:rsidR="006F6E6B" w:rsidRDefault="006F6E6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E6B" w:rsidRDefault="006F6E6B" w:rsidP="00FF76F4">
      <w:r>
        <w:separator/>
      </w:r>
    </w:p>
  </w:footnote>
  <w:footnote w:type="continuationSeparator" w:id="0">
    <w:p w:rsidR="006F6E6B" w:rsidRDefault="006F6E6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>
    <w:nsid w:val="08182B90"/>
    <w:multiLevelType w:val="hybridMultilevel"/>
    <w:tmpl w:val="6DAE2376"/>
    <w:lvl w:ilvl="0" w:tplc="D3643C7A">
      <w:start w:val="8"/>
      <w:numFmt w:val="bullet"/>
      <w:pStyle w:val="Bullet-1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4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1354AD"/>
    <w:multiLevelType w:val="hybridMultilevel"/>
    <w:tmpl w:val="40E85894"/>
    <w:lvl w:ilvl="0" w:tplc="D4CC345E">
      <w:start w:val="10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19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7"/>
  </w:num>
  <w:num w:numId="4">
    <w:abstractNumId w:val="11"/>
  </w:num>
  <w:num w:numId="5">
    <w:abstractNumId w:val="19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1"/>
  </w:num>
  <w:num w:numId="9">
    <w:abstractNumId w:val="3"/>
  </w:num>
  <w:num w:numId="10">
    <w:abstractNumId w:val="23"/>
  </w:num>
  <w:num w:numId="11">
    <w:abstractNumId w:val="12"/>
  </w:num>
  <w:num w:numId="12">
    <w:abstractNumId w:val="13"/>
  </w:num>
  <w:num w:numId="13">
    <w:abstractNumId w:val="6"/>
  </w:num>
  <w:num w:numId="14">
    <w:abstractNumId w:val="8"/>
  </w:num>
  <w:num w:numId="15">
    <w:abstractNumId w:val="4"/>
  </w:num>
  <w:num w:numId="16">
    <w:abstractNumId w:val="17"/>
  </w:num>
  <w:num w:numId="17">
    <w:abstractNumId w:val="20"/>
  </w:num>
  <w:num w:numId="18">
    <w:abstractNumId w:val="16"/>
  </w:num>
  <w:num w:numId="19">
    <w:abstractNumId w:val="10"/>
  </w:num>
  <w:num w:numId="20">
    <w:abstractNumId w:val="14"/>
  </w:num>
  <w:num w:numId="21">
    <w:abstractNumId w:val="2"/>
  </w:num>
  <w:num w:numId="22">
    <w:abstractNumId w:val="1"/>
  </w:num>
  <w:num w:numId="23">
    <w:abstractNumId w:val="18"/>
  </w:num>
  <w:num w:numId="2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36A2"/>
    <w:rsid w:val="0000478F"/>
    <w:rsid w:val="00005F97"/>
    <w:rsid w:val="00006E37"/>
    <w:rsid w:val="00014035"/>
    <w:rsid w:val="00015077"/>
    <w:rsid w:val="00017DE0"/>
    <w:rsid w:val="000213A5"/>
    <w:rsid w:val="000224CD"/>
    <w:rsid w:val="0002288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1FA8"/>
    <w:rsid w:val="000542D7"/>
    <w:rsid w:val="0005584F"/>
    <w:rsid w:val="0005598F"/>
    <w:rsid w:val="000608D0"/>
    <w:rsid w:val="000637ED"/>
    <w:rsid w:val="0006396D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A13E0"/>
    <w:rsid w:val="000A6D1A"/>
    <w:rsid w:val="000B2BC0"/>
    <w:rsid w:val="000C243C"/>
    <w:rsid w:val="000C5302"/>
    <w:rsid w:val="000C54C6"/>
    <w:rsid w:val="000D3C64"/>
    <w:rsid w:val="000E0F21"/>
    <w:rsid w:val="000E254F"/>
    <w:rsid w:val="000E269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100301"/>
    <w:rsid w:val="00102A9E"/>
    <w:rsid w:val="001074A1"/>
    <w:rsid w:val="00111284"/>
    <w:rsid w:val="001118BE"/>
    <w:rsid w:val="00115241"/>
    <w:rsid w:val="001163EB"/>
    <w:rsid w:val="00121276"/>
    <w:rsid w:val="00131637"/>
    <w:rsid w:val="0013335E"/>
    <w:rsid w:val="00135DC0"/>
    <w:rsid w:val="00135E7C"/>
    <w:rsid w:val="0013726E"/>
    <w:rsid w:val="00143D1D"/>
    <w:rsid w:val="00162691"/>
    <w:rsid w:val="0017034F"/>
    <w:rsid w:val="00170B06"/>
    <w:rsid w:val="00173E9D"/>
    <w:rsid w:val="001754C2"/>
    <w:rsid w:val="0017557C"/>
    <w:rsid w:val="00175ACA"/>
    <w:rsid w:val="00182E67"/>
    <w:rsid w:val="00184E7E"/>
    <w:rsid w:val="001871AA"/>
    <w:rsid w:val="001876C0"/>
    <w:rsid w:val="00190331"/>
    <w:rsid w:val="00197EF8"/>
    <w:rsid w:val="001A24EE"/>
    <w:rsid w:val="001A5265"/>
    <w:rsid w:val="001B3133"/>
    <w:rsid w:val="001B55E0"/>
    <w:rsid w:val="001B6ED9"/>
    <w:rsid w:val="001C66F3"/>
    <w:rsid w:val="001D02BC"/>
    <w:rsid w:val="001D0887"/>
    <w:rsid w:val="001D5002"/>
    <w:rsid w:val="001D5E02"/>
    <w:rsid w:val="001D7324"/>
    <w:rsid w:val="001E749D"/>
    <w:rsid w:val="001F192F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7675"/>
    <w:rsid w:val="00252606"/>
    <w:rsid w:val="00257B53"/>
    <w:rsid w:val="00260E9E"/>
    <w:rsid w:val="002611BB"/>
    <w:rsid w:val="00261C0C"/>
    <w:rsid w:val="00262C6C"/>
    <w:rsid w:val="00264CF1"/>
    <w:rsid w:val="0026676E"/>
    <w:rsid w:val="00267AAF"/>
    <w:rsid w:val="00271B14"/>
    <w:rsid w:val="0027316B"/>
    <w:rsid w:val="002741FD"/>
    <w:rsid w:val="00281E20"/>
    <w:rsid w:val="00286C6A"/>
    <w:rsid w:val="00294C44"/>
    <w:rsid w:val="00295175"/>
    <w:rsid w:val="002969D4"/>
    <w:rsid w:val="00297965"/>
    <w:rsid w:val="002A5A60"/>
    <w:rsid w:val="002A727E"/>
    <w:rsid w:val="002B0953"/>
    <w:rsid w:val="002B1265"/>
    <w:rsid w:val="002B4C48"/>
    <w:rsid w:val="002C2435"/>
    <w:rsid w:val="002D33BF"/>
    <w:rsid w:val="002D6806"/>
    <w:rsid w:val="002E0E33"/>
    <w:rsid w:val="002E4E27"/>
    <w:rsid w:val="002E7125"/>
    <w:rsid w:val="002F0731"/>
    <w:rsid w:val="002F1435"/>
    <w:rsid w:val="002F1D49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30269"/>
    <w:rsid w:val="00330D88"/>
    <w:rsid w:val="00330F3A"/>
    <w:rsid w:val="00333E6B"/>
    <w:rsid w:val="00334231"/>
    <w:rsid w:val="00336F41"/>
    <w:rsid w:val="00341535"/>
    <w:rsid w:val="003471B3"/>
    <w:rsid w:val="00347990"/>
    <w:rsid w:val="00352B38"/>
    <w:rsid w:val="003603A3"/>
    <w:rsid w:val="00360C89"/>
    <w:rsid w:val="0036113D"/>
    <w:rsid w:val="00362264"/>
    <w:rsid w:val="003623DE"/>
    <w:rsid w:val="00362F87"/>
    <w:rsid w:val="00365680"/>
    <w:rsid w:val="00370AEB"/>
    <w:rsid w:val="0037169F"/>
    <w:rsid w:val="00373C16"/>
    <w:rsid w:val="00385DBA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5CA7"/>
    <w:rsid w:val="003E1BCB"/>
    <w:rsid w:val="003E53C0"/>
    <w:rsid w:val="003E7A78"/>
    <w:rsid w:val="003F2522"/>
    <w:rsid w:val="003F3D0A"/>
    <w:rsid w:val="003F6833"/>
    <w:rsid w:val="00402FB6"/>
    <w:rsid w:val="004047E2"/>
    <w:rsid w:val="004049D7"/>
    <w:rsid w:val="004154B5"/>
    <w:rsid w:val="00417F58"/>
    <w:rsid w:val="0042000F"/>
    <w:rsid w:val="00420BBA"/>
    <w:rsid w:val="0042257B"/>
    <w:rsid w:val="004262D6"/>
    <w:rsid w:val="00426B25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1C52"/>
    <w:rsid w:val="00463740"/>
    <w:rsid w:val="00464581"/>
    <w:rsid w:val="00471EE8"/>
    <w:rsid w:val="00475927"/>
    <w:rsid w:val="00486410"/>
    <w:rsid w:val="004870CC"/>
    <w:rsid w:val="00490806"/>
    <w:rsid w:val="004914E1"/>
    <w:rsid w:val="00495BB4"/>
    <w:rsid w:val="00497B60"/>
    <w:rsid w:val="004B7958"/>
    <w:rsid w:val="004C0B85"/>
    <w:rsid w:val="004C3783"/>
    <w:rsid w:val="004C5873"/>
    <w:rsid w:val="004C64D8"/>
    <w:rsid w:val="004D08D4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213B5"/>
    <w:rsid w:val="005246CB"/>
    <w:rsid w:val="00531509"/>
    <w:rsid w:val="005359F4"/>
    <w:rsid w:val="00535B49"/>
    <w:rsid w:val="00536D9A"/>
    <w:rsid w:val="00536FFB"/>
    <w:rsid w:val="00537A2F"/>
    <w:rsid w:val="005518A8"/>
    <w:rsid w:val="00552DB0"/>
    <w:rsid w:val="005542D3"/>
    <w:rsid w:val="005722AC"/>
    <w:rsid w:val="00577E33"/>
    <w:rsid w:val="00581D9D"/>
    <w:rsid w:val="00582F35"/>
    <w:rsid w:val="00586132"/>
    <w:rsid w:val="00586A50"/>
    <w:rsid w:val="00587CC4"/>
    <w:rsid w:val="00593FEF"/>
    <w:rsid w:val="00594B4A"/>
    <w:rsid w:val="005A09F3"/>
    <w:rsid w:val="005A3410"/>
    <w:rsid w:val="005A770A"/>
    <w:rsid w:val="005B1E5F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6211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33715"/>
    <w:rsid w:val="006340A9"/>
    <w:rsid w:val="00641DC3"/>
    <w:rsid w:val="00642D16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B0B"/>
    <w:rsid w:val="00693E39"/>
    <w:rsid w:val="00694C72"/>
    <w:rsid w:val="00696AA9"/>
    <w:rsid w:val="006A1471"/>
    <w:rsid w:val="006A262E"/>
    <w:rsid w:val="006A3761"/>
    <w:rsid w:val="006A64AE"/>
    <w:rsid w:val="006B0979"/>
    <w:rsid w:val="006B1ECD"/>
    <w:rsid w:val="006B4DDE"/>
    <w:rsid w:val="006C03E8"/>
    <w:rsid w:val="006C0DD2"/>
    <w:rsid w:val="006C48FF"/>
    <w:rsid w:val="006C4F30"/>
    <w:rsid w:val="006C6724"/>
    <w:rsid w:val="006C6C7A"/>
    <w:rsid w:val="006C7868"/>
    <w:rsid w:val="006F1D96"/>
    <w:rsid w:val="006F1F8D"/>
    <w:rsid w:val="006F2A8B"/>
    <w:rsid w:val="006F6E6B"/>
    <w:rsid w:val="006F7042"/>
    <w:rsid w:val="00700908"/>
    <w:rsid w:val="00702395"/>
    <w:rsid w:val="00705546"/>
    <w:rsid w:val="007122B5"/>
    <w:rsid w:val="0071316C"/>
    <w:rsid w:val="0071351D"/>
    <w:rsid w:val="00713839"/>
    <w:rsid w:val="00715EF6"/>
    <w:rsid w:val="0072021A"/>
    <w:rsid w:val="0072746D"/>
    <w:rsid w:val="00731137"/>
    <w:rsid w:val="0073178D"/>
    <w:rsid w:val="00733B09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71236"/>
    <w:rsid w:val="007737DD"/>
    <w:rsid w:val="00776713"/>
    <w:rsid w:val="00776AF8"/>
    <w:rsid w:val="00784737"/>
    <w:rsid w:val="00787DA2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3259"/>
    <w:rsid w:val="007E3D2D"/>
    <w:rsid w:val="007E5A88"/>
    <w:rsid w:val="007E5B96"/>
    <w:rsid w:val="007F04A6"/>
    <w:rsid w:val="007F2337"/>
    <w:rsid w:val="007F313A"/>
    <w:rsid w:val="007F6627"/>
    <w:rsid w:val="00800E96"/>
    <w:rsid w:val="008018A3"/>
    <w:rsid w:val="008116DF"/>
    <w:rsid w:val="00812D10"/>
    <w:rsid w:val="008137E4"/>
    <w:rsid w:val="0081547C"/>
    <w:rsid w:val="008200CF"/>
    <w:rsid w:val="00831AB1"/>
    <w:rsid w:val="00832303"/>
    <w:rsid w:val="00834611"/>
    <w:rsid w:val="00836FD2"/>
    <w:rsid w:val="008412CA"/>
    <w:rsid w:val="00842028"/>
    <w:rsid w:val="008439C7"/>
    <w:rsid w:val="00845EDE"/>
    <w:rsid w:val="008508C0"/>
    <w:rsid w:val="00851583"/>
    <w:rsid w:val="00852054"/>
    <w:rsid w:val="00853F0A"/>
    <w:rsid w:val="00855466"/>
    <w:rsid w:val="00867017"/>
    <w:rsid w:val="00867372"/>
    <w:rsid w:val="00871F57"/>
    <w:rsid w:val="00874064"/>
    <w:rsid w:val="00875009"/>
    <w:rsid w:val="008806B5"/>
    <w:rsid w:val="00891FEB"/>
    <w:rsid w:val="008A07DB"/>
    <w:rsid w:val="008A0CD1"/>
    <w:rsid w:val="008A2078"/>
    <w:rsid w:val="008B044B"/>
    <w:rsid w:val="008B06DE"/>
    <w:rsid w:val="008B1AD2"/>
    <w:rsid w:val="008B1FEC"/>
    <w:rsid w:val="008B5678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4926"/>
    <w:rsid w:val="008F0575"/>
    <w:rsid w:val="008F2591"/>
    <w:rsid w:val="008F4B86"/>
    <w:rsid w:val="008F5965"/>
    <w:rsid w:val="008F72F8"/>
    <w:rsid w:val="008F761B"/>
    <w:rsid w:val="00904BC6"/>
    <w:rsid w:val="00907E67"/>
    <w:rsid w:val="00910877"/>
    <w:rsid w:val="0091277D"/>
    <w:rsid w:val="00912E5E"/>
    <w:rsid w:val="00921F0A"/>
    <w:rsid w:val="00922E06"/>
    <w:rsid w:val="0092585A"/>
    <w:rsid w:val="00930DD4"/>
    <w:rsid w:val="00936118"/>
    <w:rsid w:val="00936592"/>
    <w:rsid w:val="00942C77"/>
    <w:rsid w:val="00943A21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A1FEC"/>
    <w:rsid w:val="009A5C5C"/>
    <w:rsid w:val="009B343A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2968"/>
    <w:rsid w:val="009D33E9"/>
    <w:rsid w:val="009D553B"/>
    <w:rsid w:val="009E0C4D"/>
    <w:rsid w:val="009E0E6E"/>
    <w:rsid w:val="009E6443"/>
    <w:rsid w:val="009E6DDF"/>
    <w:rsid w:val="009E7C4F"/>
    <w:rsid w:val="009F00BC"/>
    <w:rsid w:val="009F1642"/>
    <w:rsid w:val="009F4BE4"/>
    <w:rsid w:val="00A03A96"/>
    <w:rsid w:val="00A058CB"/>
    <w:rsid w:val="00A075B9"/>
    <w:rsid w:val="00A11879"/>
    <w:rsid w:val="00A134B1"/>
    <w:rsid w:val="00A14EAE"/>
    <w:rsid w:val="00A15B9B"/>
    <w:rsid w:val="00A21FED"/>
    <w:rsid w:val="00A239BD"/>
    <w:rsid w:val="00A2408E"/>
    <w:rsid w:val="00A26A7B"/>
    <w:rsid w:val="00A50C05"/>
    <w:rsid w:val="00A54283"/>
    <w:rsid w:val="00A544BA"/>
    <w:rsid w:val="00A6034F"/>
    <w:rsid w:val="00A6184D"/>
    <w:rsid w:val="00A6191E"/>
    <w:rsid w:val="00A61C26"/>
    <w:rsid w:val="00A660EB"/>
    <w:rsid w:val="00A66FFF"/>
    <w:rsid w:val="00A71D64"/>
    <w:rsid w:val="00A75A40"/>
    <w:rsid w:val="00A82EDB"/>
    <w:rsid w:val="00A87E14"/>
    <w:rsid w:val="00A90B54"/>
    <w:rsid w:val="00A91F30"/>
    <w:rsid w:val="00A942F3"/>
    <w:rsid w:val="00A97A65"/>
    <w:rsid w:val="00AA3791"/>
    <w:rsid w:val="00AA4120"/>
    <w:rsid w:val="00AA61A8"/>
    <w:rsid w:val="00AB114E"/>
    <w:rsid w:val="00AB23A3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798E"/>
    <w:rsid w:val="00AE0B9A"/>
    <w:rsid w:val="00AE1158"/>
    <w:rsid w:val="00AE249C"/>
    <w:rsid w:val="00AE2762"/>
    <w:rsid w:val="00AE2E76"/>
    <w:rsid w:val="00AE4B32"/>
    <w:rsid w:val="00AE4EAD"/>
    <w:rsid w:val="00AE5DF0"/>
    <w:rsid w:val="00AE6D64"/>
    <w:rsid w:val="00AF23B3"/>
    <w:rsid w:val="00AF3FB5"/>
    <w:rsid w:val="00AF476C"/>
    <w:rsid w:val="00B07908"/>
    <w:rsid w:val="00B24791"/>
    <w:rsid w:val="00B26351"/>
    <w:rsid w:val="00B31802"/>
    <w:rsid w:val="00B3419F"/>
    <w:rsid w:val="00B34A8F"/>
    <w:rsid w:val="00B353E2"/>
    <w:rsid w:val="00B3546A"/>
    <w:rsid w:val="00B45622"/>
    <w:rsid w:val="00B527A2"/>
    <w:rsid w:val="00B64570"/>
    <w:rsid w:val="00B64E48"/>
    <w:rsid w:val="00B6611C"/>
    <w:rsid w:val="00B66E14"/>
    <w:rsid w:val="00B711CE"/>
    <w:rsid w:val="00B71BC8"/>
    <w:rsid w:val="00B73E50"/>
    <w:rsid w:val="00B748E9"/>
    <w:rsid w:val="00B7645F"/>
    <w:rsid w:val="00B768C7"/>
    <w:rsid w:val="00B7737E"/>
    <w:rsid w:val="00B82A68"/>
    <w:rsid w:val="00B85C20"/>
    <w:rsid w:val="00B905F8"/>
    <w:rsid w:val="00B91CDD"/>
    <w:rsid w:val="00B91F60"/>
    <w:rsid w:val="00B933A8"/>
    <w:rsid w:val="00B94130"/>
    <w:rsid w:val="00B95BE9"/>
    <w:rsid w:val="00BA1726"/>
    <w:rsid w:val="00BA46A7"/>
    <w:rsid w:val="00BA72C3"/>
    <w:rsid w:val="00BB325B"/>
    <w:rsid w:val="00BB7649"/>
    <w:rsid w:val="00BB7AC5"/>
    <w:rsid w:val="00BB7FBA"/>
    <w:rsid w:val="00BC0505"/>
    <w:rsid w:val="00BC248D"/>
    <w:rsid w:val="00BC3552"/>
    <w:rsid w:val="00BC6DF8"/>
    <w:rsid w:val="00BC78F2"/>
    <w:rsid w:val="00BD0106"/>
    <w:rsid w:val="00BE15F5"/>
    <w:rsid w:val="00BE2A39"/>
    <w:rsid w:val="00BE4F17"/>
    <w:rsid w:val="00BE5417"/>
    <w:rsid w:val="00C0177B"/>
    <w:rsid w:val="00C04D38"/>
    <w:rsid w:val="00C06CEE"/>
    <w:rsid w:val="00C10BEA"/>
    <w:rsid w:val="00C143D4"/>
    <w:rsid w:val="00C14E08"/>
    <w:rsid w:val="00C210DA"/>
    <w:rsid w:val="00C3115C"/>
    <w:rsid w:val="00C3161B"/>
    <w:rsid w:val="00C32386"/>
    <w:rsid w:val="00C33332"/>
    <w:rsid w:val="00C4135D"/>
    <w:rsid w:val="00C42B4F"/>
    <w:rsid w:val="00C44DA8"/>
    <w:rsid w:val="00C46C26"/>
    <w:rsid w:val="00C47ADC"/>
    <w:rsid w:val="00C51D45"/>
    <w:rsid w:val="00C524E8"/>
    <w:rsid w:val="00C56B4F"/>
    <w:rsid w:val="00C61E34"/>
    <w:rsid w:val="00C65AD4"/>
    <w:rsid w:val="00C65C49"/>
    <w:rsid w:val="00C7085D"/>
    <w:rsid w:val="00C73542"/>
    <w:rsid w:val="00C80873"/>
    <w:rsid w:val="00C82508"/>
    <w:rsid w:val="00C82F63"/>
    <w:rsid w:val="00C863E2"/>
    <w:rsid w:val="00C90159"/>
    <w:rsid w:val="00C91977"/>
    <w:rsid w:val="00CA3854"/>
    <w:rsid w:val="00CA77A1"/>
    <w:rsid w:val="00CB0BD7"/>
    <w:rsid w:val="00CB1ED4"/>
    <w:rsid w:val="00CB3908"/>
    <w:rsid w:val="00CB4C0B"/>
    <w:rsid w:val="00CB65EA"/>
    <w:rsid w:val="00CC1786"/>
    <w:rsid w:val="00CC5B2A"/>
    <w:rsid w:val="00CC6475"/>
    <w:rsid w:val="00CD06BB"/>
    <w:rsid w:val="00CD2AB3"/>
    <w:rsid w:val="00CD2D7F"/>
    <w:rsid w:val="00CD4334"/>
    <w:rsid w:val="00CD7C43"/>
    <w:rsid w:val="00CE1469"/>
    <w:rsid w:val="00CE3F48"/>
    <w:rsid w:val="00CE6FB4"/>
    <w:rsid w:val="00CF146A"/>
    <w:rsid w:val="00CF2E3D"/>
    <w:rsid w:val="00CF2EBF"/>
    <w:rsid w:val="00CF3015"/>
    <w:rsid w:val="00CF7E1F"/>
    <w:rsid w:val="00D03468"/>
    <w:rsid w:val="00D03703"/>
    <w:rsid w:val="00D04CAD"/>
    <w:rsid w:val="00D126B4"/>
    <w:rsid w:val="00D13F1B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534"/>
    <w:rsid w:val="00D5226F"/>
    <w:rsid w:val="00D5532C"/>
    <w:rsid w:val="00D56ABA"/>
    <w:rsid w:val="00D579B5"/>
    <w:rsid w:val="00D61E20"/>
    <w:rsid w:val="00D62935"/>
    <w:rsid w:val="00D71CCC"/>
    <w:rsid w:val="00D71F89"/>
    <w:rsid w:val="00D72C28"/>
    <w:rsid w:val="00D73AA3"/>
    <w:rsid w:val="00D779CB"/>
    <w:rsid w:val="00D8198F"/>
    <w:rsid w:val="00D81E3A"/>
    <w:rsid w:val="00D862CE"/>
    <w:rsid w:val="00D86726"/>
    <w:rsid w:val="00DA0177"/>
    <w:rsid w:val="00DA02C0"/>
    <w:rsid w:val="00DB0087"/>
    <w:rsid w:val="00DB0397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6567"/>
    <w:rsid w:val="00E27507"/>
    <w:rsid w:val="00E306AD"/>
    <w:rsid w:val="00E36FCE"/>
    <w:rsid w:val="00E52FCC"/>
    <w:rsid w:val="00E55E87"/>
    <w:rsid w:val="00E56320"/>
    <w:rsid w:val="00E57036"/>
    <w:rsid w:val="00E61C7C"/>
    <w:rsid w:val="00E63F56"/>
    <w:rsid w:val="00E67657"/>
    <w:rsid w:val="00E7101D"/>
    <w:rsid w:val="00E71E6F"/>
    <w:rsid w:val="00E75A88"/>
    <w:rsid w:val="00E805E8"/>
    <w:rsid w:val="00E80666"/>
    <w:rsid w:val="00E8159E"/>
    <w:rsid w:val="00E91344"/>
    <w:rsid w:val="00E9380E"/>
    <w:rsid w:val="00EA34E5"/>
    <w:rsid w:val="00EA5770"/>
    <w:rsid w:val="00EA6377"/>
    <w:rsid w:val="00EA7EC7"/>
    <w:rsid w:val="00EB195F"/>
    <w:rsid w:val="00EB22DA"/>
    <w:rsid w:val="00EB2368"/>
    <w:rsid w:val="00EB542F"/>
    <w:rsid w:val="00EC0AA6"/>
    <w:rsid w:val="00EC122F"/>
    <w:rsid w:val="00EC24AE"/>
    <w:rsid w:val="00ED0977"/>
    <w:rsid w:val="00ED16C6"/>
    <w:rsid w:val="00ED4907"/>
    <w:rsid w:val="00ED78DD"/>
    <w:rsid w:val="00EE03AE"/>
    <w:rsid w:val="00EE06EC"/>
    <w:rsid w:val="00EE3D1A"/>
    <w:rsid w:val="00EF1343"/>
    <w:rsid w:val="00EF348B"/>
    <w:rsid w:val="00EF4439"/>
    <w:rsid w:val="00EF7F93"/>
    <w:rsid w:val="00F008EF"/>
    <w:rsid w:val="00F02DC4"/>
    <w:rsid w:val="00F048FF"/>
    <w:rsid w:val="00F05705"/>
    <w:rsid w:val="00F14735"/>
    <w:rsid w:val="00F15731"/>
    <w:rsid w:val="00F16EF8"/>
    <w:rsid w:val="00F20091"/>
    <w:rsid w:val="00F261B1"/>
    <w:rsid w:val="00F26C2D"/>
    <w:rsid w:val="00F27A1F"/>
    <w:rsid w:val="00F311CC"/>
    <w:rsid w:val="00F32055"/>
    <w:rsid w:val="00F33EAC"/>
    <w:rsid w:val="00F374FD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4756"/>
    <w:rsid w:val="00F7485F"/>
    <w:rsid w:val="00F761D2"/>
    <w:rsid w:val="00F7681A"/>
    <w:rsid w:val="00F8624F"/>
    <w:rsid w:val="00F94980"/>
    <w:rsid w:val="00F953F2"/>
    <w:rsid w:val="00F969A3"/>
    <w:rsid w:val="00F97CAD"/>
    <w:rsid w:val="00F97D27"/>
    <w:rsid w:val="00FA098F"/>
    <w:rsid w:val="00FA2623"/>
    <w:rsid w:val="00FA320A"/>
    <w:rsid w:val="00FA6681"/>
    <w:rsid w:val="00FA790B"/>
    <w:rsid w:val="00FB05F7"/>
    <w:rsid w:val="00FB06CE"/>
    <w:rsid w:val="00FB1755"/>
    <w:rsid w:val="00FB1B36"/>
    <w:rsid w:val="00FB1F84"/>
    <w:rsid w:val="00FB2B6A"/>
    <w:rsid w:val="00FB2E42"/>
    <w:rsid w:val="00FB306B"/>
    <w:rsid w:val="00FB3651"/>
    <w:rsid w:val="00FB3C20"/>
    <w:rsid w:val="00FC5C68"/>
    <w:rsid w:val="00FC7C34"/>
    <w:rsid w:val="00FD0D77"/>
    <w:rsid w:val="00FD172C"/>
    <w:rsid w:val="00FD3A8E"/>
    <w:rsid w:val="00FD5645"/>
    <w:rsid w:val="00FD5F57"/>
    <w:rsid w:val="00FE2BD0"/>
    <w:rsid w:val="00FE5344"/>
    <w:rsid w:val="00FF10E5"/>
    <w:rsid w:val="00FF12BE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Bullet-1">
    <w:name w:val="Bullet-1"/>
    <w:basedOn w:val="Normal"/>
    <w:qFormat/>
    <w:rsid w:val="00EA7EC7"/>
    <w:pPr>
      <w:widowControl/>
      <w:numPr>
        <w:numId w:val="21"/>
      </w:numPr>
    </w:pPr>
    <w:rPr>
      <w:rFonts w:ascii="Book Antiqua" w:eastAsia="Malgun Gothic" w:hAnsi="Book Antiqua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Bullet-1">
    <w:name w:val="Bullet-1"/>
    <w:basedOn w:val="Normal"/>
    <w:qFormat/>
    <w:rsid w:val="00EA7EC7"/>
    <w:pPr>
      <w:widowControl/>
      <w:numPr>
        <w:numId w:val="21"/>
      </w:numPr>
    </w:pPr>
    <w:rPr>
      <w:rFonts w:ascii="Book Antiqua" w:eastAsia="Malgun Gothic" w:hAnsi="Book Antiqua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9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DC444-2291-4EC3-972B-0D90C877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samsung-RAN4#91</cp:lastModifiedBy>
  <cp:revision>26</cp:revision>
  <cp:lastPrinted>2019-03-25T03:05:00Z</cp:lastPrinted>
  <dcterms:created xsi:type="dcterms:W3CDTF">2019-05-02T05:56:00Z</dcterms:created>
  <dcterms:modified xsi:type="dcterms:W3CDTF">2019-05-02T12:21:00Z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