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D172C">
        <w:rPr>
          <w:rFonts w:eastAsia="宋体" w:hint="eastAsia"/>
          <w:lang w:eastAsia="zh-CN"/>
        </w:rPr>
        <w:t>1</w:t>
      </w:r>
      <w:r>
        <w:rPr>
          <w:rFonts w:eastAsia="宋体" w:hint="eastAsia"/>
          <w:lang w:eastAsia="zh-CN"/>
        </w:rPr>
        <w:t xml:space="preserve">                                         </w:t>
      </w:r>
      <w:r>
        <w:t>R4-1</w:t>
      </w:r>
      <w:r w:rsidR="00297965">
        <w:rPr>
          <w:rFonts w:eastAsia="宋体" w:hint="eastAsia"/>
          <w:lang w:eastAsia="zh-CN"/>
        </w:rPr>
        <w:t>9</w:t>
      </w:r>
      <w:r w:rsidR="00713839">
        <w:rPr>
          <w:rFonts w:eastAsia="宋体" w:hint="eastAsia"/>
          <w:lang w:eastAsia="zh-CN"/>
        </w:rPr>
        <w:t>0</w:t>
      </w:r>
      <w:r w:rsidR="00B72FFF">
        <w:rPr>
          <w:rFonts w:eastAsia="宋体" w:hint="eastAsia"/>
          <w:lang w:eastAsia="zh-CN"/>
        </w:rPr>
        <w:t>5452</w:t>
      </w:r>
    </w:p>
    <w:p w:rsidR="003F6833" w:rsidRPr="00B743BF" w:rsidRDefault="00FD172C" w:rsidP="003F6833">
      <w:pPr>
        <w:tabs>
          <w:tab w:val="left" w:pos="1985"/>
        </w:tabs>
        <w:spacing w:after="100" w:afterAutospacing="1"/>
        <w:rPr>
          <w:rFonts w:eastAsia="宋体"/>
          <w:noProof/>
          <w:sz w:val="24"/>
        </w:rPr>
      </w:pPr>
      <w:r>
        <w:rPr>
          <w:rFonts w:hint="eastAsia"/>
          <w:b/>
          <w:noProof/>
          <w:sz w:val="24"/>
        </w:rPr>
        <w:t>Reno,US</w:t>
      </w:r>
      <w:r w:rsidR="00C82F63">
        <w:rPr>
          <w:b/>
          <w:noProof/>
          <w:sz w:val="24"/>
        </w:rPr>
        <w:t xml:space="preserve">, </w:t>
      </w:r>
      <w:r>
        <w:rPr>
          <w:rFonts w:hint="eastAsia"/>
          <w:b/>
          <w:noProof/>
          <w:sz w:val="24"/>
        </w:rPr>
        <w:t>13</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17</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E75A88">
        <w:rPr>
          <w:rFonts w:ascii="Arial" w:eastAsia="宋体" w:hAnsi="Arial" w:cs="Arial" w:hint="eastAsia"/>
          <w:b/>
          <w:noProof/>
          <w:kern w:val="0"/>
          <w:sz w:val="22"/>
          <w:szCs w:val="22"/>
          <w:lang w:val="en-GB"/>
        </w:rPr>
        <w:t>8.5.1</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FD172C">
        <w:rPr>
          <w:rFonts w:ascii="Arial" w:eastAsia="宋体" w:hAnsi="Arial" w:cs="Arial" w:hint="eastAsia"/>
          <w:b/>
          <w:noProof/>
          <w:kern w:val="0"/>
          <w:sz w:val="22"/>
          <w:lang w:val="en-GB"/>
        </w:rPr>
        <w:t xml:space="preserve">Discussion </w:t>
      </w:r>
      <w:r w:rsidR="009E6DDF">
        <w:rPr>
          <w:rFonts w:ascii="Arial" w:eastAsia="宋体" w:hAnsi="Arial" w:cs="Arial" w:hint="eastAsia"/>
          <w:b/>
          <w:noProof/>
          <w:kern w:val="0"/>
          <w:sz w:val="22"/>
          <w:lang w:val="en-GB"/>
        </w:rPr>
        <w:t>Rel-16 IAB scope</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914E1" w:rsidRPr="004914E1" w:rsidRDefault="00FD172C" w:rsidP="00537A2F">
      <w:pPr>
        <w:spacing w:afterLines="50" w:after="156"/>
        <w:rPr>
          <w:szCs w:val="21"/>
        </w:rPr>
      </w:pPr>
      <w:r>
        <w:rPr>
          <w:rFonts w:hint="eastAsia"/>
          <w:szCs w:val="21"/>
        </w:rPr>
        <w:t>In RAN4#90bis meeting</w:t>
      </w:r>
      <w:r w:rsidR="009E6DDF">
        <w:rPr>
          <w:rFonts w:hint="eastAsia"/>
          <w:szCs w:val="21"/>
        </w:rPr>
        <w:t xml:space="preserve"> there are different interpretation</w:t>
      </w:r>
      <w:r w:rsidR="0009033A">
        <w:rPr>
          <w:rFonts w:hint="eastAsia"/>
          <w:szCs w:val="21"/>
        </w:rPr>
        <w:t>s</w:t>
      </w:r>
      <w:r w:rsidR="009E6DDF">
        <w:rPr>
          <w:rFonts w:hint="eastAsia"/>
          <w:szCs w:val="21"/>
        </w:rPr>
        <w:t xml:space="preserve"> and understanding</w:t>
      </w:r>
      <w:r w:rsidR="0009033A">
        <w:rPr>
          <w:rFonts w:hint="eastAsia"/>
          <w:szCs w:val="21"/>
        </w:rPr>
        <w:t>s</w:t>
      </w:r>
      <w:r w:rsidR="009E6DDF">
        <w:rPr>
          <w:rFonts w:hint="eastAsia"/>
          <w:szCs w:val="21"/>
        </w:rPr>
        <w:t xml:space="preserve"> on Rel-16 IAB scope. This contribution provides our understanding regarding </w:t>
      </w:r>
      <w:r w:rsidR="00AB6235">
        <w:rPr>
          <w:rFonts w:hint="eastAsia"/>
          <w:szCs w:val="21"/>
        </w:rPr>
        <w:t>many aspects of Rel-16 IAB scope</w:t>
      </w:r>
      <w:r w:rsidR="009E6DDF">
        <w:rPr>
          <w:rFonts w:hint="eastAsia"/>
          <w:szCs w:val="21"/>
        </w:rPr>
        <w:t xml:space="preserve">. </w:t>
      </w:r>
    </w:p>
    <w:p w:rsidR="002A5A60" w:rsidRDefault="002A5A60" w:rsidP="002A5A60">
      <w:pPr>
        <w:pStyle w:val="Heading1"/>
        <w:rPr>
          <w:rFonts w:cs="Arial"/>
          <w:lang w:eastAsia="zh-CN"/>
        </w:rPr>
      </w:pPr>
      <w:r>
        <w:rPr>
          <w:rFonts w:cs="Arial" w:hint="eastAsia"/>
          <w:lang w:eastAsia="zh-CN"/>
        </w:rPr>
        <w:t>Discussion</w:t>
      </w:r>
    </w:p>
    <w:p w:rsidR="00036077" w:rsidRPr="00036077" w:rsidRDefault="00AB6235" w:rsidP="00D04CAD">
      <w:pPr>
        <w:rPr>
          <w:rStyle w:val="Strong"/>
          <w:u w:val="single"/>
          <w:lang w:val="en-GB"/>
        </w:rPr>
      </w:pPr>
      <w:r>
        <w:rPr>
          <w:rStyle w:val="Strong"/>
          <w:rFonts w:hint="eastAsia"/>
          <w:u w:val="single"/>
        </w:rPr>
        <w:t>Impact on existing RF spec</w:t>
      </w:r>
    </w:p>
    <w:p w:rsidR="00CB3908" w:rsidRDefault="00AB6235" w:rsidP="00CB3908">
      <w:pPr>
        <w:rPr>
          <w:szCs w:val="21"/>
        </w:rPr>
      </w:pPr>
      <w:r>
        <w:rPr>
          <w:rFonts w:hint="eastAsia"/>
          <w:szCs w:val="21"/>
        </w:rPr>
        <w:t xml:space="preserve">In latest IAB WID[1] the BS </w:t>
      </w:r>
      <w:r>
        <w:rPr>
          <w:szCs w:val="21"/>
        </w:rPr>
        <w:t>core spec</w:t>
      </w:r>
      <w:r>
        <w:rPr>
          <w:rFonts w:hint="eastAsia"/>
          <w:szCs w:val="21"/>
        </w:rPr>
        <w:t xml:space="preserve"> </w:t>
      </w:r>
      <w:r>
        <w:rPr>
          <w:szCs w:val="21"/>
        </w:rPr>
        <w:t>(</w:t>
      </w:r>
      <w:r>
        <w:rPr>
          <w:rFonts w:hint="eastAsia"/>
          <w:szCs w:val="21"/>
        </w:rPr>
        <w:t xml:space="preserve">TS38.104) , UE core </w:t>
      </w:r>
      <w:r>
        <w:rPr>
          <w:szCs w:val="21"/>
        </w:rPr>
        <w:t>spec (</w:t>
      </w:r>
      <w:r>
        <w:rPr>
          <w:rFonts w:hint="eastAsia"/>
          <w:szCs w:val="21"/>
        </w:rPr>
        <w:t xml:space="preserve">TS38.101-1/2/3) </w:t>
      </w:r>
      <w:r>
        <w:rPr>
          <w:szCs w:val="21"/>
        </w:rPr>
        <w:t>and</w:t>
      </w:r>
      <w:r>
        <w:rPr>
          <w:rFonts w:hint="eastAsia"/>
          <w:szCs w:val="21"/>
        </w:rPr>
        <w:t xml:space="preserve"> UE demo spec(TS38.101-4) are included as existing specs to be impacted with the </w:t>
      </w:r>
      <w:r w:rsidR="005518A8">
        <w:rPr>
          <w:rFonts w:hint="eastAsia"/>
          <w:szCs w:val="21"/>
        </w:rPr>
        <w:t>implication</w:t>
      </w:r>
      <w:r>
        <w:rPr>
          <w:rFonts w:hint="eastAsia"/>
          <w:szCs w:val="21"/>
        </w:rPr>
        <w:t xml:space="preserve"> of the related IAB</w:t>
      </w:r>
      <w:r w:rsidR="005518A8">
        <w:rPr>
          <w:rFonts w:hint="eastAsia"/>
          <w:szCs w:val="21"/>
        </w:rPr>
        <w:t xml:space="preserve"> RF performance</w:t>
      </w:r>
      <w:r>
        <w:rPr>
          <w:rFonts w:hint="eastAsia"/>
          <w:szCs w:val="21"/>
        </w:rPr>
        <w:t xml:space="preserve"> requirement</w:t>
      </w:r>
      <w:r w:rsidR="005518A8">
        <w:rPr>
          <w:rFonts w:hint="eastAsia"/>
          <w:szCs w:val="21"/>
        </w:rPr>
        <w:t>s</w:t>
      </w:r>
      <w:r>
        <w:rPr>
          <w:rFonts w:hint="eastAsia"/>
          <w:szCs w:val="21"/>
        </w:rPr>
        <w:t xml:space="preserve"> would be </w:t>
      </w:r>
      <w:r>
        <w:rPr>
          <w:szCs w:val="21"/>
        </w:rPr>
        <w:t>incorporated</w:t>
      </w:r>
      <w:r>
        <w:rPr>
          <w:rFonts w:hint="eastAsia"/>
          <w:szCs w:val="21"/>
        </w:rPr>
        <w:t xml:space="preserve"> in </w:t>
      </w:r>
      <w:r w:rsidR="005518A8">
        <w:rPr>
          <w:rFonts w:hint="eastAsia"/>
          <w:szCs w:val="21"/>
        </w:rPr>
        <w:t>those specifications.</w:t>
      </w:r>
      <w:r w:rsidR="00760BDF">
        <w:rPr>
          <w:rFonts w:hint="eastAsia"/>
          <w:szCs w:val="21"/>
        </w:rPr>
        <w:t xml:space="preserve"> However, in last RAN4 meeting it is agreed in RAN4 that there would be one dedicated IAB s</w:t>
      </w:r>
      <w:r w:rsidR="00D37907">
        <w:rPr>
          <w:rFonts w:hint="eastAsia"/>
          <w:szCs w:val="21"/>
        </w:rPr>
        <w:t>pec for RF and demo requirement. Hence it is proposed to update the WID in June meeting to replace the new spec with all aforementioned specifications. And it should be make an explicit agreement in RAN4 that the introduction</w:t>
      </w:r>
      <w:r w:rsidR="00D779CB">
        <w:rPr>
          <w:rFonts w:hint="eastAsia"/>
          <w:szCs w:val="21"/>
        </w:rPr>
        <w:t xml:space="preserve"> of Rel-16 IAB has no impact on existing BS and UE RF specifications.  </w:t>
      </w:r>
      <w:r w:rsidR="00D37907">
        <w:rPr>
          <w:rFonts w:hint="eastAsia"/>
          <w:szCs w:val="21"/>
        </w:rPr>
        <w:t xml:space="preserve">  </w:t>
      </w:r>
    </w:p>
    <w:p w:rsidR="005518A8" w:rsidRDefault="005518A8" w:rsidP="00CB3908">
      <w:pPr>
        <w:rPr>
          <w:szCs w:val="21"/>
        </w:rPr>
      </w:pPr>
    </w:p>
    <w:p w:rsidR="005518A8" w:rsidRDefault="005518A8" w:rsidP="00CB3908">
      <w:pPr>
        <w:rPr>
          <w:szCs w:val="21"/>
        </w:rPr>
      </w:pPr>
      <w:r w:rsidRPr="005518A8">
        <w:rPr>
          <w:rFonts w:hint="eastAsia"/>
          <w:b/>
          <w:szCs w:val="21"/>
        </w:rPr>
        <w:t>Proposal 1</w:t>
      </w:r>
      <w:r>
        <w:rPr>
          <w:rFonts w:hint="eastAsia"/>
          <w:szCs w:val="21"/>
        </w:rPr>
        <w:t xml:space="preserve">: </w:t>
      </w:r>
      <w:r w:rsidR="00D37907">
        <w:rPr>
          <w:szCs w:val="21"/>
        </w:rPr>
        <w:t>it’s</w:t>
      </w:r>
      <w:r w:rsidR="00D37907">
        <w:rPr>
          <w:rFonts w:hint="eastAsia"/>
          <w:szCs w:val="21"/>
        </w:rPr>
        <w:t xml:space="preserve"> expected </w:t>
      </w:r>
      <w:r w:rsidR="00D779CB">
        <w:rPr>
          <w:rFonts w:hint="eastAsia"/>
          <w:szCs w:val="21"/>
        </w:rPr>
        <w:t xml:space="preserve">the </w:t>
      </w:r>
      <w:r w:rsidR="00D37907">
        <w:rPr>
          <w:rFonts w:hint="eastAsia"/>
          <w:szCs w:val="21"/>
        </w:rPr>
        <w:t>i</w:t>
      </w:r>
      <w:r>
        <w:rPr>
          <w:rFonts w:hint="eastAsia"/>
          <w:szCs w:val="21"/>
        </w:rPr>
        <w:t xml:space="preserve">ntroduction of Rel-16 IAB node </w:t>
      </w:r>
      <w:r w:rsidR="00D37907">
        <w:rPr>
          <w:rFonts w:hint="eastAsia"/>
          <w:szCs w:val="21"/>
        </w:rPr>
        <w:t>shall</w:t>
      </w:r>
      <w:r>
        <w:rPr>
          <w:rFonts w:hint="eastAsia"/>
          <w:szCs w:val="21"/>
        </w:rPr>
        <w:t xml:space="preserve"> have no impact on below existing BS and UE specifications from RF performance perspective.</w:t>
      </w:r>
    </w:p>
    <w:p w:rsidR="005518A8" w:rsidRPr="005518A8" w:rsidRDefault="005518A8" w:rsidP="005518A8">
      <w:pPr>
        <w:pStyle w:val="ListParagraph"/>
        <w:numPr>
          <w:ilvl w:val="0"/>
          <w:numId w:val="19"/>
        </w:numPr>
        <w:ind w:firstLineChars="0"/>
        <w:rPr>
          <w:rFonts w:asciiTheme="minorHAnsi" w:eastAsiaTheme="minorEastAsia" w:hAnsiTheme="minorHAnsi" w:cstheme="minorBidi"/>
          <w:kern w:val="2"/>
          <w:sz w:val="21"/>
          <w:szCs w:val="21"/>
        </w:rPr>
      </w:pPr>
      <w:r w:rsidRPr="005518A8">
        <w:rPr>
          <w:rFonts w:asciiTheme="minorHAnsi" w:eastAsiaTheme="minorEastAsia" w:hAnsiTheme="minorHAnsi" w:cstheme="minorBidi" w:hint="eastAsia"/>
          <w:kern w:val="2"/>
          <w:sz w:val="21"/>
          <w:szCs w:val="21"/>
        </w:rPr>
        <w:t>TS38.104</w:t>
      </w:r>
    </w:p>
    <w:p w:rsidR="005518A8" w:rsidRPr="005518A8" w:rsidRDefault="005518A8" w:rsidP="005518A8">
      <w:pPr>
        <w:pStyle w:val="ListParagraph"/>
        <w:numPr>
          <w:ilvl w:val="0"/>
          <w:numId w:val="19"/>
        </w:numPr>
        <w:ind w:firstLineChars="0"/>
        <w:rPr>
          <w:rFonts w:asciiTheme="minorHAnsi" w:eastAsiaTheme="minorEastAsia" w:hAnsiTheme="minorHAnsi" w:cstheme="minorBidi"/>
          <w:kern w:val="2"/>
          <w:sz w:val="21"/>
          <w:szCs w:val="21"/>
        </w:rPr>
      </w:pPr>
      <w:r w:rsidRPr="005518A8">
        <w:rPr>
          <w:rFonts w:asciiTheme="minorHAnsi" w:eastAsiaTheme="minorEastAsia" w:hAnsiTheme="minorHAnsi" w:cstheme="minorBidi" w:hint="eastAsia"/>
          <w:kern w:val="2"/>
          <w:sz w:val="21"/>
          <w:szCs w:val="21"/>
        </w:rPr>
        <w:t>TS38.101-1/2/3/4</w:t>
      </w:r>
    </w:p>
    <w:p w:rsidR="00CB3908" w:rsidRDefault="00CB3908" w:rsidP="0071351D">
      <w:pPr>
        <w:spacing w:afterLines="50" w:after="156"/>
        <w:rPr>
          <w:szCs w:val="21"/>
        </w:rPr>
      </w:pPr>
    </w:p>
    <w:p w:rsidR="00111284" w:rsidRPr="00EB542F" w:rsidRDefault="00111284" w:rsidP="00EB542F">
      <w:pPr>
        <w:rPr>
          <w:rStyle w:val="Strong"/>
          <w:u w:val="single"/>
        </w:rPr>
      </w:pPr>
      <w:r w:rsidRPr="00EB542F">
        <w:rPr>
          <w:rStyle w:val="Strong"/>
          <w:rFonts w:hint="eastAsia"/>
          <w:u w:val="single"/>
        </w:rPr>
        <w:t xml:space="preserve">Resource multiplexing </w:t>
      </w:r>
    </w:p>
    <w:p w:rsidR="005C4FC8" w:rsidRPr="005C4FC8" w:rsidRDefault="003F2522" w:rsidP="0071351D">
      <w:pPr>
        <w:spacing w:afterLines="50" w:after="156"/>
        <w:rPr>
          <w:szCs w:val="21"/>
        </w:rPr>
      </w:pPr>
      <w:r>
        <w:rPr>
          <w:rFonts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-120650</wp:posOffset>
                </wp:positionH>
                <wp:positionV relativeFrom="paragraph">
                  <wp:posOffset>207010</wp:posOffset>
                </wp:positionV>
                <wp:extent cx="6375400" cy="1168400"/>
                <wp:effectExtent l="0" t="0" r="25400" b="12700"/>
                <wp:wrapNone/>
                <wp:docPr id="1" name="Rectangle 1"/>
                <wp:cNvGraphicFramePr/>
                <a:graphic xmlns:a="http://schemas.openxmlformats.org/drawingml/2006/main">
                  <a:graphicData uri="http://schemas.microsoft.com/office/word/2010/wordprocessingShape">
                    <wps:wsp>
                      <wps:cNvSpPr/>
                      <wps:spPr>
                        <a:xfrm>
                          <a:off x="0" y="0"/>
                          <a:ext cx="6375400" cy="11684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left:0;text-align:left;margin-left:-9.5pt;margin-top:16.3pt;width:502pt;height: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" filled="f" strokecolor="black [3213]" strokeweight=".5pt"/>
            </w:pict>
          </mc:Fallback>
        </mc:AlternateContent>
      </w:r>
      <w:r w:rsidR="005C4FC8">
        <w:rPr>
          <w:rFonts w:hint="eastAsia"/>
          <w:szCs w:val="21"/>
        </w:rPr>
        <w:t>There is clear description for resource multiplexing between backhaul and access links in IAB WID [1] as below</w:t>
      </w:r>
      <w:r>
        <w:rPr>
          <w:rFonts w:hint="eastAsia"/>
          <w:szCs w:val="21"/>
        </w:rPr>
        <w:t>.</w:t>
      </w:r>
    </w:p>
    <w:p w:rsidR="005C4FC8" w:rsidRPr="005C4FC8" w:rsidRDefault="005C4FC8" w:rsidP="005C4FC8">
      <w:pPr>
        <w:widowControl/>
        <w:numPr>
          <w:ilvl w:val="0"/>
          <w:numId w:val="10"/>
        </w:numPr>
        <w:spacing w:beforeLines="60" w:before="187" w:afterLines="60" w:after="187"/>
        <w:jc w:val="left"/>
        <w:rPr>
          <w:rFonts w:ascii="Times New Roman" w:hAnsi="Times New Roman" w:cs="Times New Roman"/>
          <w:shd w:val="pct15" w:color="auto" w:fill="FFFFFF"/>
        </w:rPr>
      </w:pPr>
      <w:r w:rsidRPr="005C4FC8">
        <w:rPr>
          <w:rFonts w:ascii="Times New Roman" w:hAnsi="Times New Roman" w:cs="Times New Roman"/>
          <w:shd w:val="pct15" w:color="auto" w:fill="FFFFFF"/>
        </w:rPr>
        <w:t xml:space="preserve">Specification of mechanisms for resource multiplexing among backhaul and access links. This includes: </w:t>
      </w:r>
    </w:p>
    <w:p w:rsidR="005C4FC8" w:rsidRPr="005C4FC8" w:rsidRDefault="005C4FC8" w:rsidP="005C4FC8">
      <w:pPr>
        <w:widowControl/>
        <w:numPr>
          <w:ilvl w:val="1"/>
          <w:numId w:val="10"/>
        </w:numPr>
        <w:spacing w:beforeLines="60" w:before="187" w:afterLines="60" w:after="187"/>
        <w:jc w:val="left"/>
        <w:rPr>
          <w:rFonts w:ascii="Times New Roman" w:hAnsi="Times New Roman" w:cs="Times New Roman"/>
          <w:shd w:val="pct15" w:color="auto" w:fill="FFFFFF"/>
        </w:rPr>
      </w:pPr>
      <w:r w:rsidRPr="005C4FC8">
        <w:rPr>
          <w:rFonts w:ascii="Times New Roman" w:hAnsi="Times New Roman" w:cs="Times New Roman"/>
          <w:shd w:val="pct15" w:color="auto" w:fill="FFFFFF"/>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5C4FC8" w:rsidRDefault="005C4FC8" w:rsidP="0071351D">
      <w:pPr>
        <w:spacing w:afterLines="50" w:after="156"/>
        <w:rPr>
          <w:szCs w:val="21"/>
        </w:rPr>
      </w:pPr>
    </w:p>
    <w:p w:rsidR="0000478F" w:rsidRDefault="00EB542F" w:rsidP="00946ADB">
      <w:pPr>
        <w:spacing w:before="60" w:after="60"/>
      </w:pPr>
      <w:r>
        <w:rPr>
          <w:rFonts w:hint="eastAsia"/>
          <w:szCs w:val="21"/>
        </w:rPr>
        <w:t xml:space="preserve">It is not </w:t>
      </w:r>
      <w:r>
        <w:rPr>
          <w:szCs w:val="21"/>
        </w:rPr>
        <w:t>explicitly</w:t>
      </w:r>
      <w:r>
        <w:rPr>
          <w:rFonts w:hint="eastAsia"/>
          <w:szCs w:val="21"/>
        </w:rPr>
        <w:t xml:space="preserve"> indicated </w:t>
      </w:r>
      <w:r>
        <w:rPr>
          <w:szCs w:val="21"/>
        </w:rPr>
        <w:t>that</w:t>
      </w:r>
      <w:r>
        <w:rPr>
          <w:rFonts w:hint="eastAsia"/>
          <w:szCs w:val="21"/>
        </w:rPr>
        <w:t xml:space="preserve"> whether </w:t>
      </w:r>
      <w:r w:rsidRPr="00EB542F">
        <w:rPr>
          <w:rFonts w:ascii="Times New Roman" w:hAnsi="Times New Roman" w:cs="Times New Roman" w:hint="eastAsia"/>
          <w:shd w:val="pct15" w:color="auto" w:fill="FFFFFF"/>
        </w:rPr>
        <w:t xml:space="preserve">FDM and SDM resource sharing among backhaul and access links </w:t>
      </w:r>
      <w:r>
        <w:rPr>
          <w:rFonts w:hint="eastAsia"/>
          <w:szCs w:val="21"/>
        </w:rPr>
        <w:t>is in Rel16 or not.</w:t>
      </w:r>
      <w:r w:rsidR="0000478F">
        <w:rPr>
          <w:rFonts w:hint="eastAsia"/>
          <w:szCs w:val="21"/>
        </w:rPr>
        <w:t xml:space="preserve"> The reason is somewhat elaborated in </w:t>
      </w:r>
      <w:r w:rsidR="0000478F">
        <w:rPr>
          <w:szCs w:val="21"/>
        </w:rPr>
        <w:t>companion</w:t>
      </w:r>
      <w:r w:rsidR="0000478F">
        <w:rPr>
          <w:rFonts w:hint="eastAsia"/>
          <w:szCs w:val="21"/>
        </w:rPr>
        <w:t xml:space="preserve"> contribution [2] as there are at least three links connected to one IAB</w:t>
      </w:r>
      <w:r>
        <w:rPr>
          <w:rFonts w:hint="eastAsia"/>
          <w:szCs w:val="21"/>
        </w:rPr>
        <w:t xml:space="preserve"> </w:t>
      </w:r>
      <w:r w:rsidR="0000478F">
        <w:rPr>
          <w:rFonts w:hint="eastAsia"/>
          <w:szCs w:val="21"/>
        </w:rPr>
        <w:t xml:space="preserve">node, i.e. </w:t>
      </w:r>
      <w:r w:rsidR="0000478F">
        <w:rPr>
          <w:rFonts w:hint="eastAsia"/>
        </w:rPr>
        <w:t>Parent Backhaul link, Child backhaul link and Child Access link</w:t>
      </w:r>
      <w:r w:rsidR="009525FB">
        <w:rPr>
          <w:rFonts w:hint="eastAsia"/>
        </w:rPr>
        <w:t xml:space="preserve">. Hence it is not clear whether FDM </w:t>
      </w:r>
      <w:r w:rsidR="009525FB">
        <w:t>and</w:t>
      </w:r>
      <w:r w:rsidR="009525FB">
        <w:rPr>
          <w:rFonts w:hint="eastAsia"/>
        </w:rPr>
        <w:t xml:space="preserve">/or SDM are also target between child backhaul link and child access link. If this is considered it may imply FDM and/or SDM would be requested for IAB-donor </w:t>
      </w:r>
      <w:proofErr w:type="spellStart"/>
      <w:r w:rsidR="009525FB">
        <w:rPr>
          <w:rFonts w:hint="eastAsia"/>
        </w:rPr>
        <w:t>gNB</w:t>
      </w:r>
      <w:proofErr w:type="spellEnd"/>
      <w:r w:rsidR="009525FB">
        <w:rPr>
          <w:rFonts w:hint="eastAsia"/>
        </w:rPr>
        <w:t xml:space="preserve"> as well. However, at least current stage we </w:t>
      </w:r>
      <w:r w:rsidR="009525FB">
        <w:rPr>
          <w:rFonts w:hint="eastAsia"/>
        </w:rPr>
        <w:lastRenderedPageBreak/>
        <w:t xml:space="preserve">would suggest to limit the implication on legacy </w:t>
      </w:r>
      <w:proofErr w:type="spellStart"/>
      <w:r w:rsidR="009525FB">
        <w:rPr>
          <w:rFonts w:hint="eastAsia"/>
        </w:rPr>
        <w:t>gNB</w:t>
      </w:r>
      <w:proofErr w:type="spellEnd"/>
      <w:r w:rsidR="009525FB">
        <w:rPr>
          <w:rFonts w:hint="eastAsia"/>
        </w:rPr>
        <w:t xml:space="preserve"> system in the context of IAB. </w:t>
      </w:r>
      <w:r w:rsidR="003E1BCB">
        <w:rPr>
          <w:rFonts w:hint="eastAsia"/>
        </w:rPr>
        <w:t xml:space="preserve">Maybe further clarification regarding the </w:t>
      </w:r>
      <w:r w:rsidR="003E1BCB">
        <w:t>definition</w:t>
      </w:r>
      <w:r w:rsidR="003E1BCB">
        <w:rPr>
          <w:rFonts w:hint="eastAsia"/>
        </w:rPr>
        <w:t xml:space="preserve"> of </w:t>
      </w:r>
      <w:r w:rsidR="003E1BCB" w:rsidRPr="00666CF0">
        <w:rPr>
          <w:rFonts w:ascii="Times New Roman" w:hAnsi="Times New Roman" w:cs="Times New Roman" w:hint="eastAsia"/>
          <w:shd w:val="pct15" w:color="auto" w:fill="FFFFFF"/>
        </w:rPr>
        <w:t>FDM and SDM resource sharing among backhaul access link</w:t>
      </w:r>
      <w:r w:rsidR="00666CF0" w:rsidRPr="00666CF0">
        <w:rPr>
          <w:rFonts w:ascii="Times New Roman" w:hAnsi="Times New Roman" w:cs="Times New Roman" w:hint="eastAsia"/>
          <w:shd w:val="pct15" w:color="auto" w:fill="FFFFFF"/>
        </w:rPr>
        <w:t>s</w:t>
      </w:r>
      <w:r w:rsidR="003E1BCB" w:rsidRPr="00666CF0">
        <w:rPr>
          <w:rFonts w:ascii="Times New Roman" w:hAnsi="Times New Roman" w:cs="Times New Roman" w:hint="eastAsia"/>
          <w:shd w:val="pct15" w:color="auto" w:fill="FFFFFF"/>
        </w:rPr>
        <w:t xml:space="preserve"> </w:t>
      </w:r>
      <w:r w:rsidR="003E1BCB">
        <w:rPr>
          <w:rFonts w:hint="eastAsia"/>
        </w:rPr>
        <w:t xml:space="preserve">is needed. </w:t>
      </w:r>
      <w:r w:rsidR="009525FB">
        <w:rPr>
          <w:rFonts w:hint="eastAsia"/>
        </w:rPr>
        <w:t xml:space="preserve"> </w:t>
      </w:r>
    </w:p>
    <w:p w:rsidR="009525FB" w:rsidRDefault="009525FB" w:rsidP="00946ADB">
      <w:pPr>
        <w:spacing w:before="60" w:after="60"/>
      </w:pPr>
      <w:r w:rsidRPr="009525FB">
        <w:rPr>
          <w:rFonts w:hint="eastAsia"/>
          <w:b/>
        </w:rPr>
        <w:t>Observation 1</w:t>
      </w:r>
      <w:r>
        <w:rPr>
          <w:rFonts w:hint="eastAsia"/>
        </w:rPr>
        <w:t>: the FDM and SDM resource sharing among backhaul and access links may be not in Rel-16 scope.</w:t>
      </w:r>
    </w:p>
    <w:p w:rsidR="009525FB" w:rsidRDefault="009525FB" w:rsidP="009525FB">
      <w:pPr>
        <w:spacing w:before="60" w:after="60"/>
        <w:jc w:val="center"/>
      </w:pPr>
      <w:r>
        <w:rPr>
          <w:noProof/>
        </w:rPr>
        <w:drawing>
          <wp:inline distT="0" distB="0" distL="0" distR="0" wp14:anchorId="7BDD5B3A" wp14:editId="7601B87A">
            <wp:extent cx="4724400" cy="17731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400" cy="1773153"/>
                    </a:xfrm>
                    <a:prstGeom prst="rect">
                      <a:avLst/>
                    </a:prstGeom>
                    <a:noFill/>
                    <a:ln>
                      <a:noFill/>
                    </a:ln>
                  </pic:spPr>
                </pic:pic>
              </a:graphicData>
            </a:graphic>
          </wp:inline>
        </w:drawing>
      </w:r>
    </w:p>
    <w:p w:rsidR="009525FB" w:rsidRPr="007E3D2D" w:rsidRDefault="009525FB" w:rsidP="007E3D2D">
      <w:pPr>
        <w:widowControl/>
        <w:spacing w:after="180" w:line="276" w:lineRule="auto"/>
        <w:ind w:left="284"/>
        <w:jc w:val="center"/>
        <w:rPr>
          <w:b/>
          <w:lang w:val="en-GB"/>
        </w:rPr>
      </w:pPr>
      <w:r w:rsidRPr="006340A9">
        <w:rPr>
          <w:b/>
          <w:noProof/>
        </w:rPr>
        <w:t xml:space="preserve">Figure 1: </w:t>
      </w:r>
      <w:r w:rsidRPr="006340A9">
        <w:rPr>
          <w:b/>
        </w:rPr>
        <w:t>Different IAB link types</w:t>
      </w:r>
      <w:r w:rsidRPr="006340A9">
        <w:rPr>
          <w:rFonts w:hint="eastAsia"/>
          <w:b/>
        </w:rPr>
        <w:t xml:space="preserve"> (</w:t>
      </w:r>
      <w:r w:rsidRPr="006340A9">
        <w:rPr>
          <w:b/>
          <w:lang w:val="en-GB"/>
        </w:rPr>
        <w:t>Figure 7.</w:t>
      </w:r>
      <w:r w:rsidRPr="006340A9">
        <w:rPr>
          <w:rFonts w:eastAsia="Malgun Gothic"/>
          <w:b/>
          <w:lang w:val="en-GB" w:eastAsia="ko-KR"/>
        </w:rPr>
        <w:t>3</w:t>
      </w:r>
      <w:r w:rsidRPr="006340A9">
        <w:rPr>
          <w:b/>
          <w:lang w:val="en-GB"/>
        </w:rPr>
        <w:t>.</w:t>
      </w:r>
      <w:r w:rsidRPr="006340A9">
        <w:rPr>
          <w:rFonts w:eastAsia="Malgun Gothic"/>
          <w:b/>
          <w:lang w:val="en-GB" w:eastAsia="ko-KR"/>
        </w:rPr>
        <w:t>1</w:t>
      </w:r>
      <w:r w:rsidRPr="006340A9">
        <w:rPr>
          <w:b/>
          <w:lang w:val="en-GB"/>
        </w:rPr>
        <w:t>-1</w:t>
      </w:r>
      <w:r w:rsidRPr="006340A9">
        <w:rPr>
          <w:rFonts w:hint="eastAsia"/>
          <w:b/>
          <w:lang w:val="en-GB"/>
        </w:rPr>
        <w:t xml:space="preserve"> in TS38.874)</w:t>
      </w:r>
    </w:p>
    <w:p w:rsidR="00946ADB" w:rsidRPr="00946ADB" w:rsidRDefault="00EB542F" w:rsidP="00946ADB">
      <w:pPr>
        <w:spacing w:before="60" w:after="60"/>
        <w:rPr>
          <w:szCs w:val="21"/>
        </w:rPr>
      </w:pPr>
      <w:r>
        <w:rPr>
          <w:rFonts w:hint="eastAsia"/>
          <w:szCs w:val="21"/>
        </w:rPr>
        <w:t>But what can be observed is that</w:t>
      </w:r>
      <w:r w:rsidR="003F2522">
        <w:rPr>
          <w:rFonts w:hint="eastAsia"/>
          <w:szCs w:val="21"/>
        </w:rPr>
        <w:t xml:space="preserve"> half-d</w:t>
      </w:r>
      <w:r w:rsidR="00812D10">
        <w:rPr>
          <w:rFonts w:hint="eastAsia"/>
          <w:szCs w:val="21"/>
        </w:rPr>
        <w:t>uplex constraint</w:t>
      </w:r>
      <w:r w:rsidR="004262D6">
        <w:rPr>
          <w:rFonts w:hint="eastAsia"/>
          <w:szCs w:val="21"/>
        </w:rPr>
        <w:t xml:space="preserve"> would be</w:t>
      </w:r>
      <w:r w:rsidR="00812D10">
        <w:rPr>
          <w:rFonts w:hint="eastAsia"/>
          <w:szCs w:val="21"/>
        </w:rPr>
        <w:t xml:space="preserve"> </w:t>
      </w:r>
      <w:r w:rsidR="00812D10">
        <w:rPr>
          <w:szCs w:val="21"/>
        </w:rPr>
        <w:t>always</w:t>
      </w:r>
      <w:r w:rsidR="00812D10">
        <w:rPr>
          <w:rFonts w:hint="eastAsia"/>
          <w:szCs w:val="21"/>
        </w:rPr>
        <w:t xml:space="preserve"> valid in the discussion </w:t>
      </w:r>
      <w:r>
        <w:rPr>
          <w:rFonts w:hint="eastAsia"/>
          <w:szCs w:val="21"/>
        </w:rPr>
        <w:t>of IAB at least for in-band IAB</w:t>
      </w:r>
      <w:r w:rsidR="00F261B1">
        <w:rPr>
          <w:rFonts w:hint="eastAsia"/>
          <w:szCs w:val="21"/>
        </w:rPr>
        <w:t xml:space="preserve"> (may be applicable for out-of-band IAB</w:t>
      </w:r>
      <w:r w:rsidR="004262D6">
        <w:rPr>
          <w:rFonts w:hint="eastAsia"/>
          <w:szCs w:val="21"/>
        </w:rPr>
        <w:t xml:space="preserve"> as well</w:t>
      </w:r>
      <w:r w:rsidR="00F261B1">
        <w:rPr>
          <w:rFonts w:hint="eastAsia"/>
          <w:szCs w:val="21"/>
        </w:rPr>
        <w:t>)</w:t>
      </w:r>
      <w:r>
        <w:rPr>
          <w:rFonts w:hint="eastAsia"/>
          <w:szCs w:val="21"/>
        </w:rPr>
        <w:t>. That</w:t>
      </w:r>
      <w:r w:rsidR="00F261B1">
        <w:rPr>
          <w:rFonts w:hint="eastAsia"/>
          <w:szCs w:val="21"/>
        </w:rPr>
        <w:t xml:space="preserve"> means</w:t>
      </w:r>
      <w:r>
        <w:rPr>
          <w:rFonts w:hint="eastAsia"/>
          <w:szCs w:val="21"/>
        </w:rPr>
        <w:t xml:space="preserve"> the IAB could not</w:t>
      </w:r>
      <w:r w:rsidRPr="00E23CFA">
        <w:t xml:space="preserve"> transmit and receive simultaneously on </w:t>
      </w:r>
      <w:r w:rsidR="004262D6">
        <w:rPr>
          <w:rFonts w:hint="eastAsia"/>
        </w:rPr>
        <w:t>all</w:t>
      </w:r>
      <w:r w:rsidRPr="00E23CFA">
        <w:t xml:space="preserve"> links</w:t>
      </w:r>
      <w:r>
        <w:rPr>
          <w:rFonts w:hint="eastAsia"/>
          <w:szCs w:val="21"/>
        </w:rPr>
        <w:t xml:space="preserve">. </w:t>
      </w:r>
      <w:r w:rsidR="004262D6">
        <w:rPr>
          <w:rFonts w:hint="eastAsia"/>
          <w:szCs w:val="21"/>
        </w:rPr>
        <w:t xml:space="preserve">However, at least simultaneously transmission of IAB-MT and IAB-DU, simultaneously reception of IAB-MT and IAB-DU seems not precluded from current scope which complies with the half-duplex restriction. </w:t>
      </w:r>
      <w:r w:rsidR="00946ADB" w:rsidRPr="00946ADB">
        <w:rPr>
          <w:rFonts w:hint="eastAsia"/>
          <w:szCs w:val="21"/>
        </w:rPr>
        <w:t>What</w:t>
      </w:r>
      <w:r w:rsidR="00946ADB" w:rsidRPr="00946ADB">
        <w:rPr>
          <w:szCs w:val="21"/>
        </w:rPr>
        <w:t>’</w:t>
      </w:r>
      <w:r w:rsidR="00946ADB" w:rsidRPr="00946ADB">
        <w:rPr>
          <w:rFonts w:hint="eastAsia"/>
          <w:szCs w:val="21"/>
        </w:rPr>
        <w:t xml:space="preserve">s needs to be </w:t>
      </w:r>
      <w:r w:rsidR="00946ADB">
        <w:rPr>
          <w:rFonts w:hint="eastAsia"/>
          <w:szCs w:val="21"/>
        </w:rPr>
        <w:t>highlighted is that whether the simultaneously reception between IAB-MT&amp; IAB-DU and transmission between IAB-MT&amp; IAB-DU would happen is also according to the corresponding slot format of IAB-MT and IAB-DU.</w:t>
      </w:r>
    </w:p>
    <w:p w:rsidR="003F2522" w:rsidRDefault="0000478F" w:rsidP="0071351D">
      <w:pPr>
        <w:spacing w:afterLines="50" w:after="156"/>
        <w:rPr>
          <w:szCs w:val="21"/>
        </w:rPr>
      </w:pPr>
      <w:r w:rsidRPr="0000478F">
        <w:rPr>
          <w:rFonts w:hint="eastAsia"/>
          <w:b/>
          <w:szCs w:val="21"/>
        </w:rPr>
        <w:t xml:space="preserve">Observation </w:t>
      </w:r>
      <w:r w:rsidR="009525FB">
        <w:rPr>
          <w:rFonts w:hint="eastAsia"/>
          <w:b/>
          <w:szCs w:val="21"/>
        </w:rPr>
        <w:t>2</w:t>
      </w:r>
      <w:r>
        <w:rPr>
          <w:rFonts w:hint="eastAsia"/>
          <w:szCs w:val="21"/>
        </w:rPr>
        <w:t xml:space="preserve">: simultaneously transmission of IAB-MT and IAB-DU, simultaneously reception of IAB-MT and IAB-DU seems not precluded from Rel-16 IAB scope, which is also related to slot format of IAB-MT and IAB-DU. </w:t>
      </w:r>
    </w:p>
    <w:p w:rsidR="000C54C6" w:rsidRPr="00946ADB" w:rsidRDefault="000C54C6" w:rsidP="0071351D">
      <w:pPr>
        <w:spacing w:afterLines="50" w:after="156"/>
        <w:rPr>
          <w:szCs w:val="21"/>
        </w:rPr>
      </w:pPr>
    </w:p>
    <w:p w:rsidR="00036077" w:rsidRDefault="00264CF1" w:rsidP="00036077">
      <w:pPr>
        <w:rPr>
          <w:rStyle w:val="Strong"/>
          <w:u w:val="single"/>
        </w:rPr>
      </w:pPr>
      <w:r>
        <w:rPr>
          <w:rStyle w:val="Strong"/>
          <w:rFonts w:hint="eastAsia"/>
          <w:u w:val="single"/>
        </w:rPr>
        <w:t>Synchronized scenario</w:t>
      </w:r>
    </w:p>
    <w:p w:rsidR="00CE1469" w:rsidRDefault="0009104B" w:rsidP="00036077">
      <w:pPr>
        <w:rPr>
          <w:szCs w:val="21"/>
        </w:rPr>
      </w:pPr>
      <w:r>
        <w:rPr>
          <w:rFonts w:hint="eastAsia"/>
          <w:noProof/>
          <w:szCs w:val="21"/>
        </w:rPr>
        <mc:AlternateContent>
          <mc:Choice Requires="wps">
            <w:drawing>
              <wp:anchor distT="0" distB="0" distL="114300" distR="114300" simplePos="0" relativeHeight="251660288" behindDoc="0" locked="0" layoutInCell="1" allowOverlap="1">
                <wp:simplePos x="0" y="0"/>
                <wp:positionH relativeFrom="column">
                  <wp:posOffset>-63500</wp:posOffset>
                </wp:positionH>
                <wp:positionV relativeFrom="paragraph">
                  <wp:posOffset>782955</wp:posOffset>
                </wp:positionV>
                <wp:extent cx="6400800" cy="641350"/>
                <wp:effectExtent l="0" t="0" r="19050" b="25400"/>
                <wp:wrapNone/>
                <wp:docPr id="2" name="Rectangle 2"/>
                <wp:cNvGraphicFramePr/>
                <a:graphic xmlns:a="http://schemas.openxmlformats.org/drawingml/2006/main">
                  <a:graphicData uri="http://schemas.microsoft.com/office/word/2010/wordprocessingShape">
                    <wps:wsp>
                      <wps:cNvSpPr/>
                      <wps:spPr>
                        <a:xfrm>
                          <a:off x="0" y="0"/>
                          <a:ext cx="6400800" cy="6413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left:0;text-align:left;margin-left:-5pt;margin-top:61.65pt;width:7in;height:5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" filled="f" strokecolor="black [3213]" strokeweight=".5pt"/>
            </w:pict>
          </mc:Fallback>
        </mc:AlternateContent>
      </w:r>
      <w:r w:rsidR="00CE1469" w:rsidRPr="00CE1469">
        <w:rPr>
          <w:rFonts w:hint="eastAsia"/>
          <w:szCs w:val="21"/>
        </w:rPr>
        <w:t>Wh</w:t>
      </w:r>
      <w:r w:rsidR="00CE1469">
        <w:rPr>
          <w:rFonts w:hint="eastAsia"/>
          <w:szCs w:val="21"/>
        </w:rPr>
        <w:t>at</w:t>
      </w:r>
      <w:r w:rsidR="00CE1469">
        <w:rPr>
          <w:szCs w:val="21"/>
        </w:rPr>
        <w:t>’</w:t>
      </w:r>
      <w:r w:rsidR="00CE1469">
        <w:rPr>
          <w:rFonts w:hint="eastAsia"/>
          <w:szCs w:val="21"/>
        </w:rPr>
        <w:t xml:space="preserve">s captured in WID regarding IAB </w:t>
      </w:r>
      <w:r w:rsidR="00E21F47">
        <w:rPr>
          <w:rFonts w:hint="eastAsia"/>
          <w:szCs w:val="21"/>
        </w:rPr>
        <w:t xml:space="preserve">sync timing </w:t>
      </w:r>
      <w:r w:rsidR="006240DC">
        <w:rPr>
          <w:rFonts w:hint="eastAsia"/>
          <w:szCs w:val="21"/>
        </w:rPr>
        <w:t xml:space="preserve">is copied as </w:t>
      </w:r>
      <w:proofErr w:type="gramStart"/>
      <w:r w:rsidR="006240DC">
        <w:rPr>
          <w:rFonts w:hint="eastAsia"/>
          <w:szCs w:val="21"/>
        </w:rPr>
        <w:t>below.</w:t>
      </w:r>
      <w:proofErr w:type="gramEnd"/>
      <w:r w:rsidR="006240DC">
        <w:rPr>
          <w:rFonts w:hint="eastAsia"/>
          <w:szCs w:val="21"/>
        </w:rPr>
        <w:t xml:space="preserve"> </w:t>
      </w:r>
      <w:r w:rsidR="00E21F47">
        <w:rPr>
          <w:rFonts w:hint="eastAsia"/>
          <w:szCs w:val="21"/>
        </w:rPr>
        <w:t>Except case 1 timing no other case is expected to be included in specification. Case 1 is</w:t>
      </w:r>
      <w:r w:rsidR="006240DC">
        <w:rPr>
          <w:rFonts w:hint="eastAsia"/>
          <w:szCs w:val="21"/>
        </w:rPr>
        <w:t xml:space="preserve"> further illustrated as figure 2. It should be noted that the </w:t>
      </w:r>
      <w:r w:rsidR="00B07908">
        <w:rPr>
          <w:rFonts w:hint="eastAsia"/>
          <w:szCs w:val="21"/>
        </w:rPr>
        <w:t xml:space="preserve">according to case 1 timing there would be still timing shift between IAB-MT UL TX and IAB-DU DL TX as T1 in the figure. And T2 shown in figure2 is the timing difference </w:t>
      </w:r>
      <w:r w:rsidR="00B07908">
        <w:rPr>
          <w:szCs w:val="21"/>
        </w:rPr>
        <w:t>between</w:t>
      </w:r>
      <w:r w:rsidR="00B07908">
        <w:rPr>
          <w:rFonts w:hint="eastAsia"/>
          <w:szCs w:val="21"/>
        </w:rPr>
        <w:t xml:space="preserve"> IAB-MT DL RX and IAB-DU UL RX. </w:t>
      </w:r>
    </w:p>
    <w:p w:rsidR="009D2968" w:rsidRPr="009D2968" w:rsidRDefault="009D2968" w:rsidP="009D2968">
      <w:pPr>
        <w:pStyle w:val="ListParagraph"/>
        <w:numPr>
          <w:ilvl w:val="0"/>
          <w:numId w:val="10"/>
        </w:numPr>
        <w:spacing w:before="60" w:after="60"/>
        <w:ind w:firstLineChars="0"/>
        <w:rPr>
          <w:rFonts w:ascii="Times New Roman" w:eastAsiaTheme="minorEastAsia" w:hAnsi="Times New Roman" w:cs="Times New Roman"/>
          <w:kern w:val="2"/>
          <w:sz w:val="21"/>
          <w:szCs w:val="22"/>
          <w:shd w:val="pct15" w:color="auto" w:fill="FFFFFF"/>
        </w:rPr>
      </w:pPr>
      <w:r w:rsidRPr="009D2968">
        <w:rPr>
          <w:rFonts w:ascii="Times New Roman" w:eastAsiaTheme="minorEastAsia" w:hAnsi="Times New Roman" w:cs="Times New Roman"/>
          <w:kern w:val="2"/>
          <w:sz w:val="21"/>
          <w:szCs w:val="22"/>
          <w:shd w:val="pct15" w:color="auto" w:fill="FFFFFF"/>
        </w:rPr>
        <w:t>Define timing requirements for IAB specific network synchronization. This may include (a) requirement for “case 1” timing (e.g. accuracy of DL transmission timing alignment between an IAB-node and its parent node), and (b) cell phase synchronization accuracy for multi-hop IAB network.</w:t>
      </w:r>
    </w:p>
    <w:p w:rsidR="00CE1469" w:rsidRDefault="00B07908" w:rsidP="00036077">
      <w:pPr>
        <w:rPr>
          <w:szCs w:val="21"/>
        </w:rPr>
      </w:pPr>
      <w:r>
        <w:rPr>
          <w:rFonts w:hint="eastAsia"/>
          <w:szCs w:val="21"/>
        </w:rPr>
        <w:t>If the one example of certain slot format given for IAB-MT and IAB-DU as in figure 3(here no dynamic pattern considered just as a simple example), it can be observed that the even if the 4</w:t>
      </w:r>
      <w:r w:rsidRPr="00B07908">
        <w:rPr>
          <w:rFonts w:hint="eastAsia"/>
          <w:szCs w:val="21"/>
          <w:vertAlign w:val="superscript"/>
        </w:rPr>
        <w:t>th</w:t>
      </w:r>
      <w:r>
        <w:rPr>
          <w:rFonts w:hint="eastAsia"/>
          <w:szCs w:val="21"/>
        </w:rPr>
        <w:t xml:space="preserve"> slot the </w:t>
      </w:r>
      <w:r>
        <w:rPr>
          <w:szCs w:val="21"/>
        </w:rPr>
        <w:t>simultaneous</w:t>
      </w:r>
      <w:r>
        <w:rPr>
          <w:rFonts w:hint="eastAsia"/>
          <w:szCs w:val="21"/>
        </w:rPr>
        <w:t xml:space="preserve"> reception may be allowed according to observation 2, there </w:t>
      </w:r>
      <w:r w:rsidR="0062510F">
        <w:rPr>
          <w:rFonts w:hint="eastAsia"/>
          <w:szCs w:val="21"/>
        </w:rPr>
        <w:t>may be potential impact on the reception of symbols in the end of the 4</w:t>
      </w:r>
      <w:r w:rsidR="0062510F" w:rsidRPr="0062510F">
        <w:rPr>
          <w:rFonts w:hint="eastAsia"/>
          <w:szCs w:val="21"/>
          <w:vertAlign w:val="superscript"/>
        </w:rPr>
        <w:t>th</w:t>
      </w:r>
      <w:r w:rsidR="0062510F">
        <w:rPr>
          <w:rFonts w:hint="eastAsia"/>
          <w:szCs w:val="21"/>
        </w:rPr>
        <w:t xml:space="preserve"> slot in IAB-MT if the next slot is tent to be </w:t>
      </w:r>
      <w:r w:rsidR="0062510F">
        <w:rPr>
          <w:szCs w:val="21"/>
        </w:rPr>
        <w:t>assigned</w:t>
      </w:r>
      <w:r w:rsidR="0062510F">
        <w:rPr>
          <w:rFonts w:hint="eastAsia"/>
          <w:szCs w:val="21"/>
        </w:rPr>
        <w:t xml:space="preserve"> for IAB-DU DL transmission. Hence this should be considered further </w:t>
      </w:r>
      <w:r w:rsidR="00341535">
        <w:rPr>
          <w:rFonts w:hint="eastAsia"/>
          <w:szCs w:val="21"/>
        </w:rPr>
        <w:t xml:space="preserve">based on RAN1 design. </w:t>
      </w:r>
      <w:r w:rsidR="00330269">
        <w:rPr>
          <w:rFonts w:hint="eastAsia"/>
          <w:szCs w:val="21"/>
        </w:rPr>
        <w:t>For other slots marked with r</w:t>
      </w:r>
      <w:r w:rsidR="00330269">
        <w:rPr>
          <w:szCs w:val="21"/>
        </w:rPr>
        <w:t xml:space="preserve">ed </w:t>
      </w:r>
      <w:r w:rsidR="00330269">
        <w:rPr>
          <w:rFonts w:hint="eastAsia"/>
          <w:szCs w:val="21"/>
        </w:rPr>
        <w:t>c</w:t>
      </w:r>
      <w:r w:rsidR="00330269">
        <w:rPr>
          <w:szCs w:val="21"/>
        </w:rPr>
        <w:t>ross</w:t>
      </w:r>
      <w:r w:rsidR="00330269">
        <w:rPr>
          <w:rFonts w:hint="eastAsia"/>
          <w:szCs w:val="21"/>
        </w:rPr>
        <w:t xml:space="preserve">, they </w:t>
      </w:r>
      <w:r w:rsidR="00330269">
        <w:rPr>
          <w:szCs w:val="21"/>
        </w:rPr>
        <w:t>cannot</w:t>
      </w:r>
      <w:r w:rsidR="00330269">
        <w:rPr>
          <w:rFonts w:hint="eastAsia"/>
          <w:szCs w:val="21"/>
        </w:rPr>
        <w:t xml:space="preserve"> support operation </w:t>
      </w:r>
      <w:r w:rsidR="00330269">
        <w:rPr>
          <w:szCs w:val="21"/>
        </w:rPr>
        <w:t>simultaneously</w:t>
      </w:r>
      <w:r w:rsidR="00330269">
        <w:rPr>
          <w:rFonts w:hint="eastAsia"/>
          <w:szCs w:val="21"/>
        </w:rPr>
        <w:t xml:space="preserve"> on IAB-MT and IAB-DU due to half-duplex restriction. And for the slot with question mark, it depends on the slot format for the slot.</w:t>
      </w:r>
    </w:p>
    <w:p w:rsidR="00341535" w:rsidRDefault="00341535" w:rsidP="00036077">
      <w:pPr>
        <w:rPr>
          <w:szCs w:val="21"/>
        </w:rPr>
      </w:pPr>
    </w:p>
    <w:p w:rsidR="00341535" w:rsidRPr="00341535" w:rsidRDefault="00341535" w:rsidP="00036077">
      <w:pPr>
        <w:rPr>
          <w:b/>
          <w:szCs w:val="21"/>
        </w:rPr>
      </w:pPr>
      <w:r w:rsidRPr="00341535">
        <w:rPr>
          <w:rFonts w:hint="eastAsia"/>
          <w:b/>
          <w:szCs w:val="21"/>
        </w:rPr>
        <w:t>Observation 3</w:t>
      </w:r>
      <w:r w:rsidRPr="00341535">
        <w:rPr>
          <w:rFonts w:hint="eastAsia"/>
          <w:szCs w:val="21"/>
        </w:rPr>
        <w:t>:</w:t>
      </w:r>
      <w:r>
        <w:rPr>
          <w:rFonts w:hint="eastAsia"/>
          <w:b/>
          <w:szCs w:val="21"/>
        </w:rPr>
        <w:t xml:space="preserve"> </w:t>
      </w:r>
      <w:r w:rsidR="005C1E99">
        <w:rPr>
          <w:rFonts w:hint="eastAsia"/>
          <w:szCs w:val="21"/>
        </w:rPr>
        <w:t xml:space="preserve">according to OTA </w:t>
      </w:r>
      <w:r w:rsidR="009C06F5">
        <w:rPr>
          <w:szCs w:val="21"/>
        </w:rPr>
        <w:t>“</w:t>
      </w:r>
      <w:r w:rsidR="005C1E99">
        <w:rPr>
          <w:rFonts w:hint="eastAsia"/>
          <w:szCs w:val="21"/>
        </w:rPr>
        <w:t>case 1</w:t>
      </w:r>
      <w:r w:rsidR="009C06F5">
        <w:rPr>
          <w:szCs w:val="21"/>
        </w:rPr>
        <w:t>”</w:t>
      </w:r>
      <w:r w:rsidR="005C1E99">
        <w:rPr>
          <w:rFonts w:hint="eastAsia"/>
          <w:szCs w:val="21"/>
        </w:rPr>
        <w:t xml:space="preserve"> timing of IAB-DU DL transmission, there would be </w:t>
      </w:r>
      <w:r w:rsidR="005C1E99">
        <w:rPr>
          <w:szCs w:val="21"/>
        </w:rPr>
        <w:t>misalignment</w:t>
      </w:r>
      <w:r w:rsidR="005C1E99">
        <w:rPr>
          <w:rFonts w:hint="eastAsia"/>
          <w:szCs w:val="21"/>
        </w:rPr>
        <w:t xml:space="preserve"> between reception timing of IAB-MT DL and IAB-DU UL, between transmission timing of IAB-MT UL</w:t>
      </w:r>
      <w:r w:rsidR="009C06F5">
        <w:rPr>
          <w:rFonts w:hint="eastAsia"/>
          <w:szCs w:val="21"/>
        </w:rPr>
        <w:t xml:space="preserve"> and IAB-DU </w:t>
      </w:r>
      <w:r w:rsidR="009C06F5">
        <w:rPr>
          <w:rFonts w:hint="eastAsia"/>
          <w:szCs w:val="21"/>
        </w:rPr>
        <w:lastRenderedPageBreak/>
        <w:t xml:space="preserve">DL. </w:t>
      </w:r>
    </w:p>
    <w:p w:rsidR="007D3854" w:rsidRDefault="0062510F" w:rsidP="00036077">
      <w:r>
        <w:object w:dxaOrig="3628" w:dyaOrig="3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74.5pt" o:ole="">
            <v:imagedata r:id="rId10" o:title=""/>
          </v:shape>
          <o:OLEObject Type="Embed" ProgID="Visio.Drawing.11" ShapeID="_x0000_i1025" DrawAspect="Content" ObjectID="_1618333517" r:id="rId11"/>
        </w:object>
      </w:r>
      <w:r w:rsidR="009D2968" w:rsidRPr="009D2968">
        <w:t xml:space="preserve"> </w:t>
      </w:r>
      <w:r>
        <w:object w:dxaOrig="5922" w:dyaOrig="3191">
          <v:shape id="_x0000_i1026" type="#_x0000_t75" style="width:278.5pt;height:150pt" o:ole="">
            <v:imagedata r:id="rId12" o:title=""/>
          </v:shape>
          <o:OLEObject Type="Embed" ProgID="Visio.Drawing.11" ShapeID="_x0000_i1026" DrawAspect="Content" ObjectID="_1618333518" r:id="rId13"/>
        </w:object>
      </w:r>
    </w:p>
    <w:p w:rsidR="009D2968" w:rsidRPr="009D2968" w:rsidRDefault="009D2968" w:rsidP="009D2968">
      <w:pPr>
        <w:ind w:firstLineChars="100" w:firstLine="211"/>
        <w:rPr>
          <w:b/>
          <w:noProof/>
        </w:rPr>
      </w:pPr>
      <w:r w:rsidRPr="009D2968">
        <w:rPr>
          <w:rFonts w:hint="eastAsia"/>
          <w:b/>
          <w:noProof/>
        </w:rPr>
        <w:t xml:space="preserve">Figure 2: OTA sync case 1     </w:t>
      </w:r>
      <w:r>
        <w:rPr>
          <w:rFonts w:hint="eastAsia"/>
          <w:b/>
          <w:noProof/>
        </w:rPr>
        <w:t xml:space="preserve">         </w:t>
      </w:r>
      <w:r w:rsidRPr="009D2968">
        <w:rPr>
          <w:rFonts w:hint="eastAsia"/>
          <w:b/>
          <w:noProof/>
        </w:rPr>
        <w:t xml:space="preserve">              Figure 3: example of slot format of MT and DU</w:t>
      </w:r>
    </w:p>
    <w:p w:rsidR="00341535" w:rsidRDefault="00341535" w:rsidP="00036077">
      <w:pPr>
        <w:rPr>
          <w:szCs w:val="21"/>
        </w:rPr>
      </w:pPr>
    </w:p>
    <w:p w:rsidR="00264CF1" w:rsidRDefault="009D2968" w:rsidP="00036077">
      <w:pPr>
        <w:rPr>
          <w:szCs w:val="21"/>
        </w:rPr>
      </w:pPr>
      <w:r>
        <w:rPr>
          <w:rFonts w:hint="eastAsia"/>
          <w:szCs w:val="21"/>
        </w:rPr>
        <w:t>In addition</w:t>
      </w:r>
      <w:r w:rsidR="00264CF1" w:rsidRPr="00264CF1">
        <w:rPr>
          <w:rFonts w:hint="eastAsia"/>
          <w:szCs w:val="21"/>
        </w:rPr>
        <w:t>, it</w:t>
      </w:r>
      <w:r w:rsidR="003E1BCB">
        <w:rPr>
          <w:rFonts w:hint="eastAsia"/>
          <w:szCs w:val="21"/>
        </w:rPr>
        <w:t xml:space="preserve"> should be pointed out that in legacy LTE RF spec the TDD synchronized operation and unsynchronized operation are defined as below. It would be believed as applicable for </w:t>
      </w:r>
      <w:r w:rsidR="000C54C6">
        <w:rPr>
          <w:rFonts w:hint="eastAsia"/>
          <w:szCs w:val="21"/>
        </w:rPr>
        <w:t xml:space="preserve">normal </w:t>
      </w:r>
      <w:r w:rsidR="003E1BCB">
        <w:rPr>
          <w:rFonts w:hint="eastAsia"/>
          <w:szCs w:val="21"/>
        </w:rPr>
        <w:t>NR</w:t>
      </w:r>
      <w:r w:rsidR="000C54C6">
        <w:rPr>
          <w:rFonts w:hint="eastAsia"/>
          <w:szCs w:val="21"/>
        </w:rPr>
        <w:t xml:space="preserve"> </w:t>
      </w:r>
      <w:r w:rsidR="000C54C6">
        <w:rPr>
          <w:szCs w:val="21"/>
        </w:rPr>
        <w:t>operation</w:t>
      </w:r>
      <w:r w:rsidR="003E1BCB">
        <w:rPr>
          <w:rFonts w:hint="eastAsia"/>
          <w:szCs w:val="21"/>
        </w:rPr>
        <w:t xml:space="preserve"> as well. </w:t>
      </w:r>
      <w:r w:rsidR="000C54C6">
        <w:rPr>
          <w:rFonts w:hint="eastAsia"/>
          <w:szCs w:val="21"/>
        </w:rPr>
        <w:t xml:space="preserve">And as indicated in CLI </w:t>
      </w:r>
      <w:r w:rsidR="000C54C6">
        <w:rPr>
          <w:szCs w:val="21"/>
        </w:rPr>
        <w:t>discussion</w:t>
      </w:r>
      <w:r w:rsidR="000C54C6">
        <w:rPr>
          <w:rFonts w:hint="eastAsia"/>
          <w:szCs w:val="21"/>
        </w:rPr>
        <w:t>, the current RF requirement does not consider dynamic TD</w:t>
      </w:r>
      <w:r w:rsidR="00992034">
        <w:rPr>
          <w:rFonts w:hint="eastAsia"/>
          <w:szCs w:val="21"/>
        </w:rPr>
        <w:t xml:space="preserve">D case. </w:t>
      </w:r>
    </w:p>
    <w:p w:rsidR="003E1BCB" w:rsidRPr="003E1BCB" w:rsidRDefault="00330269" w:rsidP="003E1BCB">
      <w:pPr>
        <w:rPr>
          <w:rFonts w:ascii="Times New Roman" w:hAnsi="Times New Roman" w:cs="Times New Roman"/>
          <w:shd w:val="pct15" w:color="auto" w:fill="FFFFFF"/>
        </w:rPr>
      </w:pPr>
      <w:r>
        <w:rPr>
          <w:rFonts w:hint="eastAsia"/>
          <w:noProof/>
          <w:szCs w:val="21"/>
        </w:rPr>
        <mc:AlternateContent>
          <mc:Choice Requires="wps">
            <w:drawing>
              <wp:anchor distT="0" distB="0" distL="114300" distR="114300" simplePos="0" relativeHeight="251664384" behindDoc="0" locked="0" layoutInCell="1" allowOverlap="1" wp14:anchorId="0351AAE9" wp14:editId="6F16600B">
                <wp:simplePos x="0" y="0"/>
                <wp:positionH relativeFrom="column">
                  <wp:posOffset>-95250</wp:posOffset>
                </wp:positionH>
                <wp:positionV relativeFrom="paragraph">
                  <wp:posOffset>40640</wp:posOffset>
                </wp:positionV>
                <wp:extent cx="6400800" cy="64135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400800" cy="6413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left:0;text-align:left;margin-left:-7.5pt;margin-top:3.2pt;width:7in;height:5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" filled="f" strokecolor="black [3213]" strokeweight=".5pt"/>
            </w:pict>
          </mc:Fallback>
        </mc:AlternateContent>
      </w:r>
      <w:r w:rsidR="003E1BCB" w:rsidRPr="003E1BCB">
        <w:rPr>
          <w:rFonts w:ascii="Times New Roman" w:hAnsi="Times New Roman" w:cs="Times New Roman"/>
          <w:shd w:val="pct15" w:color="auto" w:fill="FFFFFF"/>
        </w:rPr>
        <w:t>Synchronized operation: operation of TDD in two different systems, where no simultaneous uplink and downlink occur.</w:t>
      </w:r>
    </w:p>
    <w:p w:rsidR="003E1BCB" w:rsidRPr="003E1BCB" w:rsidRDefault="003E1BCB" w:rsidP="003E1BCB">
      <w:pPr>
        <w:tabs>
          <w:tab w:val="left" w:pos="2448"/>
          <w:tab w:val="left" w:pos="9468"/>
        </w:tabs>
        <w:spacing w:line="240" w:lineRule="exact"/>
        <w:rPr>
          <w:rFonts w:ascii="Times New Roman" w:hAnsi="Times New Roman" w:cs="Times New Roman"/>
          <w:shd w:val="pct15" w:color="auto" w:fill="FFFFFF"/>
        </w:rPr>
      </w:pPr>
      <w:r w:rsidRPr="003E1BCB">
        <w:rPr>
          <w:rFonts w:ascii="Times New Roman" w:hAnsi="Times New Roman" w:cs="Times New Roman"/>
          <w:shd w:val="pct15" w:color="auto" w:fill="FFFFFF"/>
        </w:rPr>
        <w:t>Unsynchronized operation: operation of TDD in two different systems, where the conditions for synchronized operation are not met.</w:t>
      </w:r>
    </w:p>
    <w:p w:rsidR="003E1BCB" w:rsidRDefault="00992034" w:rsidP="00036077">
      <w:pPr>
        <w:rPr>
          <w:szCs w:val="21"/>
        </w:rPr>
      </w:pPr>
      <w:r>
        <w:rPr>
          <w:rFonts w:hint="eastAsia"/>
          <w:szCs w:val="21"/>
        </w:rPr>
        <w:t xml:space="preserve">However, </w:t>
      </w:r>
      <w:r w:rsidR="006240DC">
        <w:rPr>
          <w:rFonts w:hint="eastAsia"/>
          <w:szCs w:val="21"/>
        </w:rPr>
        <w:t xml:space="preserve">how to </w:t>
      </w:r>
      <w:r w:rsidR="006240DC">
        <w:rPr>
          <w:szCs w:val="21"/>
        </w:rPr>
        <w:t>intemperate</w:t>
      </w:r>
      <w:r w:rsidR="0062510F">
        <w:rPr>
          <w:rFonts w:hint="eastAsia"/>
          <w:szCs w:val="21"/>
        </w:rPr>
        <w:t xml:space="preserve"> the </w:t>
      </w:r>
      <w:r w:rsidR="000C54C6">
        <w:rPr>
          <w:rFonts w:hint="eastAsia"/>
          <w:szCs w:val="21"/>
        </w:rPr>
        <w:t>synchronized operation between IAB system and adjacent legacy system needs further discus</w:t>
      </w:r>
      <w:r>
        <w:rPr>
          <w:rFonts w:hint="eastAsia"/>
          <w:szCs w:val="21"/>
        </w:rPr>
        <w:t xml:space="preserve">sion. </w:t>
      </w:r>
    </w:p>
    <w:p w:rsidR="00341535" w:rsidRDefault="00341535" w:rsidP="00036077">
      <w:pPr>
        <w:rPr>
          <w:szCs w:val="21"/>
        </w:rPr>
      </w:pPr>
    </w:p>
    <w:p w:rsidR="00992034" w:rsidRDefault="00992034" w:rsidP="00036077">
      <w:pPr>
        <w:rPr>
          <w:szCs w:val="21"/>
        </w:rPr>
      </w:pPr>
      <w:r w:rsidRPr="00992034">
        <w:rPr>
          <w:rFonts w:hint="eastAsia"/>
          <w:b/>
          <w:szCs w:val="21"/>
        </w:rPr>
        <w:t>Observation 4</w:t>
      </w:r>
      <w:r>
        <w:rPr>
          <w:rFonts w:hint="eastAsia"/>
          <w:szCs w:val="21"/>
        </w:rPr>
        <w:t xml:space="preserve">: according to </w:t>
      </w:r>
      <w:r>
        <w:rPr>
          <w:szCs w:val="21"/>
        </w:rPr>
        <w:t>legacy</w:t>
      </w:r>
      <w:r>
        <w:rPr>
          <w:rFonts w:hint="eastAsia"/>
          <w:szCs w:val="21"/>
        </w:rPr>
        <w:t xml:space="preserve"> definition of synchronized TDD operation, the definition of synchronized </w:t>
      </w:r>
      <w:r>
        <w:rPr>
          <w:szCs w:val="21"/>
        </w:rPr>
        <w:t>operation</w:t>
      </w:r>
      <w:r>
        <w:rPr>
          <w:rFonts w:hint="eastAsia"/>
          <w:szCs w:val="21"/>
        </w:rPr>
        <w:t xml:space="preserve"> between IAB system and legacy NR system needs further discussion. </w:t>
      </w:r>
    </w:p>
    <w:p w:rsidR="007F04A6" w:rsidRDefault="007F04A6" w:rsidP="00036077">
      <w:pPr>
        <w:rPr>
          <w:szCs w:val="21"/>
        </w:rPr>
      </w:pPr>
    </w:p>
    <w:p w:rsidR="00341535" w:rsidRPr="00341535" w:rsidRDefault="00341535" w:rsidP="00036077">
      <w:pPr>
        <w:rPr>
          <w:rStyle w:val="Strong"/>
          <w:u w:val="single"/>
        </w:rPr>
      </w:pPr>
      <w:r w:rsidRPr="00341535">
        <w:rPr>
          <w:rStyle w:val="Strong"/>
          <w:rFonts w:hint="eastAsia"/>
          <w:u w:val="single"/>
        </w:rPr>
        <w:t>CLI and RIM</w:t>
      </w:r>
    </w:p>
    <w:p w:rsidR="00341535" w:rsidRDefault="00341535" w:rsidP="00036077">
      <w:pPr>
        <w:rPr>
          <w:szCs w:val="21"/>
        </w:rPr>
      </w:pPr>
      <w:r>
        <w:rPr>
          <w:rFonts w:hint="eastAsia"/>
          <w:szCs w:val="21"/>
        </w:rPr>
        <w:t>According to IAB WID the CLI is removed from Rel-16 IAB scope with following note:</w:t>
      </w:r>
    </w:p>
    <w:p w:rsidR="00341535" w:rsidRPr="00341535" w:rsidRDefault="008C2657" w:rsidP="00341535">
      <w:pPr>
        <w:pStyle w:val="ListParagraph"/>
        <w:spacing w:before="60" w:after="60"/>
        <w:ind w:firstLineChars="0" w:firstLine="0"/>
        <w:rPr>
          <w:rFonts w:ascii="Times New Roman" w:eastAsiaTheme="minorEastAsia" w:hAnsi="Times New Roman" w:cs="Times New Roman"/>
          <w:kern w:val="2"/>
          <w:sz w:val="21"/>
          <w:szCs w:val="22"/>
          <w:shd w:val="pct15" w:color="auto" w:fill="FFFFFF"/>
        </w:rPr>
      </w:pPr>
      <w:r>
        <w:rPr>
          <w:rFonts w:hint="eastAsia"/>
          <w:noProof/>
          <w:szCs w:val="21"/>
        </w:rPr>
        <mc:AlternateContent>
          <mc:Choice Requires="wps">
            <w:drawing>
              <wp:anchor distT="0" distB="0" distL="114300" distR="114300" simplePos="0" relativeHeight="251662336" behindDoc="0" locked="0" layoutInCell="1" allowOverlap="1" wp14:anchorId="784F037A" wp14:editId="0A45684B">
                <wp:simplePos x="0" y="0"/>
                <wp:positionH relativeFrom="column">
                  <wp:posOffset>-38100</wp:posOffset>
                </wp:positionH>
                <wp:positionV relativeFrom="paragraph">
                  <wp:posOffset>15240</wp:posOffset>
                </wp:positionV>
                <wp:extent cx="6400800" cy="641350"/>
                <wp:effectExtent l="0" t="0" r="19050" b="25400"/>
                <wp:wrapNone/>
                <wp:docPr id="4" name="Rectangle 4"/>
                <wp:cNvGraphicFramePr/>
                <a:graphic xmlns:a="http://schemas.openxmlformats.org/drawingml/2006/main">
                  <a:graphicData uri="http://schemas.microsoft.com/office/word/2010/wordprocessingShape">
                    <wps:wsp>
                      <wps:cNvSpPr/>
                      <wps:spPr>
                        <a:xfrm>
                          <a:off x="0" y="0"/>
                          <a:ext cx="6400800" cy="6413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left:0;text-align:left;margin-left:-3pt;margin-top:1.2pt;width:7in;height:5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" filled="f" strokecolor="black [3213]" strokeweight=".5pt"/>
            </w:pict>
          </mc:Fallback>
        </mc:AlternateContent>
      </w:r>
      <w:r w:rsidR="00341535" w:rsidRPr="00341535">
        <w:rPr>
          <w:rFonts w:ascii="Times New Roman" w:eastAsiaTheme="minorEastAsia" w:hAnsi="Times New Roman" w:cs="Times New Roman"/>
          <w:kern w:val="2"/>
          <w:sz w:val="21"/>
          <w:szCs w:val="22"/>
          <w:shd w:val="pct15" w:color="auto" w:fill="FFFFFF"/>
        </w:rPr>
        <w:t xml:space="preserve">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 </w:t>
      </w:r>
    </w:p>
    <w:p w:rsidR="00341535" w:rsidRPr="00341535" w:rsidRDefault="005C1E99" w:rsidP="00036077">
      <w:pPr>
        <w:rPr>
          <w:szCs w:val="21"/>
        </w:rPr>
      </w:pPr>
      <w:r w:rsidRPr="007F04A6">
        <w:rPr>
          <w:rFonts w:hint="eastAsia"/>
          <w:b/>
          <w:szCs w:val="21"/>
        </w:rPr>
        <w:t>Observation</w:t>
      </w:r>
      <w:r w:rsidR="007F04A6" w:rsidRPr="007F04A6">
        <w:rPr>
          <w:rFonts w:hint="eastAsia"/>
          <w:b/>
          <w:szCs w:val="21"/>
        </w:rPr>
        <w:t xml:space="preserve"> </w:t>
      </w:r>
      <w:r w:rsidR="00992034">
        <w:rPr>
          <w:rFonts w:hint="eastAsia"/>
          <w:b/>
          <w:szCs w:val="21"/>
        </w:rPr>
        <w:t>5</w:t>
      </w:r>
      <w:r w:rsidR="00992034">
        <w:rPr>
          <w:rFonts w:hint="eastAsia"/>
          <w:szCs w:val="21"/>
        </w:rPr>
        <w:t xml:space="preserve">: even though the scenarios considered in CLI co-existence study, such as interference from </w:t>
      </w:r>
      <w:proofErr w:type="spellStart"/>
      <w:r w:rsidR="00992034">
        <w:rPr>
          <w:rFonts w:hint="eastAsia"/>
          <w:szCs w:val="21"/>
        </w:rPr>
        <w:t>gNB</w:t>
      </w:r>
      <w:proofErr w:type="spellEnd"/>
      <w:r w:rsidR="00992034">
        <w:rPr>
          <w:rFonts w:hint="eastAsia"/>
          <w:szCs w:val="21"/>
        </w:rPr>
        <w:t xml:space="preserve"> to </w:t>
      </w:r>
      <w:proofErr w:type="spellStart"/>
      <w:r w:rsidR="00992034">
        <w:rPr>
          <w:rFonts w:hint="eastAsia"/>
          <w:szCs w:val="21"/>
        </w:rPr>
        <w:t>gNB</w:t>
      </w:r>
      <w:proofErr w:type="spellEnd"/>
      <w:r w:rsidR="00992034">
        <w:rPr>
          <w:rFonts w:hint="eastAsia"/>
          <w:szCs w:val="21"/>
        </w:rPr>
        <w:t xml:space="preserve"> and interference from UE to </w:t>
      </w:r>
      <w:proofErr w:type="gramStart"/>
      <w:r w:rsidR="00992034">
        <w:rPr>
          <w:rFonts w:hint="eastAsia"/>
          <w:szCs w:val="21"/>
        </w:rPr>
        <w:t>UE,</w:t>
      </w:r>
      <w:proofErr w:type="gramEnd"/>
      <w:r w:rsidR="00992034">
        <w:rPr>
          <w:rFonts w:hint="eastAsia"/>
          <w:szCs w:val="21"/>
        </w:rPr>
        <w:t xml:space="preserve"> is not in IAB scope, the </w:t>
      </w:r>
      <w:r w:rsidR="00992034">
        <w:rPr>
          <w:szCs w:val="21"/>
        </w:rPr>
        <w:t>conclusion</w:t>
      </w:r>
      <w:r w:rsidR="00992034">
        <w:rPr>
          <w:rFonts w:hint="eastAsia"/>
          <w:szCs w:val="21"/>
        </w:rPr>
        <w:t xml:space="preserve"> of CLI co-existence study can be considered for IAB as well.   </w:t>
      </w:r>
    </w:p>
    <w:p w:rsidR="00F02DC4" w:rsidRPr="00DF4456" w:rsidRDefault="008200CF" w:rsidP="00DF4456">
      <w:pPr>
        <w:pStyle w:val="Heading1"/>
        <w:rPr>
          <w:rFonts w:cs="Arial"/>
          <w:lang w:eastAsia="zh-CN"/>
        </w:rPr>
      </w:pPr>
      <w:r>
        <w:rPr>
          <w:rFonts w:cs="Arial" w:hint="eastAsia"/>
          <w:lang w:eastAsia="zh-CN"/>
        </w:rPr>
        <w:t>Summary</w:t>
      </w:r>
    </w:p>
    <w:p w:rsidR="0009104B" w:rsidRDefault="0009104B" w:rsidP="0071351D">
      <w:pPr>
        <w:spacing w:afterLines="50" w:after="156"/>
        <w:rPr>
          <w:rFonts w:cstheme="minorHAnsi"/>
          <w:szCs w:val="21"/>
        </w:rPr>
      </w:pPr>
      <w:r>
        <w:rPr>
          <w:rFonts w:cstheme="minorHAnsi" w:hint="eastAsia"/>
          <w:szCs w:val="21"/>
        </w:rPr>
        <w:t xml:space="preserve">In this contribution we discussed on Rel-16 IAB scope with below proposal and </w:t>
      </w:r>
      <w:r>
        <w:rPr>
          <w:rFonts w:cstheme="minorHAnsi"/>
          <w:szCs w:val="21"/>
        </w:rPr>
        <w:t>observations</w:t>
      </w:r>
      <w:r>
        <w:rPr>
          <w:rFonts w:cstheme="minorHAnsi" w:hint="eastAsia"/>
          <w:szCs w:val="21"/>
        </w:rPr>
        <w:t>:</w:t>
      </w:r>
    </w:p>
    <w:p w:rsidR="0009104B" w:rsidRDefault="0009104B" w:rsidP="0009104B">
      <w:pPr>
        <w:rPr>
          <w:szCs w:val="21"/>
        </w:rPr>
      </w:pPr>
      <w:r w:rsidRPr="005518A8">
        <w:rPr>
          <w:rFonts w:hint="eastAsia"/>
          <w:b/>
          <w:szCs w:val="21"/>
        </w:rPr>
        <w:t>Proposal 1</w:t>
      </w:r>
      <w:r>
        <w:rPr>
          <w:rFonts w:hint="eastAsia"/>
          <w:szCs w:val="21"/>
        </w:rPr>
        <w:t xml:space="preserve">: </w:t>
      </w:r>
      <w:r>
        <w:rPr>
          <w:szCs w:val="21"/>
        </w:rPr>
        <w:t>it’s</w:t>
      </w:r>
      <w:r>
        <w:rPr>
          <w:rFonts w:hint="eastAsia"/>
          <w:szCs w:val="21"/>
        </w:rPr>
        <w:t xml:space="preserve"> expected the introduction of Rel-16 IAB node shall have no impact on below existing BS and UE specifications from RF performance perspective.</w:t>
      </w:r>
    </w:p>
    <w:p w:rsidR="0009104B" w:rsidRPr="005518A8" w:rsidRDefault="0009104B" w:rsidP="0009104B">
      <w:pPr>
        <w:pStyle w:val="ListParagraph"/>
        <w:numPr>
          <w:ilvl w:val="0"/>
          <w:numId w:val="19"/>
        </w:numPr>
        <w:ind w:firstLineChars="0"/>
        <w:rPr>
          <w:rFonts w:asciiTheme="minorHAnsi" w:eastAsiaTheme="minorEastAsia" w:hAnsiTheme="minorHAnsi" w:cstheme="minorBidi"/>
          <w:kern w:val="2"/>
          <w:sz w:val="21"/>
          <w:szCs w:val="21"/>
        </w:rPr>
      </w:pPr>
      <w:r w:rsidRPr="005518A8">
        <w:rPr>
          <w:rFonts w:asciiTheme="minorHAnsi" w:eastAsiaTheme="minorEastAsia" w:hAnsiTheme="minorHAnsi" w:cstheme="minorBidi" w:hint="eastAsia"/>
          <w:kern w:val="2"/>
          <w:sz w:val="21"/>
          <w:szCs w:val="21"/>
        </w:rPr>
        <w:t>TS38.104</w:t>
      </w:r>
    </w:p>
    <w:p w:rsidR="0009104B" w:rsidRPr="005518A8" w:rsidRDefault="0009104B" w:rsidP="0009104B">
      <w:pPr>
        <w:pStyle w:val="ListParagraph"/>
        <w:numPr>
          <w:ilvl w:val="0"/>
          <w:numId w:val="19"/>
        </w:numPr>
        <w:ind w:firstLineChars="0"/>
        <w:rPr>
          <w:rFonts w:asciiTheme="minorHAnsi" w:eastAsiaTheme="minorEastAsia" w:hAnsiTheme="minorHAnsi" w:cstheme="minorBidi"/>
          <w:kern w:val="2"/>
          <w:sz w:val="21"/>
          <w:szCs w:val="21"/>
        </w:rPr>
      </w:pPr>
      <w:r w:rsidRPr="005518A8">
        <w:rPr>
          <w:rFonts w:asciiTheme="minorHAnsi" w:eastAsiaTheme="minorEastAsia" w:hAnsiTheme="minorHAnsi" w:cstheme="minorBidi" w:hint="eastAsia"/>
          <w:kern w:val="2"/>
          <w:sz w:val="21"/>
          <w:szCs w:val="21"/>
        </w:rPr>
        <w:lastRenderedPageBreak/>
        <w:t>TS38.101-1/2/3/4</w:t>
      </w:r>
    </w:p>
    <w:p w:rsidR="0009104B" w:rsidRPr="0009104B" w:rsidRDefault="0009104B" w:rsidP="0009104B">
      <w:pPr>
        <w:spacing w:before="60" w:after="60"/>
        <w:rPr>
          <w:szCs w:val="21"/>
        </w:rPr>
      </w:pPr>
      <w:r w:rsidRPr="0009104B">
        <w:rPr>
          <w:rFonts w:hint="eastAsia"/>
          <w:b/>
          <w:szCs w:val="21"/>
        </w:rPr>
        <w:t xml:space="preserve">Observation 1: </w:t>
      </w:r>
      <w:r w:rsidRPr="0009104B">
        <w:rPr>
          <w:rFonts w:hint="eastAsia"/>
          <w:szCs w:val="21"/>
        </w:rPr>
        <w:t>the FDM and SDM resource sharing among backhaul and access links may be not in Rel-16 scope.</w:t>
      </w:r>
    </w:p>
    <w:p w:rsidR="0009104B" w:rsidRDefault="0009104B" w:rsidP="0009104B">
      <w:pPr>
        <w:spacing w:afterLines="50" w:after="156"/>
        <w:rPr>
          <w:szCs w:val="21"/>
        </w:rPr>
      </w:pPr>
      <w:r w:rsidRPr="0000478F">
        <w:rPr>
          <w:rFonts w:hint="eastAsia"/>
          <w:b/>
          <w:szCs w:val="21"/>
        </w:rPr>
        <w:t xml:space="preserve">Observation </w:t>
      </w:r>
      <w:r>
        <w:rPr>
          <w:rFonts w:hint="eastAsia"/>
          <w:b/>
          <w:szCs w:val="21"/>
        </w:rPr>
        <w:t>2</w:t>
      </w:r>
      <w:r>
        <w:rPr>
          <w:rFonts w:hint="eastAsia"/>
          <w:szCs w:val="21"/>
        </w:rPr>
        <w:t xml:space="preserve">: simultaneously transmission of IAB-MT and IAB-DU, simultaneously reception of IAB-MT and IAB-DU seems not precluded from Rel-16 IAB scope, which is also related to slot format of IAB-MT and IAB-DU. </w:t>
      </w:r>
    </w:p>
    <w:p w:rsidR="0009104B" w:rsidRPr="00341535" w:rsidRDefault="0009104B" w:rsidP="0009104B">
      <w:pPr>
        <w:rPr>
          <w:b/>
          <w:szCs w:val="21"/>
        </w:rPr>
      </w:pPr>
      <w:r w:rsidRPr="00341535">
        <w:rPr>
          <w:rFonts w:hint="eastAsia"/>
          <w:b/>
          <w:szCs w:val="21"/>
        </w:rPr>
        <w:t>Observation 3</w:t>
      </w:r>
      <w:r w:rsidRPr="00341535">
        <w:rPr>
          <w:rFonts w:hint="eastAsia"/>
          <w:szCs w:val="21"/>
        </w:rPr>
        <w:t>:</w:t>
      </w:r>
      <w:r>
        <w:rPr>
          <w:rFonts w:hint="eastAsia"/>
          <w:b/>
          <w:szCs w:val="21"/>
        </w:rPr>
        <w:t xml:space="preserve"> </w:t>
      </w:r>
      <w:r>
        <w:rPr>
          <w:rFonts w:hint="eastAsia"/>
          <w:szCs w:val="21"/>
        </w:rPr>
        <w:t xml:space="preserve">according to OTA </w:t>
      </w:r>
      <w:r>
        <w:rPr>
          <w:szCs w:val="21"/>
        </w:rPr>
        <w:t>“</w:t>
      </w:r>
      <w:r>
        <w:rPr>
          <w:rFonts w:hint="eastAsia"/>
          <w:szCs w:val="21"/>
        </w:rPr>
        <w:t>case 1</w:t>
      </w:r>
      <w:r>
        <w:rPr>
          <w:szCs w:val="21"/>
        </w:rPr>
        <w:t>”</w:t>
      </w:r>
      <w:r>
        <w:rPr>
          <w:rFonts w:hint="eastAsia"/>
          <w:szCs w:val="21"/>
        </w:rPr>
        <w:t xml:space="preserve"> timing of IAB-DU DL transmission, there would be </w:t>
      </w:r>
      <w:r>
        <w:rPr>
          <w:szCs w:val="21"/>
        </w:rPr>
        <w:t>misalignment</w:t>
      </w:r>
      <w:r>
        <w:rPr>
          <w:rFonts w:hint="eastAsia"/>
          <w:szCs w:val="21"/>
        </w:rPr>
        <w:t xml:space="preserve"> between reception timing of IAB-MT DL and IAB-DU UL, between transmission timing of IAB-MT UL and IAB-DU DL. </w:t>
      </w:r>
    </w:p>
    <w:p w:rsidR="0009104B" w:rsidRDefault="0009104B" w:rsidP="0009104B">
      <w:pPr>
        <w:rPr>
          <w:szCs w:val="21"/>
        </w:rPr>
      </w:pPr>
      <w:r w:rsidRPr="00992034">
        <w:rPr>
          <w:rFonts w:hint="eastAsia"/>
          <w:b/>
          <w:szCs w:val="21"/>
        </w:rPr>
        <w:t>Observation 4</w:t>
      </w:r>
      <w:r>
        <w:rPr>
          <w:rFonts w:hint="eastAsia"/>
          <w:szCs w:val="21"/>
        </w:rPr>
        <w:t xml:space="preserve">: according to </w:t>
      </w:r>
      <w:r>
        <w:rPr>
          <w:szCs w:val="21"/>
        </w:rPr>
        <w:t>legacy</w:t>
      </w:r>
      <w:r>
        <w:rPr>
          <w:rFonts w:hint="eastAsia"/>
          <w:szCs w:val="21"/>
        </w:rPr>
        <w:t xml:space="preserve"> definition of synchronized TDD operation, the definition of synchronized </w:t>
      </w:r>
      <w:r>
        <w:rPr>
          <w:szCs w:val="21"/>
        </w:rPr>
        <w:t>operation</w:t>
      </w:r>
      <w:r>
        <w:rPr>
          <w:rFonts w:hint="eastAsia"/>
          <w:szCs w:val="21"/>
        </w:rPr>
        <w:t xml:space="preserve"> between IAB system and legacy NR system needs further discussion. </w:t>
      </w:r>
    </w:p>
    <w:p w:rsidR="00264CF1" w:rsidRPr="0009104B" w:rsidRDefault="0009104B" w:rsidP="0009104B">
      <w:pPr>
        <w:rPr>
          <w:szCs w:val="21"/>
        </w:rPr>
      </w:pPr>
      <w:r w:rsidRPr="007F04A6">
        <w:rPr>
          <w:rFonts w:hint="eastAsia"/>
          <w:b/>
          <w:szCs w:val="21"/>
        </w:rPr>
        <w:t xml:space="preserve">Observation </w:t>
      </w:r>
      <w:r>
        <w:rPr>
          <w:rFonts w:hint="eastAsia"/>
          <w:b/>
          <w:szCs w:val="21"/>
        </w:rPr>
        <w:t>5</w:t>
      </w:r>
      <w:r>
        <w:rPr>
          <w:rFonts w:hint="eastAsia"/>
          <w:szCs w:val="21"/>
        </w:rPr>
        <w:t xml:space="preserve">: even though the scenarios considered in CLI co-existence study, such as interference from </w:t>
      </w:r>
      <w:proofErr w:type="spellStart"/>
      <w:r>
        <w:rPr>
          <w:rFonts w:hint="eastAsia"/>
          <w:szCs w:val="21"/>
        </w:rPr>
        <w:t>gNB</w:t>
      </w:r>
      <w:proofErr w:type="spellEnd"/>
      <w:r>
        <w:rPr>
          <w:rFonts w:hint="eastAsia"/>
          <w:szCs w:val="21"/>
        </w:rPr>
        <w:t xml:space="preserve"> to </w:t>
      </w:r>
      <w:proofErr w:type="spellStart"/>
      <w:r>
        <w:rPr>
          <w:rFonts w:hint="eastAsia"/>
          <w:szCs w:val="21"/>
        </w:rPr>
        <w:t>gNB</w:t>
      </w:r>
      <w:proofErr w:type="spellEnd"/>
      <w:r>
        <w:rPr>
          <w:rFonts w:hint="eastAsia"/>
          <w:szCs w:val="21"/>
        </w:rPr>
        <w:t xml:space="preserve"> and interference from UE to </w:t>
      </w:r>
      <w:proofErr w:type="gramStart"/>
      <w:r>
        <w:rPr>
          <w:rFonts w:hint="eastAsia"/>
          <w:szCs w:val="21"/>
        </w:rPr>
        <w:t>UE,</w:t>
      </w:r>
      <w:proofErr w:type="gramEnd"/>
      <w:r>
        <w:rPr>
          <w:rFonts w:hint="eastAsia"/>
          <w:szCs w:val="21"/>
        </w:rPr>
        <w:t xml:space="preserve"> is not in IAB scope, the </w:t>
      </w:r>
      <w:r>
        <w:rPr>
          <w:szCs w:val="21"/>
        </w:rPr>
        <w:t>conclusion</w:t>
      </w:r>
      <w:r>
        <w:rPr>
          <w:rFonts w:hint="eastAsia"/>
          <w:szCs w:val="21"/>
        </w:rPr>
        <w:t xml:space="preserve"> of CLI co-existence study can be considered for IAB as well.   </w:t>
      </w:r>
    </w:p>
    <w:p w:rsidR="004914E1" w:rsidRPr="00E63F56" w:rsidRDefault="000316D6" w:rsidP="00E63F56">
      <w:pPr>
        <w:pStyle w:val="Heading1"/>
        <w:rPr>
          <w:rFonts w:cs="Arial"/>
          <w:lang w:eastAsia="zh-CN"/>
        </w:rPr>
      </w:pPr>
      <w:r>
        <w:rPr>
          <w:rFonts w:cs="Arial" w:hint="eastAsia"/>
          <w:lang w:eastAsia="zh-CN"/>
        </w:rPr>
        <w:t>Reference</w:t>
      </w:r>
    </w:p>
    <w:p w:rsidR="008F0575" w:rsidRDefault="008F0575"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[1] R4-1905104, </w:t>
      </w:r>
      <w:r w:rsidRPr="008F0575">
        <w:rPr>
          <w:rFonts w:asciiTheme="minorHAnsi" w:hAnsiTheme="minorHAnsi" w:cstheme="minorBidi"/>
          <w:b w:val="0"/>
          <w:kern w:val="2"/>
          <w:sz w:val="21"/>
          <w:szCs w:val="22"/>
          <w:lang w:val="en-US" w:eastAsia="zh-CN"/>
        </w:rPr>
        <w:t>IAB RAN4 Work Plan</w:t>
      </w:r>
    </w:p>
    <w:p w:rsidR="008F0575" w:rsidRDefault="008F0575"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TR38.874: </w:t>
      </w:r>
      <w:r w:rsidRPr="00B26351">
        <w:rPr>
          <w:rFonts w:asciiTheme="minorHAnsi" w:hAnsiTheme="minorHAnsi" w:cstheme="minorBidi"/>
          <w:b w:val="0"/>
          <w:kern w:val="2"/>
          <w:sz w:val="21"/>
          <w:szCs w:val="22"/>
          <w:lang w:val="en-US" w:eastAsia="zh-CN"/>
        </w:rPr>
        <w:t>Study on Integrated Access and Backhaul</w:t>
      </w:r>
    </w:p>
    <w:p w:rsidR="00E63F56" w:rsidRDefault="00E63F56" w:rsidP="00E63F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[6] RP-190</w:t>
      </w:r>
      <w:r w:rsidR="00AB6235">
        <w:rPr>
          <w:rFonts w:asciiTheme="minorHAnsi" w:hAnsiTheme="minorHAnsi" w:cstheme="minorBidi" w:hint="eastAsia"/>
          <w:b w:val="0"/>
          <w:kern w:val="2"/>
          <w:sz w:val="21"/>
          <w:szCs w:val="22"/>
          <w:lang w:val="en-US" w:eastAsia="zh-CN"/>
        </w:rPr>
        <w:t>71</w:t>
      </w:r>
      <w:r>
        <w:rPr>
          <w:rFonts w:asciiTheme="minorHAnsi" w:hAnsiTheme="minorHAnsi" w:cstheme="minorBidi" w:hint="eastAsia"/>
          <w:b w:val="0"/>
          <w:kern w:val="2"/>
          <w:sz w:val="21"/>
          <w:szCs w:val="22"/>
          <w:lang w:val="en-US" w:eastAsia="zh-CN"/>
        </w:rPr>
        <w:t xml:space="preserve">2, </w:t>
      </w:r>
      <w:r w:rsidRPr="00B933A8">
        <w:rPr>
          <w:rFonts w:asciiTheme="minorHAnsi" w:hAnsiTheme="minorHAnsi" w:cstheme="minorBidi"/>
          <w:b w:val="0"/>
          <w:kern w:val="2"/>
          <w:sz w:val="21"/>
          <w:szCs w:val="22"/>
          <w:lang w:val="en-US" w:eastAsia="zh-CN"/>
        </w:rPr>
        <w:t>Integrated Access and Backhaul for NR</w:t>
      </w:r>
    </w:p>
    <w:p w:rsidR="00E63F56" w:rsidRPr="00E63F56" w:rsidRDefault="0000478F"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[3] R4-190</w:t>
      </w:r>
      <w:r w:rsidR="004C07B9">
        <w:rPr>
          <w:rFonts w:asciiTheme="minorHAnsi" w:hAnsiTheme="minorHAnsi" w:cstheme="minorBidi" w:hint="eastAsia"/>
          <w:b w:val="0"/>
          <w:kern w:val="2"/>
          <w:sz w:val="21"/>
          <w:szCs w:val="22"/>
          <w:lang w:val="en-US" w:eastAsia="zh-CN"/>
        </w:rPr>
        <w:t>5451</w:t>
      </w:r>
      <w:r>
        <w:rPr>
          <w:rFonts w:asciiTheme="minorHAnsi" w:hAnsiTheme="minorHAnsi" w:cstheme="minorBidi" w:hint="eastAsia"/>
          <w:b w:val="0"/>
          <w:kern w:val="2"/>
          <w:sz w:val="21"/>
          <w:szCs w:val="22"/>
          <w:lang w:val="en-US" w:eastAsia="zh-CN"/>
        </w:rPr>
        <w:t>, Discussi</w:t>
      </w:r>
      <w:bookmarkStart w:id="0" w:name="_GoBack"/>
      <w:bookmarkEnd w:id="0"/>
      <w:r>
        <w:rPr>
          <w:rFonts w:asciiTheme="minorHAnsi" w:hAnsiTheme="minorHAnsi" w:cstheme="minorBidi" w:hint="eastAsia"/>
          <w:b w:val="0"/>
          <w:kern w:val="2"/>
          <w:sz w:val="21"/>
          <w:szCs w:val="22"/>
          <w:lang w:val="en-US" w:eastAsia="zh-CN"/>
        </w:rPr>
        <w:t xml:space="preserve">on on </w:t>
      </w:r>
      <w:r w:rsidR="0009104B">
        <w:rPr>
          <w:rFonts w:asciiTheme="minorHAnsi" w:hAnsiTheme="minorHAnsi" w:cstheme="minorBidi" w:hint="eastAsia"/>
          <w:b w:val="0"/>
          <w:kern w:val="2"/>
          <w:sz w:val="21"/>
          <w:szCs w:val="22"/>
          <w:lang w:val="en-US" w:eastAsia="zh-CN"/>
        </w:rPr>
        <w:t>TS skeleton and terminology</w:t>
      </w:r>
    </w:p>
    <w:sectPr w:rsidR="00E63F56" w:rsidRPr="00E63F56"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A41" w:rsidRDefault="00A34A41" w:rsidP="00FF76F4">
      <w:r>
        <w:separator/>
      </w:r>
    </w:p>
  </w:endnote>
  <w:endnote w:type="continuationSeparator" w:id="0">
    <w:p w:rsidR="00A34A41" w:rsidRDefault="00A34A41"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A41" w:rsidRDefault="00A34A41" w:rsidP="00FF76F4">
      <w:r>
        <w:separator/>
      </w:r>
    </w:p>
  </w:footnote>
  <w:footnote w:type="continuationSeparator" w:id="0">
    <w:p w:rsidR="00A34A41" w:rsidRDefault="00A34A41"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4">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7"/>
  </w:num>
  <w:num w:numId="2">
    <w:abstractNumId w:val="11"/>
  </w:num>
  <w:num w:numId="3">
    <w:abstractNumId w:val="4"/>
  </w:num>
  <w:num w:numId="4">
    <w:abstractNumId w:val="8"/>
  </w:num>
  <w:num w:numId="5">
    <w:abstractNumId w:val="14"/>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1"/>
  </w:num>
  <w:num w:numId="10">
    <w:abstractNumId w:val="18"/>
  </w:num>
  <w:num w:numId="11">
    <w:abstractNumId w:val="9"/>
  </w:num>
  <w:num w:numId="12">
    <w:abstractNumId w:val="10"/>
  </w:num>
  <w:num w:numId="13">
    <w:abstractNumId w:val="3"/>
  </w:num>
  <w:num w:numId="14">
    <w:abstractNumId w:val="5"/>
  </w:num>
  <w:num w:numId="15">
    <w:abstractNumId w:val="2"/>
  </w:num>
  <w:num w:numId="16">
    <w:abstractNumId w:val="13"/>
  </w:num>
  <w:num w:numId="17">
    <w:abstractNumId w:val="15"/>
  </w:num>
  <w:num w:numId="18">
    <w:abstractNumId w:val="12"/>
  </w:num>
  <w:num w:numId="1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2BC0"/>
    <w:rsid w:val="000C243C"/>
    <w:rsid w:val="000C5302"/>
    <w:rsid w:val="000C54C6"/>
    <w:rsid w:val="000D3C64"/>
    <w:rsid w:val="000E254F"/>
    <w:rsid w:val="000E269A"/>
    <w:rsid w:val="000E34BE"/>
    <w:rsid w:val="000E3ED7"/>
    <w:rsid w:val="000E5E68"/>
    <w:rsid w:val="000E6A3A"/>
    <w:rsid w:val="000F0286"/>
    <w:rsid w:val="000F0FA3"/>
    <w:rsid w:val="000F4EB5"/>
    <w:rsid w:val="000F5165"/>
    <w:rsid w:val="000F53E9"/>
    <w:rsid w:val="00100301"/>
    <w:rsid w:val="00102A9E"/>
    <w:rsid w:val="001074A1"/>
    <w:rsid w:val="00111284"/>
    <w:rsid w:val="001118BE"/>
    <w:rsid w:val="00115241"/>
    <w:rsid w:val="001163EB"/>
    <w:rsid w:val="00121276"/>
    <w:rsid w:val="00131637"/>
    <w:rsid w:val="0013335E"/>
    <w:rsid w:val="00135DC0"/>
    <w:rsid w:val="00135E7C"/>
    <w:rsid w:val="0013726E"/>
    <w:rsid w:val="00143D1D"/>
    <w:rsid w:val="00162691"/>
    <w:rsid w:val="0017034F"/>
    <w:rsid w:val="00170B06"/>
    <w:rsid w:val="00173E9D"/>
    <w:rsid w:val="001754C2"/>
    <w:rsid w:val="0017557C"/>
    <w:rsid w:val="00175ACA"/>
    <w:rsid w:val="00182E67"/>
    <w:rsid w:val="00184E7E"/>
    <w:rsid w:val="001871AA"/>
    <w:rsid w:val="001876C0"/>
    <w:rsid w:val="00190331"/>
    <w:rsid w:val="00197EF8"/>
    <w:rsid w:val="001A24EE"/>
    <w:rsid w:val="001A5265"/>
    <w:rsid w:val="001B3133"/>
    <w:rsid w:val="001B55E0"/>
    <w:rsid w:val="001B6ED9"/>
    <w:rsid w:val="001C66F3"/>
    <w:rsid w:val="001D02BC"/>
    <w:rsid w:val="001D0887"/>
    <w:rsid w:val="001D5002"/>
    <w:rsid w:val="001D5E02"/>
    <w:rsid w:val="001D7324"/>
    <w:rsid w:val="001E749D"/>
    <w:rsid w:val="001F192F"/>
    <w:rsid w:val="002007FA"/>
    <w:rsid w:val="00207D97"/>
    <w:rsid w:val="00210B3E"/>
    <w:rsid w:val="00212625"/>
    <w:rsid w:val="00213744"/>
    <w:rsid w:val="00215310"/>
    <w:rsid w:val="00220EC2"/>
    <w:rsid w:val="00223B39"/>
    <w:rsid w:val="002277E9"/>
    <w:rsid w:val="002301BF"/>
    <w:rsid w:val="00230B99"/>
    <w:rsid w:val="0024181C"/>
    <w:rsid w:val="002418EC"/>
    <w:rsid w:val="00247675"/>
    <w:rsid w:val="00252606"/>
    <w:rsid w:val="00257B53"/>
    <w:rsid w:val="00260E9E"/>
    <w:rsid w:val="002611BB"/>
    <w:rsid w:val="00261C0C"/>
    <w:rsid w:val="00262C6C"/>
    <w:rsid w:val="00264CF1"/>
    <w:rsid w:val="0026676E"/>
    <w:rsid w:val="00267AAF"/>
    <w:rsid w:val="00271B14"/>
    <w:rsid w:val="0027316B"/>
    <w:rsid w:val="00281E20"/>
    <w:rsid w:val="00286C6A"/>
    <w:rsid w:val="00294C44"/>
    <w:rsid w:val="00295175"/>
    <w:rsid w:val="00297965"/>
    <w:rsid w:val="002A5A60"/>
    <w:rsid w:val="002B0953"/>
    <w:rsid w:val="002B1265"/>
    <w:rsid w:val="002C2435"/>
    <w:rsid w:val="002D33B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30269"/>
    <w:rsid w:val="00330D88"/>
    <w:rsid w:val="00330F3A"/>
    <w:rsid w:val="00333E6B"/>
    <w:rsid w:val="00334231"/>
    <w:rsid w:val="00336F41"/>
    <w:rsid w:val="00341535"/>
    <w:rsid w:val="003471B3"/>
    <w:rsid w:val="00347990"/>
    <w:rsid w:val="00352B38"/>
    <w:rsid w:val="003603A3"/>
    <w:rsid w:val="00360C89"/>
    <w:rsid w:val="0036113D"/>
    <w:rsid w:val="00362264"/>
    <w:rsid w:val="003623DE"/>
    <w:rsid w:val="00362F87"/>
    <w:rsid w:val="00365680"/>
    <w:rsid w:val="0037169F"/>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5CA7"/>
    <w:rsid w:val="003E1BCB"/>
    <w:rsid w:val="003E53C0"/>
    <w:rsid w:val="003F2522"/>
    <w:rsid w:val="003F3D0A"/>
    <w:rsid w:val="003F6833"/>
    <w:rsid w:val="00402FB6"/>
    <w:rsid w:val="004049D7"/>
    <w:rsid w:val="004154B5"/>
    <w:rsid w:val="0042000F"/>
    <w:rsid w:val="00420BBA"/>
    <w:rsid w:val="0042257B"/>
    <w:rsid w:val="004262D6"/>
    <w:rsid w:val="00427457"/>
    <w:rsid w:val="0042771E"/>
    <w:rsid w:val="00434276"/>
    <w:rsid w:val="0044026E"/>
    <w:rsid w:val="00445269"/>
    <w:rsid w:val="00447E1F"/>
    <w:rsid w:val="0045116C"/>
    <w:rsid w:val="00452999"/>
    <w:rsid w:val="00456040"/>
    <w:rsid w:val="00457F78"/>
    <w:rsid w:val="00461C52"/>
    <w:rsid w:val="00463740"/>
    <w:rsid w:val="00464581"/>
    <w:rsid w:val="00471EE8"/>
    <w:rsid w:val="00475927"/>
    <w:rsid w:val="00486410"/>
    <w:rsid w:val="004870CC"/>
    <w:rsid w:val="00490806"/>
    <w:rsid w:val="004914E1"/>
    <w:rsid w:val="00495BB4"/>
    <w:rsid w:val="00497B60"/>
    <w:rsid w:val="004B7958"/>
    <w:rsid w:val="004C07B9"/>
    <w:rsid w:val="004C0B85"/>
    <w:rsid w:val="004C3783"/>
    <w:rsid w:val="004C5873"/>
    <w:rsid w:val="004D08D4"/>
    <w:rsid w:val="004D2036"/>
    <w:rsid w:val="004D4B96"/>
    <w:rsid w:val="004D78B3"/>
    <w:rsid w:val="004E00B8"/>
    <w:rsid w:val="004E02D1"/>
    <w:rsid w:val="004E0EBD"/>
    <w:rsid w:val="004E16C1"/>
    <w:rsid w:val="004E50F2"/>
    <w:rsid w:val="004E64C5"/>
    <w:rsid w:val="004F0168"/>
    <w:rsid w:val="004F33BC"/>
    <w:rsid w:val="004F385E"/>
    <w:rsid w:val="004F5AB4"/>
    <w:rsid w:val="004F6232"/>
    <w:rsid w:val="004F77CA"/>
    <w:rsid w:val="00500D19"/>
    <w:rsid w:val="00503850"/>
    <w:rsid w:val="00505ACA"/>
    <w:rsid w:val="00506DB2"/>
    <w:rsid w:val="0051178B"/>
    <w:rsid w:val="00511D7F"/>
    <w:rsid w:val="005213B5"/>
    <w:rsid w:val="005246CB"/>
    <w:rsid w:val="00531509"/>
    <w:rsid w:val="005359F4"/>
    <w:rsid w:val="00535B49"/>
    <w:rsid w:val="00536FFB"/>
    <w:rsid w:val="00537A2F"/>
    <w:rsid w:val="005518A8"/>
    <w:rsid w:val="00552DB0"/>
    <w:rsid w:val="005542D3"/>
    <w:rsid w:val="005722AC"/>
    <w:rsid w:val="00577E33"/>
    <w:rsid w:val="00581D9D"/>
    <w:rsid w:val="00582F35"/>
    <w:rsid w:val="00586132"/>
    <w:rsid w:val="00593FEF"/>
    <w:rsid w:val="00594B4A"/>
    <w:rsid w:val="005A09F3"/>
    <w:rsid w:val="005A3410"/>
    <w:rsid w:val="005A770A"/>
    <w:rsid w:val="005B2965"/>
    <w:rsid w:val="005B49A1"/>
    <w:rsid w:val="005C1E99"/>
    <w:rsid w:val="005C4FC8"/>
    <w:rsid w:val="005C5399"/>
    <w:rsid w:val="005D08C9"/>
    <w:rsid w:val="005D3BC1"/>
    <w:rsid w:val="005D4616"/>
    <w:rsid w:val="005E2128"/>
    <w:rsid w:val="005E6211"/>
    <w:rsid w:val="005F3D83"/>
    <w:rsid w:val="00602538"/>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700908"/>
    <w:rsid w:val="00702395"/>
    <w:rsid w:val="00705546"/>
    <w:rsid w:val="007122B5"/>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7123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D3854"/>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200CF"/>
    <w:rsid w:val="00831AB1"/>
    <w:rsid w:val="00834611"/>
    <w:rsid w:val="00836FD2"/>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91FEB"/>
    <w:rsid w:val="008A07DB"/>
    <w:rsid w:val="008A0CD1"/>
    <w:rsid w:val="008A2078"/>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4926"/>
    <w:rsid w:val="008F0575"/>
    <w:rsid w:val="008F2591"/>
    <w:rsid w:val="008F4B86"/>
    <w:rsid w:val="008F5965"/>
    <w:rsid w:val="008F72F8"/>
    <w:rsid w:val="008F761B"/>
    <w:rsid w:val="00904BC6"/>
    <w:rsid w:val="00907E67"/>
    <w:rsid w:val="00910877"/>
    <w:rsid w:val="00912E5E"/>
    <w:rsid w:val="00921F0A"/>
    <w:rsid w:val="00922E06"/>
    <w:rsid w:val="00930DD4"/>
    <w:rsid w:val="00936118"/>
    <w:rsid w:val="00936592"/>
    <w:rsid w:val="00942C77"/>
    <w:rsid w:val="00943A21"/>
    <w:rsid w:val="00946ADB"/>
    <w:rsid w:val="0094719C"/>
    <w:rsid w:val="00947C71"/>
    <w:rsid w:val="00951A8E"/>
    <w:rsid w:val="009525FB"/>
    <w:rsid w:val="009527D5"/>
    <w:rsid w:val="00953116"/>
    <w:rsid w:val="009611CD"/>
    <w:rsid w:val="0096199D"/>
    <w:rsid w:val="00963D5B"/>
    <w:rsid w:val="0096455B"/>
    <w:rsid w:val="00964F6C"/>
    <w:rsid w:val="00972056"/>
    <w:rsid w:val="00972967"/>
    <w:rsid w:val="00973B9C"/>
    <w:rsid w:val="00980ED1"/>
    <w:rsid w:val="00981226"/>
    <w:rsid w:val="0098357D"/>
    <w:rsid w:val="00983B68"/>
    <w:rsid w:val="0098779D"/>
    <w:rsid w:val="00992034"/>
    <w:rsid w:val="00994660"/>
    <w:rsid w:val="009A1FEC"/>
    <w:rsid w:val="009A5C5C"/>
    <w:rsid w:val="009B343A"/>
    <w:rsid w:val="009B6604"/>
    <w:rsid w:val="009B6C57"/>
    <w:rsid w:val="009B7A45"/>
    <w:rsid w:val="009B7EBE"/>
    <w:rsid w:val="009C06F5"/>
    <w:rsid w:val="009C1095"/>
    <w:rsid w:val="009C61F9"/>
    <w:rsid w:val="009C7B08"/>
    <w:rsid w:val="009D0AF5"/>
    <w:rsid w:val="009D2968"/>
    <w:rsid w:val="009D33E9"/>
    <w:rsid w:val="009D553B"/>
    <w:rsid w:val="009E0C4D"/>
    <w:rsid w:val="009E0E6E"/>
    <w:rsid w:val="009E6443"/>
    <w:rsid w:val="009E6DDF"/>
    <w:rsid w:val="009E7C4F"/>
    <w:rsid w:val="009F00BC"/>
    <w:rsid w:val="009F1642"/>
    <w:rsid w:val="009F4BE4"/>
    <w:rsid w:val="00A03A96"/>
    <w:rsid w:val="00A058CB"/>
    <w:rsid w:val="00A075B9"/>
    <w:rsid w:val="00A11879"/>
    <w:rsid w:val="00A134B1"/>
    <w:rsid w:val="00A14EAE"/>
    <w:rsid w:val="00A15B9B"/>
    <w:rsid w:val="00A21FED"/>
    <w:rsid w:val="00A239BD"/>
    <w:rsid w:val="00A2408E"/>
    <w:rsid w:val="00A26A7B"/>
    <w:rsid w:val="00A34A41"/>
    <w:rsid w:val="00A50C05"/>
    <w:rsid w:val="00A54283"/>
    <w:rsid w:val="00A6034F"/>
    <w:rsid w:val="00A6184D"/>
    <w:rsid w:val="00A6191E"/>
    <w:rsid w:val="00A660EB"/>
    <w:rsid w:val="00A66FFF"/>
    <w:rsid w:val="00A71D64"/>
    <w:rsid w:val="00A75A40"/>
    <w:rsid w:val="00A82EDB"/>
    <w:rsid w:val="00A87E14"/>
    <w:rsid w:val="00A90B54"/>
    <w:rsid w:val="00A91F30"/>
    <w:rsid w:val="00A942F3"/>
    <w:rsid w:val="00A97A65"/>
    <w:rsid w:val="00AA3791"/>
    <w:rsid w:val="00AA4120"/>
    <w:rsid w:val="00AB114E"/>
    <w:rsid w:val="00AB23A3"/>
    <w:rsid w:val="00AB46D2"/>
    <w:rsid w:val="00AB51C4"/>
    <w:rsid w:val="00AB6235"/>
    <w:rsid w:val="00AC1B3B"/>
    <w:rsid w:val="00AC5F26"/>
    <w:rsid w:val="00AD1745"/>
    <w:rsid w:val="00AD2262"/>
    <w:rsid w:val="00AD2DED"/>
    <w:rsid w:val="00AD4EDA"/>
    <w:rsid w:val="00AD798E"/>
    <w:rsid w:val="00AE0B9A"/>
    <w:rsid w:val="00AE1158"/>
    <w:rsid w:val="00AE249C"/>
    <w:rsid w:val="00AE2762"/>
    <w:rsid w:val="00AE2E76"/>
    <w:rsid w:val="00AE4B32"/>
    <w:rsid w:val="00AE4EAD"/>
    <w:rsid w:val="00AE5DF0"/>
    <w:rsid w:val="00AE6D64"/>
    <w:rsid w:val="00AF23B3"/>
    <w:rsid w:val="00AF476C"/>
    <w:rsid w:val="00B07908"/>
    <w:rsid w:val="00B24791"/>
    <w:rsid w:val="00B26351"/>
    <w:rsid w:val="00B31802"/>
    <w:rsid w:val="00B3419F"/>
    <w:rsid w:val="00B34A8F"/>
    <w:rsid w:val="00B353E2"/>
    <w:rsid w:val="00B45622"/>
    <w:rsid w:val="00B64570"/>
    <w:rsid w:val="00B64E48"/>
    <w:rsid w:val="00B6611C"/>
    <w:rsid w:val="00B66E14"/>
    <w:rsid w:val="00B711CE"/>
    <w:rsid w:val="00B72FFF"/>
    <w:rsid w:val="00B73E50"/>
    <w:rsid w:val="00B748E9"/>
    <w:rsid w:val="00B7645F"/>
    <w:rsid w:val="00B768C7"/>
    <w:rsid w:val="00B7737E"/>
    <w:rsid w:val="00B82A68"/>
    <w:rsid w:val="00B85C20"/>
    <w:rsid w:val="00B905F8"/>
    <w:rsid w:val="00B91CDD"/>
    <w:rsid w:val="00B91F60"/>
    <w:rsid w:val="00B933A8"/>
    <w:rsid w:val="00B94130"/>
    <w:rsid w:val="00B95BE9"/>
    <w:rsid w:val="00BA1726"/>
    <w:rsid w:val="00BA46A7"/>
    <w:rsid w:val="00BB325B"/>
    <w:rsid w:val="00BB7649"/>
    <w:rsid w:val="00BB7AC5"/>
    <w:rsid w:val="00BB7FBA"/>
    <w:rsid w:val="00BC248D"/>
    <w:rsid w:val="00BC3552"/>
    <w:rsid w:val="00BC6DF8"/>
    <w:rsid w:val="00BC78F2"/>
    <w:rsid w:val="00BD0106"/>
    <w:rsid w:val="00BE2A39"/>
    <w:rsid w:val="00BE4F17"/>
    <w:rsid w:val="00BE5417"/>
    <w:rsid w:val="00C0177B"/>
    <w:rsid w:val="00C04D38"/>
    <w:rsid w:val="00C06CEE"/>
    <w:rsid w:val="00C10BEA"/>
    <w:rsid w:val="00C143D4"/>
    <w:rsid w:val="00C14E08"/>
    <w:rsid w:val="00C210DA"/>
    <w:rsid w:val="00C3115C"/>
    <w:rsid w:val="00C32386"/>
    <w:rsid w:val="00C33332"/>
    <w:rsid w:val="00C4135D"/>
    <w:rsid w:val="00C42B4F"/>
    <w:rsid w:val="00C44DA8"/>
    <w:rsid w:val="00C47ADC"/>
    <w:rsid w:val="00C51D45"/>
    <w:rsid w:val="00C524E8"/>
    <w:rsid w:val="00C56B4F"/>
    <w:rsid w:val="00C61E34"/>
    <w:rsid w:val="00C65AD4"/>
    <w:rsid w:val="00C65C49"/>
    <w:rsid w:val="00C7085D"/>
    <w:rsid w:val="00C73542"/>
    <w:rsid w:val="00C80873"/>
    <w:rsid w:val="00C82508"/>
    <w:rsid w:val="00C82F63"/>
    <w:rsid w:val="00C863E2"/>
    <w:rsid w:val="00C90159"/>
    <w:rsid w:val="00CA3854"/>
    <w:rsid w:val="00CA77A1"/>
    <w:rsid w:val="00CB0BD7"/>
    <w:rsid w:val="00CB1ED4"/>
    <w:rsid w:val="00CB3908"/>
    <w:rsid w:val="00CB4C0B"/>
    <w:rsid w:val="00CC1786"/>
    <w:rsid w:val="00CC5B2A"/>
    <w:rsid w:val="00CC6475"/>
    <w:rsid w:val="00CD06BB"/>
    <w:rsid w:val="00CD2AB3"/>
    <w:rsid w:val="00CD2D7F"/>
    <w:rsid w:val="00CD4334"/>
    <w:rsid w:val="00CD7C43"/>
    <w:rsid w:val="00CE1469"/>
    <w:rsid w:val="00CE3F48"/>
    <w:rsid w:val="00CE6FB4"/>
    <w:rsid w:val="00CF146A"/>
    <w:rsid w:val="00CF2EBF"/>
    <w:rsid w:val="00CF3015"/>
    <w:rsid w:val="00CF7E1F"/>
    <w:rsid w:val="00D03468"/>
    <w:rsid w:val="00D03703"/>
    <w:rsid w:val="00D04CAD"/>
    <w:rsid w:val="00D13F1B"/>
    <w:rsid w:val="00D22054"/>
    <w:rsid w:val="00D23654"/>
    <w:rsid w:val="00D264C9"/>
    <w:rsid w:val="00D30BB9"/>
    <w:rsid w:val="00D31285"/>
    <w:rsid w:val="00D32E23"/>
    <w:rsid w:val="00D35E3B"/>
    <w:rsid w:val="00D37907"/>
    <w:rsid w:val="00D50534"/>
    <w:rsid w:val="00D5226F"/>
    <w:rsid w:val="00D5532C"/>
    <w:rsid w:val="00D579B5"/>
    <w:rsid w:val="00D61E20"/>
    <w:rsid w:val="00D62935"/>
    <w:rsid w:val="00D71CCC"/>
    <w:rsid w:val="00D71F89"/>
    <w:rsid w:val="00D72C28"/>
    <w:rsid w:val="00D73AA3"/>
    <w:rsid w:val="00D779CB"/>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6FCE"/>
    <w:rsid w:val="00E55E87"/>
    <w:rsid w:val="00E57036"/>
    <w:rsid w:val="00E63F56"/>
    <w:rsid w:val="00E67657"/>
    <w:rsid w:val="00E7101D"/>
    <w:rsid w:val="00E71E6F"/>
    <w:rsid w:val="00E75A88"/>
    <w:rsid w:val="00E805E8"/>
    <w:rsid w:val="00E80666"/>
    <w:rsid w:val="00E8159E"/>
    <w:rsid w:val="00E91344"/>
    <w:rsid w:val="00E9380E"/>
    <w:rsid w:val="00EA34E5"/>
    <w:rsid w:val="00EA5770"/>
    <w:rsid w:val="00EA6377"/>
    <w:rsid w:val="00EB195F"/>
    <w:rsid w:val="00EB2368"/>
    <w:rsid w:val="00EB542F"/>
    <w:rsid w:val="00EC0AA6"/>
    <w:rsid w:val="00EC122F"/>
    <w:rsid w:val="00EC24AE"/>
    <w:rsid w:val="00ED0977"/>
    <w:rsid w:val="00ED16C6"/>
    <w:rsid w:val="00ED4907"/>
    <w:rsid w:val="00EE03AE"/>
    <w:rsid w:val="00EE06EC"/>
    <w:rsid w:val="00EE3D1A"/>
    <w:rsid w:val="00EF1343"/>
    <w:rsid w:val="00EF4439"/>
    <w:rsid w:val="00F008EF"/>
    <w:rsid w:val="00F02DC4"/>
    <w:rsid w:val="00F048FF"/>
    <w:rsid w:val="00F05705"/>
    <w:rsid w:val="00F14735"/>
    <w:rsid w:val="00F15731"/>
    <w:rsid w:val="00F20091"/>
    <w:rsid w:val="00F261B1"/>
    <w:rsid w:val="00F26C2D"/>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6B6F9-1296-4223-9C5F-C6F5D520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samsung-RAN4#91</cp:lastModifiedBy>
  <cp:revision>28</cp:revision>
  <cp:lastPrinted>2019-03-25T03:05:00Z</cp:lastPrinted>
  <dcterms:created xsi:type="dcterms:W3CDTF">2019-04-30T03:21:00Z</dcterms:created>
  <dcterms:modified xsi:type="dcterms:W3CDTF">2019-05-02T12:19:00Z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