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90</w:t>
      </w:r>
      <w:r w:rsidR="00DB2EDE">
        <w:rPr>
          <w:rFonts w:cs="Arial"/>
          <w:sz w:val="24"/>
          <w:szCs w:val="24"/>
          <w:lang w:val="de-DE"/>
        </w:rPr>
        <w:t>-bis</w:t>
      </w:r>
      <w:r w:rsidRPr="00566805">
        <w:rPr>
          <w:rFonts w:cs="Arial"/>
          <w:sz w:val="24"/>
          <w:szCs w:val="24"/>
          <w:lang w:val="de-DE"/>
        </w:rPr>
        <w:tab/>
        <w:t>R4-1</w:t>
      </w:r>
      <w:r w:rsidR="00893061">
        <w:rPr>
          <w:rFonts w:cs="Arial"/>
          <w:sz w:val="24"/>
          <w:szCs w:val="24"/>
          <w:lang w:val="de-DE"/>
        </w:rPr>
        <w:t>9</w:t>
      </w:r>
      <w:r w:rsidR="002833A7">
        <w:rPr>
          <w:rFonts w:cs="Arial"/>
          <w:sz w:val="24"/>
          <w:szCs w:val="24"/>
          <w:lang w:val="de-DE"/>
        </w:rPr>
        <w:t>04624</w:t>
      </w:r>
    </w:p>
    <w:p w:rsidR="005A4100" w:rsidRPr="005A4100" w:rsidRDefault="00A05CBD" w:rsidP="005A4100">
      <w:pPr>
        <w:pStyle w:val="Header"/>
        <w:tabs>
          <w:tab w:val="right" w:pos="9639"/>
        </w:tabs>
        <w:rPr>
          <w:rFonts w:cs="Arial"/>
          <w:sz w:val="24"/>
          <w:szCs w:val="24"/>
          <w:lang w:val="de-DE"/>
        </w:rPr>
      </w:pPr>
      <w:r>
        <w:rPr>
          <w:rFonts w:cs="Arial"/>
          <w:sz w:val="24"/>
          <w:szCs w:val="24"/>
          <w:lang w:val="de-DE"/>
        </w:rPr>
        <w:t>Xi’an, China</w:t>
      </w:r>
      <w:r w:rsidR="005A4100" w:rsidRPr="005A4100">
        <w:rPr>
          <w:rFonts w:cs="Arial"/>
          <w:sz w:val="24"/>
          <w:szCs w:val="24"/>
          <w:lang w:val="de-DE"/>
        </w:rPr>
        <w:t xml:space="preserve">, </w:t>
      </w:r>
      <w:r>
        <w:rPr>
          <w:rFonts w:cs="Arial"/>
          <w:sz w:val="24"/>
          <w:szCs w:val="24"/>
          <w:lang w:val="de-DE"/>
        </w:rPr>
        <w:t>8</w:t>
      </w:r>
      <w:r w:rsidR="005A4100" w:rsidRPr="005A4100">
        <w:rPr>
          <w:rFonts w:cs="Arial"/>
          <w:sz w:val="24"/>
          <w:szCs w:val="24"/>
          <w:lang w:val="de-DE"/>
        </w:rPr>
        <w:t>–</w:t>
      </w:r>
      <w:r>
        <w:rPr>
          <w:rFonts w:cs="Arial"/>
          <w:sz w:val="24"/>
          <w:szCs w:val="24"/>
          <w:lang w:val="de-DE"/>
        </w:rPr>
        <w:t>12 April</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4C011A" w:rsidRPr="00513BB3" w:rsidRDefault="004C011A" w:rsidP="004C011A">
      <w:pPr>
        <w:pStyle w:val="CRCoverPage"/>
        <w:tabs>
          <w:tab w:val="left" w:pos="1985"/>
        </w:tabs>
        <w:rPr>
          <w:rFonts w:cs="Arial"/>
          <w:b/>
          <w:bCs/>
          <w:color w:val="FF0000"/>
          <w:sz w:val="24"/>
        </w:rPr>
      </w:pPr>
      <w:r w:rsidRPr="0084651A">
        <w:rPr>
          <w:rFonts w:cs="Arial"/>
          <w:b/>
          <w:bCs/>
          <w:sz w:val="24"/>
        </w:rPr>
        <w:t>Agenda item:</w:t>
      </w:r>
      <w:r w:rsidRPr="0084651A">
        <w:rPr>
          <w:rFonts w:cs="Arial"/>
          <w:b/>
          <w:bCs/>
          <w:sz w:val="24"/>
        </w:rPr>
        <w:tab/>
      </w:r>
      <w:r w:rsidR="008E6E94">
        <w:rPr>
          <w:rFonts w:cs="Arial"/>
          <w:b/>
          <w:bCs/>
          <w:sz w:val="24"/>
        </w:rPr>
        <w:t>9.10.2</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A05CBD">
        <w:rPr>
          <w:rFonts w:ascii="Arial" w:hAnsi="Arial" w:cs="Arial"/>
          <w:b/>
          <w:bCs/>
          <w:sz w:val="24"/>
        </w:rPr>
        <w:t>UE Capabilities for inter-band EN-DC A-MPR</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2833A7">
        <w:rPr>
          <w:rFonts w:ascii="Arial" w:hAnsi="Arial" w:cs="Arial"/>
          <w:b/>
          <w:bCs/>
          <w:sz w:val="24"/>
        </w:rPr>
        <w:t>Approval</w:t>
      </w:r>
    </w:p>
    <w:p w:rsidR="000249BB" w:rsidRDefault="000249BB" w:rsidP="000249BB">
      <w:pPr>
        <w:pStyle w:val="Heading1"/>
      </w:pPr>
      <w:r w:rsidRPr="0084651A">
        <w:t>1</w:t>
      </w:r>
      <w:r w:rsidRPr="0084651A">
        <w:tab/>
      </w:r>
      <w:r>
        <w:t>Introduction</w:t>
      </w:r>
    </w:p>
    <w:p w:rsidR="00DD7C4C" w:rsidRDefault="00177E6B" w:rsidP="00AF461A">
      <w:r>
        <w:t>In the agreed WF for improving A-MPR [2], companies were encouraged to study several mechanisms, including the following:</w:t>
      </w:r>
    </w:p>
    <w:p w:rsidR="00C32C81" w:rsidRPr="00177E6B" w:rsidRDefault="00B20B96" w:rsidP="00177E6B">
      <w:pPr>
        <w:numPr>
          <w:ilvl w:val="0"/>
          <w:numId w:val="14"/>
        </w:numPr>
        <w:rPr>
          <w:lang w:val="en-US"/>
        </w:rPr>
      </w:pPr>
      <w:r w:rsidRPr="00177E6B">
        <w:rPr>
          <w:lang w:val="en-US"/>
        </w:rPr>
        <w:t>New Capabilities signaling that allow UE to signal support for high PA linearity, and high antenna isolation, with new specifications for A-MPR allowances based on those.</w:t>
      </w:r>
    </w:p>
    <w:p w:rsidR="00DD7C4C" w:rsidRDefault="00177E6B" w:rsidP="00AF461A">
      <w:r>
        <w:t>This submission discussed some of the potential advantage to adding new capabilities signalling.</w:t>
      </w:r>
    </w:p>
    <w:p w:rsidR="00177E6B" w:rsidRPr="00AF461A" w:rsidRDefault="00177E6B" w:rsidP="00AF461A"/>
    <w:p w:rsidR="00A43960" w:rsidRDefault="008D7C2E" w:rsidP="00A43960">
      <w:pPr>
        <w:pStyle w:val="Heading1"/>
        <w:rPr>
          <w:lang w:val="en-US"/>
        </w:rPr>
      </w:pPr>
      <w:r>
        <w:rPr>
          <w:lang w:val="en-US"/>
        </w:rPr>
        <w:t>2</w:t>
      </w:r>
      <w:r w:rsidR="00A43960">
        <w:rPr>
          <w:lang w:val="en-US"/>
        </w:rPr>
        <w:tab/>
      </w:r>
      <w:r w:rsidR="00DA61A9">
        <w:rPr>
          <w:lang w:val="en-US"/>
        </w:rPr>
        <w:t>Discussions</w:t>
      </w:r>
    </w:p>
    <w:p w:rsidR="00B744F1" w:rsidRDefault="00177E6B" w:rsidP="00B744F1">
      <w:pPr>
        <w:rPr>
          <w:lang w:val="en-US"/>
        </w:rPr>
      </w:pPr>
      <w:r>
        <w:rPr>
          <w:lang w:val="en-US"/>
        </w:rPr>
        <w:t xml:space="preserve">Analysis of the A-MPR required to manage IM3s for intra-band EN-DC has shown that the amount the </w:t>
      </w:r>
      <w:proofErr w:type="spellStart"/>
      <w:r>
        <w:rPr>
          <w:lang w:val="en-US"/>
        </w:rPr>
        <w:t>backoff</w:t>
      </w:r>
      <w:proofErr w:type="spellEnd"/>
      <w:r>
        <w:rPr>
          <w:lang w:val="en-US"/>
        </w:rPr>
        <w:t xml:space="preserve"> required to ensure emissions compliance is a complicated function of many variable.  Key architectural factors include:</w:t>
      </w:r>
    </w:p>
    <w:p w:rsidR="00177E6B" w:rsidRDefault="00177E6B" w:rsidP="00177E6B">
      <w:pPr>
        <w:pStyle w:val="ListParagraph"/>
        <w:numPr>
          <w:ilvl w:val="0"/>
          <w:numId w:val="15"/>
        </w:numPr>
        <w:rPr>
          <w:lang w:val="en-US"/>
        </w:rPr>
      </w:pPr>
      <w:r>
        <w:rPr>
          <w:lang w:val="en-US"/>
        </w:rPr>
        <w:t>Isolation between the Tx antennas used for LTE and NR.</w:t>
      </w:r>
    </w:p>
    <w:p w:rsidR="00177E6B" w:rsidRDefault="00177E6B" w:rsidP="00177E6B">
      <w:pPr>
        <w:pStyle w:val="ListParagraph"/>
        <w:numPr>
          <w:ilvl w:val="0"/>
          <w:numId w:val="15"/>
        </w:numPr>
        <w:rPr>
          <w:lang w:val="en-US"/>
        </w:rPr>
      </w:pPr>
      <w:r>
        <w:rPr>
          <w:lang w:val="en-US"/>
        </w:rPr>
        <w:t>Insertion losses, between the PAs and the antenna connectors</w:t>
      </w:r>
    </w:p>
    <w:p w:rsidR="00177E6B" w:rsidRDefault="00177E6B" w:rsidP="00177E6B">
      <w:pPr>
        <w:pStyle w:val="ListParagraph"/>
        <w:numPr>
          <w:ilvl w:val="0"/>
          <w:numId w:val="15"/>
        </w:numPr>
        <w:rPr>
          <w:lang w:val="en-US"/>
        </w:rPr>
      </w:pPr>
      <w:r>
        <w:rPr>
          <w:lang w:val="en-US"/>
        </w:rPr>
        <w:t>PA Power Tracking mode (APT/ET)</w:t>
      </w:r>
    </w:p>
    <w:p w:rsidR="00177E6B" w:rsidRDefault="00177E6B" w:rsidP="00177E6B">
      <w:pPr>
        <w:pStyle w:val="ListParagraph"/>
        <w:numPr>
          <w:ilvl w:val="0"/>
          <w:numId w:val="15"/>
        </w:numPr>
        <w:rPr>
          <w:lang w:val="en-US"/>
        </w:rPr>
      </w:pPr>
      <w:r>
        <w:rPr>
          <w:lang w:val="en-US"/>
        </w:rPr>
        <w:t>PA bias tuning (e.g. ACLR)</w:t>
      </w:r>
    </w:p>
    <w:p w:rsidR="00177E6B" w:rsidRDefault="00177E6B" w:rsidP="00177E6B">
      <w:pPr>
        <w:rPr>
          <w:lang w:val="en-US"/>
        </w:rPr>
      </w:pPr>
      <w:r>
        <w:rPr>
          <w:lang w:val="en-US"/>
        </w:rPr>
        <w:t xml:space="preserve">With conservative assumptions for </w:t>
      </w:r>
      <w:proofErr w:type="gramStart"/>
      <w:r>
        <w:rPr>
          <w:lang w:val="en-US"/>
        </w:rPr>
        <w:t>all of</w:t>
      </w:r>
      <w:proofErr w:type="gramEnd"/>
      <w:r>
        <w:rPr>
          <w:lang w:val="en-US"/>
        </w:rPr>
        <w:t xml:space="preserve"> these factors, the required power </w:t>
      </w:r>
      <w:proofErr w:type="spellStart"/>
      <w:r>
        <w:rPr>
          <w:lang w:val="en-US"/>
        </w:rPr>
        <w:t>backoff</w:t>
      </w:r>
      <w:proofErr w:type="spellEnd"/>
      <w:r>
        <w:rPr>
          <w:lang w:val="en-US"/>
        </w:rPr>
        <w:t xml:space="preserve"> can be quite large, as realized in the Rel-15 A-MPR definition for B41/n41 EN-DC A-MPR, which allows up to 16 dB of </w:t>
      </w:r>
      <w:proofErr w:type="spellStart"/>
      <w:r>
        <w:rPr>
          <w:lang w:val="en-US"/>
        </w:rPr>
        <w:t>backoff</w:t>
      </w:r>
      <w:proofErr w:type="spellEnd"/>
      <w:r>
        <w:rPr>
          <w:lang w:val="en-US"/>
        </w:rPr>
        <w:t xml:space="preserve">.  But with a performance optimized design, it is also possible to design UEs that require little or no </w:t>
      </w:r>
      <w:proofErr w:type="spellStart"/>
      <w:r>
        <w:rPr>
          <w:lang w:val="en-US"/>
        </w:rPr>
        <w:t>backoff</w:t>
      </w:r>
      <w:proofErr w:type="spellEnd"/>
      <w:r>
        <w:rPr>
          <w:lang w:val="en-US"/>
        </w:rPr>
        <w:t xml:space="preserve">.   This has been realized in UEs nearing launch in Sprint’s network, several of which require no </w:t>
      </w:r>
      <w:proofErr w:type="spellStart"/>
      <w:r>
        <w:rPr>
          <w:lang w:val="en-US"/>
        </w:rPr>
        <w:t>backoff</w:t>
      </w:r>
      <w:proofErr w:type="spellEnd"/>
      <w:r>
        <w:rPr>
          <w:lang w:val="en-US"/>
        </w:rPr>
        <w:t xml:space="preserve"> at all for managing IMD between transmissions.  </w:t>
      </w:r>
    </w:p>
    <w:p w:rsidR="00177E6B" w:rsidRDefault="00177E6B" w:rsidP="00177E6B">
      <w:pPr>
        <w:rPr>
          <w:lang w:val="en-US"/>
        </w:rPr>
      </w:pPr>
      <w:r>
        <w:rPr>
          <w:lang w:val="en-US"/>
        </w:rPr>
        <w:t xml:space="preserve">This wide range in potential A-MPR </w:t>
      </w:r>
      <w:proofErr w:type="spellStart"/>
      <w:r>
        <w:rPr>
          <w:lang w:val="en-US"/>
        </w:rPr>
        <w:t>backoff</w:t>
      </w:r>
      <w:proofErr w:type="spellEnd"/>
      <w:r>
        <w:rPr>
          <w:lang w:val="en-US"/>
        </w:rPr>
        <w:t xml:space="preserve"> may make it difficult for </w:t>
      </w:r>
      <w:proofErr w:type="spellStart"/>
      <w:r>
        <w:rPr>
          <w:lang w:val="en-US"/>
        </w:rPr>
        <w:t>eNB</w:t>
      </w:r>
      <w:proofErr w:type="spellEnd"/>
      <w:r>
        <w:rPr>
          <w:lang w:val="en-US"/>
        </w:rPr>
        <w:t>/</w:t>
      </w:r>
      <w:proofErr w:type="spellStart"/>
      <w:r>
        <w:rPr>
          <w:lang w:val="en-US"/>
        </w:rPr>
        <w:t>gNB</w:t>
      </w:r>
      <w:proofErr w:type="spellEnd"/>
      <w:r>
        <w:rPr>
          <w:lang w:val="en-US"/>
        </w:rPr>
        <w:t xml:space="preserve"> to make optimal scheduling and resource allocation </w:t>
      </w:r>
      <w:proofErr w:type="gramStart"/>
      <w:r>
        <w:rPr>
          <w:lang w:val="en-US"/>
        </w:rPr>
        <w:t>decisions, and</w:t>
      </w:r>
      <w:proofErr w:type="gramEnd"/>
      <w:r>
        <w:rPr>
          <w:lang w:val="en-US"/>
        </w:rPr>
        <w:t xml:space="preserve"> may make it difficult for network operators to optimize parameters such as handover thresholds.  Decisions based on the worst possible cases may not be able take advantage of the performance available in more optimized designs.  Conversely, decisions based on more optimized designs may lead to performance problems with UEs which require </w:t>
      </w:r>
      <w:proofErr w:type="spellStart"/>
      <w:r>
        <w:rPr>
          <w:lang w:val="en-US"/>
        </w:rPr>
        <w:t>backoff</w:t>
      </w:r>
      <w:proofErr w:type="spellEnd"/>
      <w:r>
        <w:rPr>
          <w:lang w:val="en-US"/>
        </w:rPr>
        <w:t xml:space="preserve"> closer to that allowed by Rel-15 specs.</w:t>
      </w:r>
    </w:p>
    <w:p w:rsidR="00177E6B" w:rsidRPr="00177E6B" w:rsidRDefault="00177E6B" w:rsidP="00177E6B">
      <w:pPr>
        <w:rPr>
          <w:b/>
          <w:lang w:val="en-US"/>
        </w:rPr>
      </w:pPr>
      <w:r w:rsidRPr="00177E6B">
        <w:rPr>
          <w:b/>
          <w:lang w:val="en-US"/>
        </w:rPr>
        <w:t xml:space="preserve">Observation: The wide range in allowed A-MPR </w:t>
      </w:r>
      <w:proofErr w:type="spellStart"/>
      <w:r w:rsidRPr="00177E6B">
        <w:rPr>
          <w:b/>
          <w:lang w:val="en-US"/>
        </w:rPr>
        <w:t>backoff</w:t>
      </w:r>
      <w:proofErr w:type="spellEnd"/>
      <w:r w:rsidRPr="00177E6B">
        <w:rPr>
          <w:b/>
          <w:lang w:val="en-US"/>
        </w:rPr>
        <w:t xml:space="preserve"> makes optimization by </w:t>
      </w:r>
      <w:proofErr w:type="spellStart"/>
      <w:r w:rsidRPr="00177E6B">
        <w:rPr>
          <w:b/>
          <w:lang w:val="en-US"/>
        </w:rPr>
        <w:t>eNB</w:t>
      </w:r>
      <w:proofErr w:type="spellEnd"/>
      <w:r w:rsidRPr="00177E6B">
        <w:rPr>
          <w:b/>
          <w:lang w:val="en-US"/>
        </w:rPr>
        <w:t>/</w:t>
      </w:r>
      <w:proofErr w:type="spellStart"/>
      <w:r w:rsidRPr="00177E6B">
        <w:rPr>
          <w:b/>
          <w:lang w:val="en-US"/>
        </w:rPr>
        <w:t>gNB</w:t>
      </w:r>
      <w:proofErr w:type="spellEnd"/>
      <w:r w:rsidRPr="00177E6B">
        <w:rPr>
          <w:b/>
          <w:lang w:val="en-US"/>
        </w:rPr>
        <w:t xml:space="preserve"> and network more </w:t>
      </w:r>
      <w:bookmarkStart w:id="0" w:name="_GoBack"/>
      <w:bookmarkEnd w:id="0"/>
      <w:r w:rsidRPr="00177E6B">
        <w:rPr>
          <w:b/>
          <w:lang w:val="en-US"/>
        </w:rPr>
        <w:t>difficult.</w:t>
      </w:r>
    </w:p>
    <w:p w:rsidR="00177E6B" w:rsidRDefault="00177E6B" w:rsidP="00177E6B">
      <w:pPr>
        <w:rPr>
          <w:lang w:val="en-US"/>
        </w:rPr>
      </w:pPr>
      <w:r>
        <w:rPr>
          <w:lang w:val="en-US"/>
        </w:rPr>
        <w:t xml:space="preserve">On solution to this problem would be to base the </w:t>
      </w:r>
      <w:proofErr w:type="spellStart"/>
      <w:r>
        <w:rPr>
          <w:lang w:val="en-US"/>
        </w:rPr>
        <w:t>backoff</w:t>
      </w:r>
      <w:proofErr w:type="spellEnd"/>
      <w:r>
        <w:rPr>
          <w:lang w:val="en-US"/>
        </w:rPr>
        <w:t xml:space="preserve"> allowances on less conservative assumptions.  This would result in smaller </w:t>
      </w:r>
      <w:proofErr w:type="spellStart"/>
      <w:r>
        <w:rPr>
          <w:lang w:val="en-US"/>
        </w:rPr>
        <w:t>backoff</w:t>
      </w:r>
      <w:proofErr w:type="spellEnd"/>
      <w:r>
        <w:rPr>
          <w:lang w:val="en-US"/>
        </w:rPr>
        <w:t xml:space="preserve"> allowances, and thus a smaller range between the maximum allowance and 0 </w:t>
      </w:r>
      <w:proofErr w:type="spellStart"/>
      <w:r>
        <w:rPr>
          <w:lang w:val="en-US"/>
        </w:rPr>
        <w:t>backoff</w:t>
      </w:r>
      <w:proofErr w:type="spellEnd"/>
      <w:r>
        <w:rPr>
          <w:lang w:val="en-US"/>
        </w:rPr>
        <w:t>.     This might well be acceptable for operators looking for good performance on their networks.  But it would also reduce the freedom of UE designers by effectively requiring better performance for intra-band EN-DC, and potentially requiring compromises to other aspects of design.</w:t>
      </w:r>
    </w:p>
    <w:p w:rsidR="00177E6B" w:rsidRDefault="00177E6B" w:rsidP="00177E6B">
      <w:pPr>
        <w:rPr>
          <w:lang w:val="en-US"/>
        </w:rPr>
      </w:pPr>
      <w:r>
        <w:rPr>
          <w:lang w:val="en-US"/>
        </w:rPr>
        <w:lastRenderedPageBreak/>
        <w:t xml:space="preserve">One way to resolve the tension between the two goals of 1) well defined performance, and 2) design freedom for UE designers, is to introduce capabilities signaling so that UEs can inform the network of their performance capabilities.  UEs that have been optimized for intra-band EN-DC for a </w:t>
      </w:r>
      <w:proofErr w:type="gramStart"/>
      <w:r>
        <w:rPr>
          <w:lang w:val="en-US"/>
        </w:rPr>
        <w:t>particular band</w:t>
      </w:r>
      <w:proofErr w:type="gramEnd"/>
      <w:r>
        <w:rPr>
          <w:lang w:val="en-US"/>
        </w:rPr>
        <w:t xml:space="preserve"> could signal appropriate capabilities.   The A-MPR definition could consider these capabilities in the determination of the allowed </w:t>
      </w:r>
      <w:proofErr w:type="spellStart"/>
      <w:r>
        <w:rPr>
          <w:lang w:val="en-US"/>
        </w:rPr>
        <w:t>backoff</w:t>
      </w:r>
      <w:proofErr w:type="spellEnd"/>
      <w:r>
        <w:rPr>
          <w:lang w:val="en-US"/>
        </w:rPr>
        <w:t xml:space="preserve">, with UEs signaling higher performance having lower </w:t>
      </w:r>
      <w:proofErr w:type="spellStart"/>
      <w:r>
        <w:rPr>
          <w:lang w:val="en-US"/>
        </w:rPr>
        <w:t>backoff</w:t>
      </w:r>
      <w:proofErr w:type="spellEnd"/>
      <w:r>
        <w:rPr>
          <w:lang w:val="en-US"/>
        </w:rPr>
        <w:t xml:space="preserve"> allowances.   UEs which did not signal these capabilities would be assumed to require larger </w:t>
      </w:r>
      <w:proofErr w:type="spellStart"/>
      <w:r>
        <w:rPr>
          <w:lang w:val="en-US"/>
        </w:rPr>
        <w:t>backoff</w:t>
      </w:r>
      <w:proofErr w:type="spellEnd"/>
      <w:r>
        <w:rPr>
          <w:lang w:val="en-US"/>
        </w:rPr>
        <w:t xml:space="preserve"> allowances.</w:t>
      </w:r>
    </w:p>
    <w:p w:rsidR="00177E6B" w:rsidRDefault="00177E6B" w:rsidP="00177E6B">
      <w:pPr>
        <w:rPr>
          <w:b/>
          <w:lang w:val="en-US"/>
        </w:rPr>
      </w:pPr>
      <w:r w:rsidRPr="00177E6B">
        <w:rPr>
          <w:b/>
          <w:lang w:val="en-US"/>
        </w:rPr>
        <w:t>Proposal</w:t>
      </w:r>
      <w:r>
        <w:rPr>
          <w:b/>
          <w:lang w:val="en-US"/>
        </w:rPr>
        <w:t xml:space="preserve"> 1</w:t>
      </w:r>
      <w:r w:rsidRPr="00177E6B">
        <w:rPr>
          <w:b/>
          <w:lang w:val="en-US"/>
        </w:rPr>
        <w:t>: Introduce Capabilities signaling to Rel-16, allowing UEs to indicate to network if they have architectures supporting better intra-band EN-DC A-MPR performance</w:t>
      </w:r>
    </w:p>
    <w:p w:rsidR="00177E6B" w:rsidRDefault="00177E6B" w:rsidP="00177E6B">
      <w:pPr>
        <w:rPr>
          <w:b/>
          <w:lang w:val="en-US"/>
        </w:rPr>
      </w:pPr>
    </w:p>
    <w:p w:rsidR="00177E6B" w:rsidRDefault="00177E6B" w:rsidP="00177E6B">
      <w:pPr>
        <w:rPr>
          <w:lang w:val="en-US"/>
        </w:rPr>
      </w:pPr>
      <w:r w:rsidRPr="00177E6B">
        <w:rPr>
          <w:lang w:val="en-US"/>
        </w:rPr>
        <w:t xml:space="preserve">Reviewing the list of factors </w:t>
      </w:r>
      <w:r>
        <w:rPr>
          <w:lang w:val="en-US"/>
        </w:rPr>
        <w:t xml:space="preserve">contributing to the required </w:t>
      </w:r>
      <w:proofErr w:type="spellStart"/>
      <w:r>
        <w:rPr>
          <w:lang w:val="en-US"/>
        </w:rPr>
        <w:t>backoff</w:t>
      </w:r>
      <w:proofErr w:type="spellEnd"/>
      <w:r>
        <w:rPr>
          <w:lang w:val="en-US"/>
        </w:rPr>
        <w:t xml:space="preserve"> amounts, one clearly important factor is the antenna isolation.   Higher isolation leads to lower reverse interference entering each Tx chain, and directly and linearly decreases the power of the resulting IMD products and the </w:t>
      </w:r>
      <w:proofErr w:type="spellStart"/>
      <w:r>
        <w:rPr>
          <w:lang w:val="en-US"/>
        </w:rPr>
        <w:t>backoff</w:t>
      </w:r>
      <w:proofErr w:type="spellEnd"/>
      <w:r>
        <w:rPr>
          <w:lang w:val="en-US"/>
        </w:rPr>
        <w:t xml:space="preserve"> required to manage them.   </w:t>
      </w:r>
    </w:p>
    <w:p w:rsidR="00177E6B" w:rsidRDefault="00177E6B" w:rsidP="00177E6B">
      <w:pPr>
        <w:rPr>
          <w:b/>
          <w:lang w:val="en-US"/>
        </w:rPr>
      </w:pPr>
      <w:r w:rsidRPr="00177E6B">
        <w:rPr>
          <w:b/>
          <w:lang w:val="en-US"/>
        </w:rPr>
        <w:t>Proposal 2: Include Tx Antenna Isolation in the set of Capabilities to be signaled.</w:t>
      </w:r>
    </w:p>
    <w:p w:rsidR="00177E6B" w:rsidRPr="00177E6B" w:rsidRDefault="00177E6B" w:rsidP="00177E6B">
      <w:pPr>
        <w:rPr>
          <w:b/>
          <w:lang w:val="en-US"/>
        </w:rPr>
      </w:pPr>
    </w:p>
    <w:p w:rsidR="00177E6B" w:rsidRDefault="00177E6B" w:rsidP="00177E6B">
      <w:pPr>
        <w:rPr>
          <w:lang w:val="en-US"/>
        </w:rPr>
      </w:pPr>
      <w:r>
        <w:rPr>
          <w:lang w:val="en-US"/>
        </w:rPr>
        <w:t xml:space="preserve">The remaining 3 factors on the list have more complex interactions, but the essential aspect of the Tx chain to which they all pertain is linearity.   Depending on these and other factors, some Tx chain implementation may be quite linear, even when approaching full power for the Power Class.  Other Tx chains may be operating in compression at significantly lower powers.  Knowledge of how linear the Tx chains are can be useful in several aspects of determining the required power </w:t>
      </w:r>
      <w:proofErr w:type="spellStart"/>
      <w:r>
        <w:rPr>
          <w:lang w:val="en-US"/>
        </w:rPr>
        <w:t>backoff</w:t>
      </w:r>
      <w:proofErr w:type="spellEnd"/>
      <w:r>
        <w:rPr>
          <w:lang w:val="en-US"/>
        </w:rPr>
        <w:t xml:space="preserve">, particularly in “power trading” to determine the required NR </w:t>
      </w:r>
      <w:proofErr w:type="spellStart"/>
      <w:r>
        <w:rPr>
          <w:lang w:val="en-US"/>
        </w:rPr>
        <w:t>backoff</w:t>
      </w:r>
      <w:proofErr w:type="spellEnd"/>
      <w:r>
        <w:rPr>
          <w:lang w:val="en-US"/>
        </w:rPr>
        <w:t xml:space="preserve"> given an LTE Tx power.</w:t>
      </w:r>
    </w:p>
    <w:p w:rsidR="00177E6B" w:rsidRPr="00177E6B" w:rsidRDefault="00177E6B" w:rsidP="00177E6B">
      <w:pPr>
        <w:rPr>
          <w:lang w:val="en-US"/>
        </w:rPr>
      </w:pPr>
      <w:r>
        <w:rPr>
          <w:lang w:val="en-US"/>
        </w:rPr>
        <w:t>UEs which do not signal high linearity may require a general non-optimized power trading rule, such as the current Rel-15 “Ericsson approach” which maintains a ceiling of total linear power.</w:t>
      </w:r>
      <w:r w:rsidRPr="00177E6B">
        <w:rPr>
          <w:lang w:val="en-US"/>
        </w:rPr>
        <w:t xml:space="preserve"> </w:t>
      </w:r>
      <w:r>
        <w:rPr>
          <w:lang w:val="en-US"/>
        </w:rPr>
        <w:t xml:space="preserve"> But UEs signaling high linearity may be able to support more optimized power trading rules than UEs which do not support high linearity, such as 1:2 power trading.   High linearity UEs may also require smaller </w:t>
      </w:r>
      <w:proofErr w:type="spellStart"/>
      <w:r>
        <w:rPr>
          <w:lang w:val="en-US"/>
        </w:rPr>
        <w:t>backoff</w:t>
      </w:r>
      <w:proofErr w:type="spellEnd"/>
      <w:r>
        <w:rPr>
          <w:lang w:val="en-US"/>
        </w:rPr>
        <w:t xml:space="preserve"> allowances.</w:t>
      </w:r>
    </w:p>
    <w:p w:rsidR="00177E6B" w:rsidRDefault="00177E6B" w:rsidP="00177E6B">
      <w:pPr>
        <w:rPr>
          <w:b/>
          <w:lang w:val="en-US"/>
        </w:rPr>
      </w:pPr>
      <w:r w:rsidRPr="00177E6B">
        <w:rPr>
          <w:b/>
          <w:lang w:val="en-US"/>
        </w:rPr>
        <w:t xml:space="preserve">Proposal </w:t>
      </w:r>
      <w:r>
        <w:rPr>
          <w:b/>
          <w:lang w:val="en-US"/>
        </w:rPr>
        <w:t>3</w:t>
      </w:r>
      <w:r w:rsidRPr="00177E6B">
        <w:rPr>
          <w:b/>
          <w:lang w:val="en-US"/>
        </w:rPr>
        <w:t xml:space="preserve">: Include </w:t>
      </w:r>
      <w:r>
        <w:rPr>
          <w:b/>
          <w:lang w:val="en-US"/>
        </w:rPr>
        <w:t>High Linearity</w:t>
      </w:r>
      <w:r w:rsidRPr="00177E6B">
        <w:rPr>
          <w:b/>
          <w:lang w:val="en-US"/>
        </w:rPr>
        <w:t xml:space="preserve"> in the set of Capabilities to be signaled.</w:t>
      </w:r>
    </w:p>
    <w:p w:rsidR="00177E6B" w:rsidRDefault="00177E6B" w:rsidP="00177E6B">
      <w:pPr>
        <w:rPr>
          <w:b/>
          <w:lang w:val="en-US"/>
        </w:rPr>
      </w:pPr>
    </w:p>
    <w:p w:rsidR="00177E6B" w:rsidRPr="00177E6B" w:rsidRDefault="00177E6B" w:rsidP="00177E6B">
      <w:pPr>
        <w:rPr>
          <w:lang w:val="en-US"/>
        </w:rPr>
      </w:pPr>
      <w:r w:rsidRPr="00177E6B">
        <w:rPr>
          <w:lang w:val="en-US"/>
        </w:rPr>
        <w:t xml:space="preserve">For </w:t>
      </w:r>
      <w:proofErr w:type="gramStart"/>
      <w:r w:rsidRPr="00177E6B">
        <w:rPr>
          <w:lang w:val="en-US"/>
        </w:rPr>
        <w:t>both of these</w:t>
      </w:r>
      <w:proofErr w:type="gramEnd"/>
      <w:r w:rsidRPr="00177E6B">
        <w:rPr>
          <w:lang w:val="en-US"/>
        </w:rPr>
        <w:t xml:space="preserve"> proposed capabilities, the details of the criteria for signaling them, and their treatment in the A-MPR definition can be determined in subsequent meetings.</w:t>
      </w:r>
      <w:r>
        <w:rPr>
          <w:lang w:val="en-US"/>
        </w:rPr>
        <w:t xml:space="preserve">  Additional capabilities may also be considered if they can be shown to be useful.</w:t>
      </w:r>
    </w:p>
    <w:p w:rsidR="00177E6B" w:rsidRPr="00177E6B" w:rsidRDefault="00177E6B" w:rsidP="00177E6B">
      <w:pPr>
        <w:rPr>
          <w:lang w:val="en-US"/>
        </w:rPr>
      </w:pPr>
    </w:p>
    <w:p w:rsidR="00DD7C4C" w:rsidRPr="00E472C7" w:rsidRDefault="00DD7C4C" w:rsidP="00EA6A30">
      <w:pPr>
        <w:rPr>
          <w:lang w:val="en-US"/>
        </w:rPr>
      </w:pPr>
    </w:p>
    <w:p w:rsidR="0050536B" w:rsidRPr="008E42FE"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8747F7" w:rsidRDefault="008747F7" w:rsidP="00A61C01">
      <w:pPr>
        <w:rPr>
          <w:b/>
          <w:lang w:val="en-US"/>
        </w:rPr>
      </w:pPr>
    </w:p>
    <w:p w:rsidR="00177E6B" w:rsidRPr="00177E6B" w:rsidRDefault="00177E6B" w:rsidP="00177E6B">
      <w:pPr>
        <w:rPr>
          <w:b/>
          <w:lang w:val="en-US"/>
        </w:rPr>
      </w:pPr>
      <w:r w:rsidRPr="00177E6B">
        <w:rPr>
          <w:b/>
          <w:lang w:val="en-US"/>
        </w:rPr>
        <w:t xml:space="preserve">Observation: The wide range in allowed A-MPR </w:t>
      </w:r>
      <w:proofErr w:type="spellStart"/>
      <w:r w:rsidRPr="00177E6B">
        <w:rPr>
          <w:b/>
          <w:lang w:val="en-US"/>
        </w:rPr>
        <w:t>backoff</w:t>
      </w:r>
      <w:proofErr w:type="spellEnd"/>
      <w:r w:rsidRPr="00177E6B">
        <w:rPr>
          <w:b/>
          <w:lang w:val="en-US"/>
        </w:rPr>
        <w:t xml:space="preserve"> makes optimization by </w:t>
      </w:r>
      <w:proofErr w:type="spellStart"/>
      <w:r w:rsidRPr="00177E6B">
        <w:rPr>
          <w:b/>
          <w:lang w:val="en-US"/>
        </w:rPr>
        <w:t>eNB</w:t>
      </w:r>
      <w:proofErr w:type="spellEnd"/>
      <w:r w:rsidRPr="00177E6B">
        <w:rPr>
          <w:b/>
          <w:lang w:val="en-US"/>
        </w:rPr>
        <w:t>/</w:t>
      </w:r>
      <w:proofErr w:type="spellStart"/>
      <w:r w:rsidRPr="00177E6B">
        <w:rPr>
          <w:b/>
          <w:lang w:val="en-US"/>
        </w:rPr>
        <w:t>gNB</w:t>
      </w:r>
      <w:proofErr w:type="spellEnd"/>
      <w:r w:rsidRPr="00177E6B">
        <w:rPr>
          <w:b/>
          <w:lang w:val="en-US"/>
        </w:rPr>
        <w:t xml:space="preserve"> and network more difficult.</w:t>
      </w:r>
    </w:p>
    <w:p w:rsidR="00177E6B" w:rsidRDefault="00177E6B" w:rsidP="00177E6B">
      <w:pPr>
        <w:rPr>
          <w:b/>
          <w:lang w:val="en-US"/>
        </w:rPr>
      </w:pPr>
      <w:r w:rsidRPr="00177E6B">
        <w:rPr>
          <w:b/>
          <w:lang w:val="en-US"/>
        </w:rPr>
        <w:t>Proposal</w:t>
      </w:r>
      <w:r>
        <w:rPr>
          <w:b/>
          <w:lang w:val="en-US"/>
        </w:rPr>
        <w:t xml:space="preserve"> 1</w:t>
      </w:r>
      <w:r w:rsidRPr="00177E6B">
        <w:rPr>
          <w:b/>
          <w:lang w:val="en-US"/>
        </w:rPr>
        <w:t>: Introduce Capabilities signaling to Rel-16, allowing UEs to indicate to network if they have architectures supporting better intra-band EN-DC A-MPR performance</w:t>
      </w:r>
    </w:p>
    <w:p w:rsidR="00177E6B" w:rsidRPr="00177E6B" w:rsidRDefault="00177E6B" w:rsidP="00177E6B">
      <w:pPr>
        <w:rPr>
          <w:b/>
          <w:lang w:val="en-US"/>
        </w:rPr>
      </w:pPr>
      <w:r w:rsidRPr="00177E6B">
        <w:rPr>
          <w:b/>
          <w:lang w:val="en-US"/>
        </w:rPr>
        <w:t>Proposal 2: Include Tx Antenna Isolation in the set of Capabilities to be signaled.</w:t>
      </w:r>
    </w:p>
    <w:p w:rsidR="00177E6B" w:rsidRDefault="00177E6B" w:rsidP="00177E6B">
      <w:pPr>
        <w:rPr>
          <w:b/>
          <w:lang w:val="en-US"/>
        </w:rPr>
      </w:pPr>
      <w:r w:rsidRPr="00177E6B">
        <w:rPr>
          <w:b/>
          <w:lang w:val="en-US"/>
        </w:rPr>
        <w:t xml:space="preserve">Proposal </w:t>
      </w:r>
      <w:r>
        <w:rPr>
          <w:b/>
          <w:lang w:val="en-US"/>
        </w:rPr>
        <w:t>3</w:t>
      </w:r>
      <w:r w:rsidRPr="00177E6B">
        <w:rPr>
          <w:b/>
          <w:lang w:val="en-US"/>
        </w:rPr>
        <w:t xml:space="preserve">: Include </w:t>
      </w:r>
      <w:r>
        <w:rPr>
          <w:b/>
          <w:lang w:val="en-US"/>
        </w:rPr>
        <w:t>High Linearity</w:t>
      </w:r>
      <w:r w:rsidRPr="00177E6B">
        <w:rPr>
          <w:b/>
          <w:lang w:val="en-US"/>
        </w:rPr>
        <w:t xml:space="preserve"> in the set of Capabilities to be signaled.</w:t>
      </w:r>
    </w:p>
    <w:p w:rsidR="00177E6B" w:rsidRDefault="00177E6B" w:rsidP="00A61C01">
      <w:pPr>
        <w:rPr>
          <w:b/>
          <w:lang w:val="en-US"/>
        </w:rPr>
      </w:pPr>
    </w:p>
    <w:p w:rsidR="00177E6B" w:rsidRDefault="00177E6B" w:rsidP="00A61C01">
      <w:pPr>
        <w:rPr>
          <w:b/>
          <w:lang w:val="en-US"/>
        </w:rPr>
      </w:pPr>
    </w:p>
    <w:p w:rsidR="00DD7C4C" w:rsidRDefault="00DD7C4C" w:rsidP="00A61C01">
      <w:pPr>
        <w:rPr>
          <w:b/>
          <w:lang w:val="en-US"/>
        </w:rPr>
      </w:pPr>
    </w:p>
    <w:p w:rsidR="00307817" w:rsidRDefault="00606B0C" w:rsidP="00533E15">
      <w:pPr>
        <w:pStyle w:val="Heading1"/>
        <w:rPr>
          <w:lang w:val="en-US"/>
        </w:rPr>
      </w:pPr>
      <w:r>
        <w:rPr>
          <w:lang w:val="en-US"/>
        </w:rPr>
        <w:t>4</w:t>
      </w:r>
      <w:r w:rsidR="00307817">
        <w:rPr>
          <w:lang w:val="en-US"/>
        </w:rPr>
        <w:tab/>
        <w:t>References</w:t>
      </w:r>
    </w:p>
    <w:p w:rsidR="00893061" w:rsidRDefault="008747F7" w:rsidP="00DE2794">
      <w:pPr>
        <w:numPr>
          <w:ilvl w:val="0"/>
          <w:numId w:val="5"/>
        </w:numPr>
        <w:rPr>
          <w:lang w:val="en-US"/>
        </w:rPr>
      </w:pPr>
      <w:r>
        <w:rPr>
          <w:lang w:val="en-US"/>
        </w:rPr>
        <w:t>R4-1807833, “</w:t>
      </w:r>
      <w:r w:rsidRPr="008747F7">
        <w:rPr>
          <w:lang w:val="en-US"/>
        </w:rPr>
        <w:t>Measurements for Band 41/n41 EN-DC A-MPR</w:t>
      </w:r>
      <w:r>
        <w:rPr>
          <w:lang w:val="en-US"/>
        </w:rPr>
        <w:t>”, RAN4#87</w:t>
      </w:r>
    </w:p>
    <w:p w:rsidR="00177E6B" w:rsidRPr="005C492D" w:rsidRDefault="00177E6B" w:rsidP="00DE2794">
      <w:pPr>
        <w:numPr>
          <w:ilvl w:val="0"/>
          <w:numId w:val="5"/>
        </w:numPr>
        <w:rPr>
          <w:lang w:val="en-US"/>
        </w:rPr>
      </w:pPr>
      <w:r>
        <w:rPr>
          <w:lang w:val="en-US"/>
        </w:rPr>
        <w:t>R4-1902498, “</w:t>
      </w:r>
      <w:r w:rsidRPr="00177E6B">
        <w:rPr>
          <w:lang w:val="en-US"/>
        </w:rPr>
        <w:t>WF on Rel-16 Improvement of A-MPR for B41/n41 EN-DC</w:t>
      </w:r>
      <w:r>
        <w:rPr>
          <w:lang w:val="en-US"/>
        </w:rPr>
        <w:t>”, RAN4#90</w:t>
      </w:r>
    </w:p>
    <w:sectPr w:rsidR="00177E6B" w:rsidRPr="005C49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B82" w:rsidRDefault="00886B82" w:rsidP="00ED16D3">
      <w:pPr>
        <w:spacing w:after="0"/>
      </w:pPr>
      <w:r>
        <w:separator/>
      </w:r>
    </w:p>
  </w:endnote>
  <w:endnote w:type="continuationSeparator" w:id="0">
    <w:p w:rsidR="00886B82" w:rsidRDefault="00886B82"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B82" w:rsidRDefault="00886B82" w:rsidP="00ED16D3">
      <w:pPr>
        <w:spacing w:after="0"/>
      </w:pPr>
      <w:r>
        <w:separator/>
      </w:r>
    </w:p>
  </w:footnote>
  <w:footnote w:type="continuationSeparator" w:id="0">
    <w:p w:rsidR="00886B82" w:rsidRDefault="00886B82"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B47AC"/>
    <w:multiLevelType w:val="hybridMultilevel"/>
    <w:tmpl w:val="BE82F33A"/>
    <w:lvl w:ilvl="0" w:tplc="9CCE10F4">
      <w:start w:val="1"/>
      <w:numFmt w:val="bullet"/>
      <w:lvlText w:val="•"/>
      <w:lvlJc w:val="left"/>
      <w:pPr>
        <w:tabs>
          <w:tab w:val="num" w:pos="720"/>
        </w:tabs>
        <w:ind w:left="720" w:hanging="360"/>
      </w:pPr>
      <w:rPr>
        <w:rFonts w:ascii="Arial" w:hAnsi="Arial" w:hint="default"/>
      </w:rPr>
    </w:lvl>
    <w:lvl w:ilvl="1" w:tplc="A96AE13C" w:tentative="1">
      <w:start w:val="1"/>
      <w:numFmt w:val="bullet"/>
      <w:lvlText w:val="•"/>
      <w:lvlJc w:val="left"/>
      <w:pPr>
        <w:tabs>
          <w:tab w:val="num" w:pos="1440"/>
        </w:tabs>
        <w:ind w:left="1440" w:hanging="360"/>
      </w:pPr>
      <w:rPr>
        <w:rFonts w:ascii="Arial" w:hAnsi="Arial" w:hint="default"/>
      </w:rPr>
    </w:lvl>
    <w:lvl w:ilvl="2" w:tplc="6D04896C" w:tentative="1">
      <w:start w:val="1"/>
      <w:numFmt w:val="bullet"/>
      <w:lvlText w:val="•"/>
      <w:lvlJc w:val="left"/>
      <w:pPr>
        <w:tabs>
          <w:tab w:val="num" w:pos="2160"/>
        </w:tabs>
        <w:ind w:left="2160" w:hanging="360"/>
      </w:pPr>
      <w:rPr>
        <w:rFonts w:ascii="Arial" w:hAnsi="Arial" w:hint="default"/>
      </w:rPr>
    </w:lvl>
    <w:lvl w:ilvl="3" w:tplc="7F988E38" w:tentative="1">
      <w:start w:val="1"/>
      <w:numFmt w:val="bullet"/>
      <w:lvlText w:val="•"/>
      <w:lvlJc w:val="left"/>
      <w:pPr>
        <w:tabs>
          <w:tab w:val="num" w:pos="2880"/>
        </w:tabs>
        <w:ind w:left="2880" w:hanging="360"/>
      </w:pPr>
      <w:rPr>
        <w:rFonts w:ascii="Arial" w:hAnsi="Arial" w:hint="default"/>
      </w:rPr>
    </w:lvl>
    <w:lvl w:ilvl="4" w:tplc="7B864DFE" w:tentative="1">
      <w:start w:val="1"/>
      <w:numFmt w:val="bullet"/>
      <w:lvlText w:val="•"/>
      <w:lvlJc w:val="left"/>
      <w:pPr>
        <w:tabs>
          <w:tab w:val="num" w:pos="3600"/>
        </w:tabs>
        <w:ind w:left="3600" w:hanging="360"/>
      </w:pPr>
      <w:rPr>
        <w:rFonts w:ascii="Arial" w:hAnsi="Arial" w:hint="default"/>
      </w:rPr>
    </w:lvl>
    <w:lvl w:ilvl="5" w:tplc="A1723428" w:tentative="1">
      <w:start w:val="1"/>
      <w:numFmt w:val="bullet"/>
      <w:lvlText w:val="•"/>
      <w:lvlJc w:val="left"/>
      <w:pPr>
        <w:tabs>
          <w:tab w:val="num" w:pos="4320"/>
        </w:tabs>
        <w:ind w:left="4320" w:hanging="360"/>
      </w:pPr>
      <w:rPr>
        <w:rFonts w:ascii="Arial" w:hAnsi="Arial" w:hint="default"/>
      </w:rPr>
    </w:lvl>
    <w:lvl w:ilvl="6" w:tplc="5D76D83C" w:tentative="1">
      <w:start w:val="1"/>
      <w:numFmt w:val="bullet"/>
      <w:lvlText w:val="•"/>
      <w:lvlJc w:val="left"/>
      <w:pPr>
        <w:tabs>
          <w:tab w:val="num" w:pos="5040"/>
        </w:tabs>
        <w:ind w:left="5040" w:hanging="360"/>
      </w:pPr>
      <w:rPr>
        <w:rFonts w:ascii="Arial" w:hAnsi="Arial" w:hint="default"/>
      </w:rPr>
    </w:lvl>
    <w:lvl w:ilvl="7" w:tplc="20605470" w:tentative="1">
      <w:start w:val="1"/>
      <w:numFmt w:val="bullet"/>
      <w:lvlText w:val="•"/>
      <w:lvlJc w:val="left"/>
      <w:pPr>
        <w:tabs>
          <w:tab w:val="num" w:pos="5760"/>
        </w:tabs>
        <w:ind w:left="5760" w:hanging="360"/>
      </w:pPr>
      <w:rPr>
        <w:rFonts w:ascii="Arial" w:hAnsi="Arial" w:hint="default"/>
      </w:rPr>
    </w:lvl>
    <w:lvl w:ilvl="8" w:tplc="BCD242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455A5"/>
    <w:multiLevelType w:val="hybridMultilevel"/>
    <w:tmpl w:val="D400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7"/>
  </w:num>
  <w:num w:numId="4">
    <w:abstractNumId w:val="10"/>
  </w:num>
  <w:num w:numId="5">
    <w:abstractNumId w:val="8"/>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2"/>
  </w:num>
  <w:num w:numId="10">
    <w:abstractNumId w:val="14"/>
  </w:num>
  <w:num w:numId="11">
    <w:abstractNumId w:val="13"/>
  </w:num>
  <w:num w:numId="12">
    <w:abstractNumId w:val="0"/>
  </w:num>
  <w:num w:numId="13">
    <w:abstractNumId w:val="3"/>
  </w:num>
  <w:num w:numId="14">
    <w:abstractNumId w:val="1"/>
  </w:num>
  <w:num w:numId="15">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291"/>
    <w:rsid w:val="0000368B"/>
    <w:rsid w:val="00004C2B"/>
    <w:rsid w:val="00006338"/>
    <w:rsid w:val="00012171"/>
    <w:rsid w:val="00016C7E"/>
    <w:rsid w:val="00022C17"/>
    <w:rsid w:val="000230BC"/>
    <w:rsid w:val="000246D7"/>
    <w:rsid w:val="000249BB"/>
    <w:rsid w:val="00025369"/>
    <w:rsid w:val="00026181"/>
    <w:rsid w:val="000337FA"/>
    <w:rsid w:val="00034DF4"/>
    <w:rsid w:val="00036827"/>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943F2"/>
    <w:rsid w:val="00097167"/>
    <w:rsid w:val="000A4873"/>
    <w:rsid w:val="000B5C2C"/>
    <w:rsid w:val="000B5EB7"/>
    <w:rsid w:val="000C18C0"/>
    <w:rsid w:val="000C1CA4"/>
    <w:rsid w:val="000C4F98"/>
    <w:rsid w:val="000C5726"/>
    <w:rsid w:val="000C7C15"/>
    <w:rsid w:val="000D3E6E"/>
    <w:rsid w:val="000E05F9"/>
    <w:rsid w:val="000E28F5"/>
    <w:rsid w:val="000E291B"/>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24A9"/>
    <w:rsid w:val="00133230"/>
    <w:rsid w:val="0013434F"/>
    <w:rsid w:val="00134A49"/>
    <w:rsid w:val="00134B73"/>
    <w:rsid w:val="001378E4"/>
    <w:rsid w:val="00141E20"/>
    <w:rsid w:val="001447C0"/>
    <w:rsid w:val="001447ED"/>
    <w:rsid w:val="0014499D"/>
    <w:rsid w:val="00150AF3"/>
    <w:rsid w:val="001533DA"/>
    <w:rsid w:val="00153504"/>
    <w:rsid w:val="00154DF0"/>
    <w:rsid w:val="001624FA"/>
    <w:rsid w:val="001628E5"/>
    <w:rsid w:val="0016296C"/>
    <w:rsid w:val="00163C51"/>
    <w:rsid w:val="00163E81"/>
    <w:rsid w:val="00166F8F"/>
    <w:rsid w:val="00167F6D"/>
    <w:rsid w:val="00172F64"/>
    <w:rsid w:val="00177E6B"/>
    <w:rsid w:val="00184372"/>
    <w:rsid w:val="0018470A"/>
    <w:rsid w:val="00184C79"/>
    <w:rsid w:val="00187DFC"/>
    <w:rsid w:val="00190122"/>
    <w:rsid w:val="00196E39"/>
    <w:rsid w:val="001A1714"/>
    <w:rsid w:val="001A283D"/>
    <w:rsid w:val="001A546C"/>
    <w:rsid w:val="001A54B7"/>
    <w:rsid w:val="001B12F2"/>
    <w:rsid w:val="001B65F2"/>
    <w:rsid w:val="001B75D7"/>
    <w:rsid w:val="001C2AF1"/>
    <w:rsid w:val="001C382A"/>
    <w:rsid w:val="001C60D1"/>
    <w:rsid w:val="001C655C"/>
    <w:rsid w:val="001D0D92"/>
    <w:rsid w:val="001D16CA"/>
    <w:rsid w:val="001D63A7"/>
    <w:rsid w:val="001D6BCA"/>
    <w:rsid w:val="001D6EFE"/>
    <w:rsid w:val="001D7011"/>
    <w:rsid w:val="001D7C8D"/>
    <w:rsid w:val="001E2F54"/>
    <w:rsid w:val="001E3240"/>
    <w:rsid w:val="001E68F5"/>
    <w:rsid w:val="001F1359"/>
    <w:rsid w:val="001F49F0"/>
    <w:rsid w:val="0020103A"/>
    <w:rsid w:val="0020535A"/>
    <w:rsid w:val="00207516"/>
    <w:rsid w:val="002106FC"/>
    <w:rsid w:val="00211C79"/>
    <w:rsid w:val="00213586"/>
    <w:rsid w:val="00217317"/>
    <w:rsid w:val="00217824"/>
    <w:rsid w:val="00220ACF"/>
    <w:rsid w:val="00223472"/>
    <w:rsid w:val="002251EE"/>
    <w:rsid w:val="002304DF"/>
    <w:rsid w:val="00232F3D"/>
    <w:rsid w:val="0023481D"/>
    <w:rsid w:val="00236998"/>
    <w:rsid w:val="0024069E"/>
    <w:rsid w:val="00243536"/>
    <w:rsid w:val="00246E96"/>
    <w:rsid w:val="002471BA"/>
    <w:rsid w:val="002503AA"/>
    <w:rsid w:val="00251D00"/>
    <w:rsid w:val="00252498"/>
    <w:rsid w:val="00255C10"/>
    <w:rsid w:val="00261474"/>
    <w:rsid w:val="00263E69"/>
    <w:rsid w:val="00265196"/>
    <w:rsid w:val="00265989"/>
    <w:rsid w:val="002668C4"/>
    <w:rsid w:val="00267313"/>
    <w:rsid w:val="00267ED8"/>
    <w:rsid w:val="0027606D"/>
    <w:rsid w:val="002814B2"/>
    <w:rsid w:val="00281BC1"/>
    <w:rsid w:val="002833A7"/>
    <w:rsid w:val="00283E87"/>
    <w:rsid w:val="002856EF"/>
    <w:rsid w:val="00285AC7"/>
    <w:rsid w:val="00286E2D"/>
    <w:rsid w:val="00291D61"/>
    <w:rsid w:val="00292768"/>
    <w:rsid w:val="00292B32"/>
    <w:rsid w:val="00294F26"/>
    <w:rsid w:val="00295520"/>
    <w:rsid w:val="002955F3"/>
    <w:rsid w:val="002A4A4C"/>
    <w:rsid w:val="002A60EF"/>
    <w:rsid w:val="002A7020"/>
    <w:rsid w:val="002B09FF"/>
    <w:rsid w:val="002B1C2F"/>
    <w:rsid w:val="002B1CC2"/>
    <w:rsid w:val="002B2941"/>
    <w:rsid w:val="002B57C1"/>
    <w:rsid w:val="002B7A82"/>
    <w:rsid w:val="002C5A27"/>
    <w:rsid w:val="002C66B9"/>
    <w:rsid w:val="002C74D0"/>
    <w:rsid w:val="002C79C7"/>
    <w:rsid w:val="002D0935"/>
    <w:rsid w:val="002D21F3"/>
    <w:rsid w:val="002D2A48"/>
    <w:rsid w:val="002D4F53"/>
    <w:rsid w:val="002E32A1"/>
    <w:rsid w:val="002E7C94"/>
    <w:rsid w:val="002F19CC"/>
    <w:rsid w:val="002F1B98"/>
    <w:rsid w:val="002F22A9"/>
    <w:rsid w:val="002F38D4"/>
    <w:rsid w:val="002F4C16"/>
    <w:rsid w:val="00306BF4"/>
    <w:rsid w:val="00307280"/>
    <w:rsid w:val="00307817"/>
    <w:rsid w:val="00310252"/>
    <w:rsid w:val="00315C1B"/>
    <w:rsid w:val="003167F1"/>
    <w:rsid w:val="0031706F"/>
    <w:rsid w:val="00320BE6"/>
    <w:rsid w:val="00322784"/>
    <w:rsid w:val="0032314E"/>
    <w:rsid w:val="0032622F"/>
    <w:rsid w:val="0032669E"/>
    <w:rsid w:val="00331D6C"/>
    <w:rsid w:val="00332F66"/>
    <w:rsid w:val="00337142"/>
    <w:rsid w:val="00344C22"/>
    <w:rsid w:val="00347349"/>
    <w:rsid w:val="00351044"/>
    <w:rsid w:val="003536E2"/>
    <w:rsid w:val="00356DAE"/>
    <w:rsid w:val="003573B9"/>
    <w:rsid w:val="00357B15"/>
    <w:rsid w:val="0036778F"/>
    <w:rsid w:val="00371202"/>
    <w:rsid w:val="003770B1"/>
    <w:rsid w:val="0038141D"/>
    <w:rsid w:val="00384454"/>
    <w:rsid w:val="00385E73"/>
    <w:rsid w:val="0038629F"/>
    <w:rsid w:val="003932E7"/>
    <w:rsid w:val="003A2B10"/>
    <w:rsid w:val="003B059C"/>
    <w:rsid w:val="003B33E1"/>
    <w:rsid w:val="003B4B43"/>
    <w:rsid w:val="003B5051"/>
    <w:rsid w:val="003B5D49"/>
    <w:rsid w:val="003B66BC"/>
    <w:rsid w:val="003C2B37"/>
    <w:rsid w:val="003D2105"/>
    <w:rsid w:val="003E1789"/>
    <w:rsid w:val="003E1AEB"/>
    <w:rsid w:val="003E3DA7"/>
    <w:rsid w:val="003E5E4B"/>
    <w:rsid w:val="003E69E9"/>
    <w:rsid w:val="003F3DA0"/>
    <w:rsid w:val="003F413C"/>
    <w:rsid w:val="003F43ED"/>
    <w:rsid w:val="0040190F"/>
    <w:rsid w:val="0040204E"/>
    <w:rsid w:val="00410027"/>
    <w:rsid w:val="0041045B"/>
    <w:rsid w:val="00414105"/>
    <w:rsid w:val="004146B9"/>
    <w:rsid w:val="00414F8C"/>
    <w:rsid w:val="00416A57"/>
    <w:rsid w:val="00420F4E"/>
    <w:rsid w:val="004212D4"/>
    <w:rsid w:val="0042415B"/>
    <w:rsid w:val="004247FB"/>
    <w:rsid w:val="004257E2"/>
    <w:rsid w:val="0042679C"/>
    <w:rsid w:val="00430567"/>
    <w:rsid w:val="0043087A"/>
    <w:rsid w:val="004328A4"/>
    <w:rsid w:val="00435D12"/>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6F52"/>
    <w:rsid w:val="004A0DCE"/>
    <w:rsid w:val="004A1AD0"/>
    <w:rsid w:val="004A4210"/>
    <w:rsid w:val="004A58E2"/>
    <w:rsid w:val="004A5B74"/>
    <w:rsid w:val="004A75D5"/>
    <w:rsid w:val="004B021E"/>
    <w:rsid w:val="004B395C"/>
    <w:rsid w:val="004B57FE"/>
    <w:rsid w:val="004B7B7C"/>
    <w:rsid w:val="004B7E43"/>
    <w:rsid w:val="004C011A"/>
    <w:rsid w:val="004C783A"/>
    <w:rsid w:val="004D1393"/>
    <w:rsid w:val="004D1A44"/>
    <w:rsid w:val="004D233E"/>
    <w:rsid w:val="004D305E"/>
    <w:rsid w:val="004D547D"/>
    <w:rsid w:val="004E0A39"/>
    <w:rsid w:val="004E2993"/>
    <w:rsid w:val="004E397A"/>
    <w:rsid w:val="004E6935"/>
    <w:rsid w:val="004E716F"/>
    <w:rsid w:val="004E722A"/>
    <w:rsid w:val="004E7C65"/>
    <w:rsid w:val="004F0802"/>
    <w:rsid w:val="004F4745"/>
    <w:rsid w:val="004F4C5F"/>
    <w:rsid w:val="004F7980"/>
    <w:rsid w:val="005008F0"/>
    <w:rsid w:val="005019F7"/>
    <w:rsid w:val="0050203F"/>
    <w:rsid w:val="00503B77"/>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5B96"/>
    <w:rsid w:val="005403B9"/>
    <w:rsid w:val="00545349"/>
    <w:rsid w:val="005461B4"/>
    <w:rsid w:val="00547521"/>
    <w:rsid w:val="00551F63"/>
    <w:rsid w:val="005523AC"/>
    <w:rsid w:val="005537B4"/>
    <w:rsid w:val="005553E2"/>
    <w:rsid w:val="00556607"/>
    <w:rsid w:val="0055713E"/>
    <w:rsid w:val="0055730E"/>
    <w:rsid w:val="00561F7E"/>
    <w:rsid w:val="005631C0"/>
    <w:rsid w:val="00566805"/>
    <w:rsid w:val="00577F5C"/>
    <w:rsid w:val="00582EF0"/>
    <w:rsid w:val="00586863"/>
    <w:rsid w:val="005906CE"/>
    <w:rsid w:val="005941AC"/>
    <w:rsid w:val="005946BB"/>
    <w:rsid w:val="005A2F33"/>
    <w:rsid w:val="005A4100"/>
    <w:rsid w:val="005A622C"/>
    <w:rsid w:val="005A7BB5"/>
    <w:rsid w:val="005B0F49"/>
    <w:rsid w:val="005B1A1B"/>
    <w:rsid w:val="005C22CB"/>
    <w:rsid w:val="005C492D"/>
    <w:rsid w:val="005C5FF2"/>
    <w:rsid w:val="005D3327"/>
    <w:rsid w:val="005E0744"/>
    <w:rsid w:val="005E77D5"/>
    <w:rsid w:val="005E7819"/>
    <w:rsid w:val="005F2C9C"/>
    <w:rsid w:val="005F7E6B"/>
    <w:rsid w:val="006007FB"/>
    <w:rsid w:val="00602251"/>
    <w:rsid w:val="00606B0C"/>
    <w:rsid w:val="00611E68"/>
    <w:rsid w:val="00614906"/>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C1B"/>
    <w:rsid w:val="00686E91"/>
    <w:rsid w:val="00687222"/>
    <w:rsid w:val="00690190"/>
    <w:rsid w:val="0069129D"/>
    <w:rsid w:val="00691B27"/>
    <w:rsid w:val="006A663B"/>
    <w:rsid w:val="006A77BC"/>
    <w:rsid w:val="006A7D5A"/>
    <w:rsid w:val="006B00BD"/>
    <w:rsid w:val="006B2E8C"/>
    <w:rsid w:val="006B5CE5"/>
    <w:rsid w:val="006C0818"/>
    <w:rsid w:val="006C3EAC"/>
    <w:rsid w:val="006C4317"/>
    <w:rsid w:val="006C5D28"/>
    <w:rsid w:val="006D0CDE"/>
    <w:rsid w:val="006D2D18"/>
    <w:rsid w:val="006D515C"/>
    <w:rsid w:val="006D5626"/>
    <w:rsid w:val="006D590B"/>
    <w:rsid w:val="006D5D2B"/>
    <w:rsid w:val="006D65F2"/>
    <w:rsid w:val="006E022A"/>
    <w:rsid w:val="006E2A02"/>
    <w:rsid w:val="006E53E4"/>
    <w:rsid w:val="006E6AFC"/>
    <w:rsid w:val="006E6E76"/>
    <w:rsid w:val="006F0097"/>
    <w:rsid w:val="006F151E"/>
    <w:rsid w:val="006F2C99"/>
    <w:rsid w:val="006F3A04"/>
    <w:rsid w:val="006F60BC"/>
    <w:rsid w:val="006F7B0E"/>
    <w:rsid w:val="00702F04"/>
    <w:rsid w:val="00703191"/>
    <w:rsid w:val="00703F92"/>
    <w:rsid w:val="0071072E"/>
    <w:rsid w:val="00715709"/>
    <w:rsid w:val="00717139"/>
    <w:rsid w:val="007212E5"/>
    <w:rsid w:val="007237E7"/>
    <w:rsid w:val="007276B9"/>
    <w:rsid w:val="00732947"/>
    <w:rsid w:val="00732B6A"/>
    <w:rsid w:val="00736972"/>
    <w:rsid w:val="00737F3F"/>
    <w:rsid w:val="00742043"/>
    <w:rsid w:val="00743746"/>
    <w:rsid w:val="00745699"/>
    <w:rsid w:val="00747258"/>
    <w:rsid w:val="007516D0"/>
    <w:rsid w:val="00751D5E"/>
    <w:rsid w:val="00754BA4"/>
    <w:rsid w:val="00756219"/>
    <w:rsid w:val="00757CDA"/>
    <w:rsid w:val="007605C5"/>
    <w:rsid w:val="00760CC4"/>
    <w:rsid w:val="00763C70"/>
    <w:rsid w:val="00764441"/>
    <w:rsid w:val="00764998"/>
    <w:rsid w:val="00764A83"/>
    <w:rsid w:val="00766813"/>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B68C1"/>
    <w:rsid w:val="007C05B0"/>
    <w:rsid w:val="007C1E0A"/>
    <w:rsid w:val="007C4658"/>
    <w:rsid w:val="007C747C"/>
    <w:rsid w:val="007D0E42"/>
    <w:rsid w:val="007D1896"/>
    <w:rsid w:val="007D1ADD"/>
    <w:rsid w:val="007D287E"/>
    <w:rsid w:val="007E1F35"/>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62003"/>
    <w:rsid w:val="00862A8A"/>
    <w:rsid w:val="00863D25"/>
    <w:rsid w:val="00866FE6"/>
    <w:rsid w:val="0086791E"/>
    <w:rsid w:val="008709E4"/>
    <w:rsid w:val="00870EBE"/>
    <w:rsid w:val="00871134"/>
    <w:rsid w:val="008747F7"/>
    <w:rsid w:val="008752B1"/>
    <w:rsid w:val="008828E0"/>
    <w:rsid w:val="00883CA5"/>
    <w:rsid w:val="00884E59"/>
    <w:rsid w:val="00885214"/>
    <w:rsid w:val="0088529F"/>
    <w:rsid w:val="00886B82"/>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60A9"/>
    <w:rsid w:val="008D467C"/>
    <w:rsid w:val="008D5C7E"/>
    <w:rsid w:val="008D7191"/>
    <w:rsid w:val="008D7C2E"/>
    <w:rsid w:val="008E5CD0"/>
    <w:rsid w:val="008E6C1A"/>
    <w:rsid w:val="008E6E94"/>
    <w:rsid w:val="008F2C4A"/>
    <w:rsid w:val="00906466"/>
    <w:rsid w:val="00910548"/>
    <w:rsid w:val="00912DB3"/>
    <w:rsid w:val="00915502"/>
    <w:rsid w:val="00917726"/>
    <w:rsid w:val="00917F00"/>
    <w:rsid w:val="009212D9"/>
    <w:rsid w:val="00924609"/>
    <w:rsid w:val="0092620F"/>
    <w:rsid w:val="00937090"/>
    <w:rsid w:val="00941078"/>
    <w:rsid w:val="009422BD"/>
    <w:rsid w:val="00942E56"/>
    <w:rsid w:val="00943974"/>
    <w:rsid w:val="00952BE8"/>
    <w:rsid w:val="009570AE"/>
    <w:rsid w:val="00960E18"/>
    <w:rsid w:val="00962250"/>
    <w:rsid w:val="0096258E"/>
    <w:rsid w:val="009678C6"/>
    <w:rsid w:val="00967ADD"/>
    <w:rsid w:val="0097137E"/>
    <w:rsid w:val="009732D2"/>
    <w:rsid w:val="0097695C"/>
    <w:rsid w:val="0098046C"/>
    <w:rsid w:val="00982C87"/>
    <w:rsid w:val="009835BC"/>
    <w:rsid w:val="00983F79"/>
    <w:rsid w:val="00987271"/>
    <w:rsid w:val="009900F7"/>
    <w:rsid w:val="00991BAD"/>
    <w:rsid w:val="00993E67"/>
    <w:rsid w:val="00994E4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2B5E"/>
    <w:rsid w:val="009C35D3"/>
    <w:rsid w:val="009C36CC"/>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5CBD"/>
    <w:rsid w:val="00A07786"/>
    <w:rsid w:val="00A10401"/>
    <w:rsid w:val="00A107DF"/>
    <w:rsid w:val="00A157C3"/>
    <w:rsid w:val="00A21901"/>
    <w:rsid w:val="00A267C4"/>
    <w:rsid w:val="00A2739C"/>
    <w:rsid w:val="00A3270E"/>
    <w:rsid w:val="00A34B1D"/>
    <w:rsid w:val="00A3785C"/>
    <w:rsid w:val="00A402F8"/>
    <w:rsid w:val="00A41DFD"/>
    <w:rsid w:val="00A427B4"/>
    <w:rsid w:val="00A43960"/>
    <w:rsid w:val="00A445D1"/>
    <w:rsid w:val="00A4523E"/>
    <w:rsid w:val="00A465E5"/>
    <w:rsid w:val="00A51322"/>
    <w:rsid w:val="00A5138F"/>
    <w:rsid w:val="00A52559"/>
    <w:rsid w:val="00A61C01"/>
    <w:rsid w:val="00A63508"/>
    <w:rsid w:val="00A67FBF"/>
    <w:rsid w:val="00A70F8C"/>
    <w:rsid w:val="00A710DC"/>
    <w:rsid w:val="00A72D1C"/>
    <w:rsid w:val="00A73B29"/>
    <w:rsid w:val="00A83E32"/>
    <w:rsid w:val="00A84E89"/>
    <w:rsid w:val="00A867D4"/>
    <w:rsid w:val="00A86B04"/>
    <w:rsid w:val="00A90A81"/>
    <w:rsid w:val="00A94ECB"/>
    <w:rsid w:val="00A96493"/>
    <w:rsid w:val="00AA5219"/>
    <w:rsid w:val="00AB4BCE"/>
    <w:rsid w:val="00AB6059"/>
    <w:rsid w:val="00AB73BE"/>
    <w:rsid w:val="00AC673C"/>
    <w:rsid w:val="00AD432B"/>
    <w:rsid w:val="00AD472F"/>
    <w:rsid w:val="00AD628D"/>
    <w:rsid w:val="00AD7858"/>
    <w:rsid w:val="00AD7A3C"/>
    <w:rsid w:val="00AE1D69"/>
    <w:rsid w:val="00AF0A36"/>
    <w:rsid w:val="00AF1293"/>
    <w:rsid w:val="00AF230E"/>
    <w:rsid w:val="00AF41A9"/>
    <w:rsid w:val="00AF461A"/>
    <w:rsid w:val="00AF6CED"/>
    <w:rsid w:val="00B04746"/>
    <w:rsid w:val="00B0637E"/>
    <w:rsid w:val="00B07233"/>
    <w:rsid w:val="00B141DD"/>
    <w:rsid w:val="00B20901"/>
    <w:rsid w:val="00B20B96"/>
    <w:rsid w:val="00B21718"/>
    <w:rsid w:val="00B348E6"/>
    <w:rsid w:val="00B430D7"/>
    <w:rsid w:val="00B447A9"/>
    <w:rsid w:val="00B45190"/>
    <w:rsid w:val="00B47DE5"/>
    <w:rsid w:val="00B51DF8"/>
    <w:rsid w:val="00B557FD"/>
    <w:rsid w:val="00B60673"/>
    <w:rsid w:val="00B625DE"/>
    <w:rsid w:val="00B63805"/>
    <w:rsid w:val="00B644B0"/>
    <w:rsid w:val="00B668A1"/>
    <w:rsid w:val="00B66F55"/>
    <w:rsid w:val="00B678C7"/>
    <w:rsid w:val="00B73298"/>
    <w:rsid w:val="00B744F1"/>
    <w:rsid w:val="00B75CFE"/>
    <w:rsid w:val="00B80394"/>
    <w:rsid w:val="00B805D5"/>
    <w:rsid w:val="00B808AF"/>
    <w:rsid w:val="00B82DD8"/>
    <w:rsid w:val="00B83C50"/>
    <w:rsid w:val="00B8404E"/>
    <w:rsid w:val="00B937FC"/>
    <w:rsid w:val="00B94324"/>
    <w:rsid w:val="00B9551D"/>
    <w:rsid w:val="00B96192"/>
    <w:rsid w:val="00B97190"/>
    <w:rsid w:val="00B97E51"/>
    <w:rsid w:val="00BA1EB6"/>
    <w:rsid w:val="00BB38BC"/>
    <w:rsid w:val="00BD4844"/>
    <w:rsid w:val="00BD533E"/>
    <w:rsid w:val="00BD6103"/>
    <w:rsid w:val="00BE293C"/>
    <w:rsid w:val="00BE389E"/>
    <w:rsid w:val="00BF2B32"/>
    <w:rsid w:val="00C02F39"/>
    <w:rsid w:val="00C0546E"/>
    <w:rsid w:val="00C1384C"/>
    <w:rsid w:val="00C143DB"/>
    <w:rsid w:val="00C2014E"/>
    <w:rsid w:val="00C217D3"/>
    <w:rsid w:val="00C23D45"/>
    <w:rsid w:val="00C30CEE"/>
    <w:rsid w:val="00C32C81"/>
    <w:rsid w:val="00C334E5"/>
    <w:rsid w:val="00C35326"/>
    <w:rsid w:val="00C373D3"/>
    <w:rsid w:val="00C41E3A"/>
    <w:rsid w:val="00C5056F"/>
    <w:rsid w:val="00C557FC"/>
    <w:rsid w:val="00C56D85"/>
    <w:rsid w:val="00C57AB2"/>
    <w:rsid w:val="00C61CEA"/>
    <w:rsid w:val="00C63FFE"/>
    <w:rsid w:val="00C655B8"/>
    <w:rsid w:val="00C669C2"/>
    <w:rsid w:val="00C73D57"/>
    <w:rsid w:val="00C8099A"/>
    <w:rsid w:val="00C84F38"/>
    <w:rsid w:val="00C87440"/>
    <w:rsid w:val="00C93B09"/>
    <w:rsid w:val="00C93E25"/>
    <w:rsid w:val="00C95408"/>
    <w:rsid w:val="00C96A86"/>
    <w:rsid w:val="00C9732C"/>
    <w:rsid w:val="00CA2A7E"/>
    <w:rsid w:val="00CA33FF"/>
    <w:rsid w:val="00CA65BF"/>
    <w:rsid w:val="00CB4895"/>
    <w:rsid w:val="00CB60A3"/>
    <w:rsid w:val="00CC3602"/>
    <w:rsid w:val="00CC586A"/>
    <w:rsid w:val="00CC6556"/>
    <w:rsid w:val="00CC74C8"/>
    <w:rsid w:val="00CD24EB"/>
    <w:rsid w:val="00CD5457"/>
    <w:rsid w:val="00CD66A8"/>
    <w:rsid w:val="00CE18E0"/>
    <w:rsid w:val="00CE4B72"/>
    <w:rsid w:val="00CF0508"/>
    <w:rsid w:val="00CF2ACE"/>
    <w:rsid w:val="00CF36DE"/>
    <w:rsid w:val="00CF3711"/>
    <w:rsid w:val="00D02C0F"/>
    <w:rsid w:val="00D03666"/>
    <w:rsid w:val="00D0457B"/>
    <w:rsid w:val="00D06A36"/>
    <w:rsid w:val="00D06EF6"/>
    <w:rsid w:val="00D07ABE"/>
    <w:rsid w:val="00D12BB9"/>
    <w:rsid w:val="00D14BCA"/>
    <w:rsid w:val="00D1772D"/>
    <w:rsid w:val="00D251C4"/>
    <w:rsid w:val="00D32C7D"/>
    <w:rsid w:val="00D33B3B"/>
    <w:rsid w:val="00D33B77"/>
    <w:rsid w:val="00D3605B"/>
    <w:rsid w:val="00D36C03"/>
    <w:rsid w:val="00D37F24"/>
    <w:rsid w:val="00D46CF2"/>
    <w:rsid w:val="00D506F5"/>
    <w:rsid w:val="00D549DD"/>
    <w:rsid w:val="00D54CFE"/>
    <w:rsid w:val="00D6027E"/>
    <w:rsid w:val="00D62D92"/>
    <w:rsid w:val="00D64A58"/>
    <w:rsid w:val="00D6677F"/>
    <w:rsid w:val="00D669D7"/>
    <w:rsid w:val="00D70486"/>
    <w:rsid w:val="00D72CD4"/>
    <w:rsid w:val="00D752D3"/>
    <w:rsid w:val="00D762F4"/>
    <w:rsid w:val="00D76C15"/>
    <w:rsid w:val="00D81F5B"/>
    <w:rsid w:val="00D877E1"/>
    <w:rsid w:val="00D92780"/>
    <w:rsid w:val="00D92A97"/>
    <w:rsid w:val="00D974EF"/>
    <w:rsid w:val="00D979FC"/>
    <w:rsid w:val="00D97B88"/>
    <w:rsid w:val="00DA1B3F"/>
    <w:rsid w:val="00DA1DE2"/>
    <w:rsid w:val="00DA37EA"/>
    <w:rsid w:val="00DA61A9"/>
    <w:rsid w:val="00DB2EDE"/>
    <w:rsid w:val="00DC0104"/>
    <w:rsid w:val="00DC05BC"/>
    <w:rsid w:val="00DC28C2"/>
    <w:rsid w:val="00DC4BD1"/>
    <w:rsid w:val="00DC7CFA"/>
    <w:rsid w:val="00DD1C15"/>
    <w:rsid w:val="00DD229E"/>
    <w:rsid w:val="00DD3BA5"/>
    <w:rsid w:val="00DD61F3"/>
    <w:rsid w:val="00DD7C4C"/>
    <w:rsid w:val="00DE09D4"/>
    <w:rsid w:val="00DE0C7C"/>
    <w:rsid w:val="00DE2794"/>
    <w:rsid w:val="00DF00F3"/>
    <w:rsid w:val="00DF058E"/>
    <w:rsid w:val="00DF36C4"/>
    <w:rsid w:val="00E02ABE"/>
    <w:rsid w:val="00E02B7E"/>
    <w:rsid w:val="00E14281"/>
    <w:rsid w:val="00E16CF0"/>
    <w:rsid w:val="00E1714A"/>
    <w:rsid w:val="00E20DFB"/>
    <w:rsid w:val="00E236E8"/>
    <w:rsid w:val="00E265BE"/>
    <w:rsid w:val="00E27CCB"/>
    <w:rsid w:val="00E27F54"/>
    <w:rsid w:val="00E30148"/>
    <w:rsid w:val="00E304F1"/>
    <w:rsid w:val="00E30C3A"/>
    <w:rsid w:val="00E4077E"/>
    <w:rsid w:val="00E40A11"/>
    <w:rsid w:val="00E426FA"/>
    <w:rsid w:val="00E43AF3"/>
    <w:rsid w:val="00E452AA"/>
    <w:rsid w:val="00E46B4B"/>
    <w:rsid w:val="00E472C7"/>
    <w:rsid w:val="00E47934"/>
    <w:rsid w:val="00E520C8"/>
    <w:rsid w:val="00E52B6D"/>
    <w:rsid w:val="00E53031"/>
    <w:rsid w:val="00E539D9"/>
    <w:rsid w:val="00E563A3"/>
    <w:rsid w:val="00E564AF"/>
    <w:rsid w:val="00E63F96"/>
    <w:rsid w:val="00E65F36"/>
    <w:rsid w:val="00E6726A"/>
    <w:rsid w:val="00E672FB"/>
    <w:rsid w:val="00E70AA3"/>
    <w:rsid w:val="00E72230"/>
    <w:rsid w:val="00E73A18"/>
    <w:rsid w:val="00E757F6"/>
    <w:rsid w:val="00E75F0E"/>
    <w:rsid w:val="00E76CC7"/>
    <w:rsid w:val="00E820B0"/>
    <w:rsid w:val="00E8308C"/>
    <w:rsid w:val="00E8469D"/>
    <w:rsid w:val="00E854E3"/>
    <w:rsid w:val="00E86166"/>
    <w:rsid w:val="00E8638E"/>
    <w:rsid w:val="00E90B8B"/>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2E2F"/>
    <w:rsid w:val="00EE58CF"/>
    <w:rsid w:val="00EF1D94"/>
    <w:rsid w:val="00EF5008"/>
    <w:rsid w:val="00EF6840"/>
    <w:rsid w:val="00EF763B"/>
    <w:rsid w:val="00F02A56"/>
    <w:rsid w:val="00F02F9C"/>
    <w:rsid w:val="00F04F93"/>
    <w:rsid w:val="00F1393F"/>
    <w:rsid w:val="00F141C6"/>
    <w:rsid w:val="00F164D3"/>
    <w:rsid w:val="00F23796"/>
    <w:rsid w:val="00F238C1"/>
    <w:rsid w:val="00F27E12"/>
    <w:rsid w:val="00F35618"/>
    <w:rsid w:val="00F35F18"/>
    <w:rsid w:val="00F4087F"/>
    <w:rsid w:val="00F40B13"/>
    <w:rsid w:val="00F42465"/>
    <w:rsid w:val="00F42539"/>
    <w:rsid w:val="00F43900"/>
    <w:rsid w:val="00F461F3"/>
    <w:rsid w:val="00F4664E"/>
    <w:rsid w:val="00F54166"/>
    <w:rsid w:val="00F626B5"/>
    <w:rsid w:val="00F64E68"/>
    <w:rsid w:val="00F661FA"/>
    <w:rsid w:val="00F6694B"/>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B0377"/>
    <w:rsid w:val="00FB22D8"/>
    <w:rsid w:val="00FB70F6"/>
    <w:rsid w:val="00FC503D"/>
    <w:rsid w:val="00FC70DA"/>
    <w:rsid w:val="00FC78EB"/>
    <w:rsid w:val="00FE1565"/>
    <w:rsid w:val="00FE7867"/>
    <w:rsid w:val="00FE7DDA"/>
    <w:rsid w:val="00FF04D5"/>
    <w:rsid w:val="00FF1707"/>
    <w:rsid w:val="00FF293E"/>
    <w:rsid w:val="00FF2975"/>
    <w:rsid w:val="00FF31D6"/>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4F3B9A"/>
  <w15:chartTrackingRefBased/>
  <w15:docId w15:val="{D12B5736-57B6-465B-BA91-D439DCE6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42443016">
      <w:bodyDiv w:val="1"/>
      <w:marLeft w:val="0"/>
      <w:marRight w:val="0"/>
      <w:marTop w:val="0"/>
      <w:marBottom w:val="0"/>
      <w:divBdr>
        <w:top w:val="none" w:sz="0" w:space="0" w:color="auto"/>
        <w:left w:val="none" w:sz="0" w:space="0" w:color="auto"/>
        <w:bottom w:val="none" w:sz="0" w:space="0" w:color="auto"/>
        <w:right w:val="none" w:sz="0" w:space="0" w:color="auto"/>
      </w:divBdr>
      <w:divsChild>
        <w:div w:id="1458111500">
          <w:marLeft w:val="547"/>
          <w:marRight w:val="0"/>
          <w:marTop w:val="0"/>
          <w:marBottom w:val="0"/>
          <w:divBdr>
            <w:top w:val="none" w:sz="0" w:space="0" w:color="auto"/>
            <w:left w:val="none" w:sz="0" w:space="0" w:color="auto"/>
            <w:bottom w:val="none" w:sz="0" w:space="0" w:color="auto"/>
            <w:right w:val="none" w:sz="0" w:space="0" w:color="auto"/>
          </w:divBdr>
        </w:div>
      </w:divsChild>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4.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5.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6.xml><?xml version="1.0" encoding="utf-8"?>
<ds:datastoreItem xmlns:ds="http://schemas.openxmlformats.org/officeDocument/2006/customXml" ds:itemID="{27DD9F8D-38D7-41BF-9690-04E542829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Mike Witherell</cp:lastModifiedBy>
  <cp:revision>2</cp:revision>
  <dcterms:created xsi:type="dcterms:W3CDTF">2019-04-01T20:55:00Z</dcterms:created>
  <dcterms:modified xsi:type="dcterms:W3CDTF">2019-04-01T20:55:00Z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