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3B570" w14:textId="1CB41366" w:rsidR="00496F3A" w:rsidRPr="006C0AF4" w:rsidRDefault="00496F3A" w:rsidP="00496F3A">
      <w:pPr>
        <w:pStyle w:val="Header"/>
        <w:tabs>
          <w:tab w:val="right" w:pos="10440"/>
          <w:tab w:val="right" w:pos="13323"/>
        </w:tabs>
        <w:rPr>
          <w:rFonts w:eastAsiaTheme="minorEastAsia" w:cs="Arial"/>
          <w:noProof w:val="0"/>
          <w:sz w:val="24"/>
          <w:szCs w:val="24"/>
        </w:rPr>
      </w:pPr>
      <w:r w:rsidRPr="006C0AF4">
        <w:rPr>
          <w:rFonts w:cs="Arial"/>
          <w:noProof w:val="0"/>
          <w:sz w:val="24"/>
          <w:szCs w:val="24"/>
        </w:rPr>
        <w:t xml:space="preserve">3GPP TSG-RAN WG4 Meeting </w:t>
      </w:r>
      <w:r w:rsidR="00E92DAA">
        <w:rPr>
          <w:rFonts w:cs="Arial" w:hint="eastAsia"/>
          <w:noProof w:val="0"/>
          <w:sz w:val="24"/>
          <w:szCs w:val="24"/>
        </w:rPr>
        <w:t>#</w:t>
      </w:r>
      <w:r w:rsidR="00956E25">
        <w:rPr>
          <w:rFonts w:cs="Arial"/>
          <w:noProof w:val="0"/>
          <w:sz w:val="24"/>
          <w:szCs w:val="24"/>
        </w:rPr>
        <w:t>90-Bis</w:t>
      </w:r>
      <w:r w:rsidR="00E92DAA">
        <w:rPr>
          <w:rFonts w:cs="Arial" w:hint="eastAsia"/>
          <w:noProof w:val="0"/>
          <w:sz w:val="24"/>
          <w:szCs w:val="24"/>
        </w:rPr>
        <w:t xml:space="preserve">    </w:t>
      </w:r>
      <w:r w:rsidRPr="006C0AF4">
        <w:rPr>
          <w:rFonts w:eastAsia="Malgun Gothic" w:cs="Arial"/>
          <w:noProof w:val="0"/>
          <w:sz w:val="24"/>
          <w:szCs w:val="24"/>
        </w:rPr>
        <w:t xml:space="preserve">                                                     </w:t>
      </w:r>
      <w:r w:rsidRPr="00D77D7F">
        <w:rPr>
          <w:rFonts w:cs="Arial"/>
          <w:noProof w:val="0"/>
          <w:sz w:val="24"/>
          <w:szCs w:val="24"/>
        </w:rPr>
        <w:t xml:space="preserve">   </w:t>
      </w:r>
      <w:r w:rsidR="006B76ED">
        <w:rPr>
          <w:rFonts w:cs="Arial"/>
          <w:noProof w:val="0"/>
          <w:sz w:val="24"/>
          <w:szCs w:val="24"/>
        </w:rPr>
        <w:t>R4-1</w:t>
      </w:r>
      <w:r w:rsidR="00956E25">
        <w:rPr>
          <w:rFonts w:cs="Arial"/>
          <w:noProof w:val="0"/>
          <w:sz w:val="24"/>
          <w:szCs w:val="24"/>
        </w:rPr>
        <w:t>9</w:t>
      </w:r>
      <w:r w:rsidR="00E906FB">
        <w:rPr>
          <w:rFonts w:cs="Arial"/>
          <w:noProof w:val="0"/>
          <w:sz w:val="24"/>
          <w:szCs w:val="24"/>
        </w:rPr>
        <w:t>03375</w:t>
      </w:r>
    </w:p>
    <w:p w14:paraId="24F4894B" w14:textId="223627DE" w:rsidR="00496F3A" w:rsidRPr="006B76ED" w:rsidRDefault="00956E25" w:rsidP="00496F3A">
      <w:pPr>
        <w:tabs>
          <w:tab w:val="left" w:pos="1985"/>
        </w:tabs>
        <w:spacing w:after="100" w:afterAutospacing="1"/>
        <w:jc w:val="both"/>
        <w:rPr>
          <w:rFonts w:ascii="Arial" w:eastAsiaTheme="minorEastAsia" w:hAnsi="Arial" w:cs="Arial"/>
          <w:noProof/>
          <w:sz w:val="28"/>
        </w:rPr>
      </w:pPr>
      <w:r>
        <w:rPr>
          <w:rFonts w:ascii="Arial" w:eastAsia="Malgun Gothic" w:hAnsi="Arial" w:cs="Arial"/>
          <w:b/>
          <w:bCs/>
          <w:noProof/>
          <w:sz w:val="24"/>
        </w:rPr>
        <w:t>Xi</w:t>
      </w:r>
      <w:r w:rsidR="00DF7454">
        <w:rPr>
          <w:rFonts w:ascii="Arial" w:eastAsia="Malgun Gothic" w:hAnsi="Arial" w:cs="Arial"/>
          <w:b/>
          <w:bCs/>
          <w:noProof/>
          <w:sz w:val="24"/>
        </w:rPr>
        <w:t>’</w:t>
      </w:r>
      <w:r>
        <w:rPr>
          <w:rFonts w:ascii="Arial" w:eastAsia="Malgun Gothic" w:hAnsi="Arial" w:cs="Arial"/>
          <w:b/>
          <w:bCs/>
          <w:noProof/>
          <w:sz w:val="24"/>
        </w:rPr>
        <w:t>an</w:t>
      </w:r>
      <w:r w:rsidR="00496F3A" w:rsidRPr="006C0AF4">
        <w:rPr>
          <w:rFonts w:ascii="Arial" w:eastAsia="Arial" w:hAnsi="Arial" w:cs="Arial"/>
          <w:b/>
          <w:bCs/>
          <w:noProof/>
          <w:sz w:val="24"/>
        </w:rPr>
        <w:t xml:space="preserve">, </w:t>
      </w:r>
      <w:r>
        <w:rPr>
          <w:rFonts w:ascii="Arial" w:eastAsia="Arial" w:hAnsi="Arial" w:cs="Arial"/>
          <w:b/>
          <w:bCs/>
          <w:noProof/>
          <w:sz w:val="24"/>
        </w:rPr>
        <w:t>China</w:t>
      </w:r>
      <w:r w:rsidR="00496F3A" w:rsidRPr="006C0AF4">
        <w:rPr>
          <w:rFonts w:ascii="Arial" w:hAnsi="Arial" w:cs="Arial"/>
          <w:b/>
          <w:noProof/>
          <w:sz w:val="24"/>
          <w:lang w:eastAsia="zh-CN"/>
        </w:rPr>
        <w:t>,</w:t>
      </w:r>
      <w:r w:rsidR="00496F3A" w:rsidRPr="006C0AF4">
        <w:rPr>
          <w:rFonts w:ascii="Arial" w:hAnsi="Arial" w:cs="Arial"/>
          <w:b/>
          <w:bCs/>
          <w:noProof/>
          <w:sz w:val="24"/>
          <w:lang w:eastAsia="zh-CN"/>
        </w:rPr>
        <w:t xml:space="preserve"> </w:t>
      </w:r>
      <w:r>
        <w:rPr>
          <w:rFonts w:ascii="Arial" w:hAnsi="Arial" w:cs="Arial"/>
          <w:b/>
          <w:bCs/>
          <w:noProof/>
          <w:sz w:val="24"/>
        </w:rPr>
        <w:t>8</w:t>
      </w:r>
      <w:r w:rsidR="005A68A4">
        <w:rPr>
          <w:rFonts w:ascii="Arial" w:hAnsi="Arial" w:cs="Arial" w:hint="eastAsia"/>
          <w:b/>
          <w:bCs/>
          <w:noProof/>
          <w:sz w:val="24"/>
        </w:rPr>
        <w:t xml:space="preserve"> </w:t>
      </w:r>
      <w:r w:rsidR="006B76ED">
        <w:rPr>
          <w:rFonts w:ascii="Arial" w:hAnsi="Arial" w:cs="Arial"/>
          <w:b/>
          <w:bCs/>
          <w:noProof/>
          <w:sz w:val="24"/>
        </w:rPr>
        <w:t>–</w:t>
      </w:r>
      <w:r w:rsidR="006B76ED">
        <w:rPr>
          <w:rFonts w:ascii="Arial" w:hAnsi="Arial" w:cs="Arial" w:hint="eastAsia"/>
          <w:b/>
          <w:bCs/>
          <w:noProof/>
          <w:sz w:val="24"/>
        </w:rPr>
        <w:t xml:space="preserve"> </w:t>
      </w:r>
      <w:r>
        <w:rPr>
          <w:rFonts w:ascii="Arial" w:hAnsi="Arial" w:cs="Arial"/>
          <w:b/>
          <w:bCs/>
          <w:noProof/>
          <w:sz w:val="24"/>
        </w:rPr>
        <w:t>1</w:t>
      </w:r>
      <w:r w:rsidR="006B76ED">
        <w:rPr>
          <w:rFonts w:ascii="Arial" w:hAnsi="Arial" w:cs="Arial" w:hint="eastAsia"/>
          <w:b/>
          <w:bCs/>
          <w:noProof/>
          <w:sz w:val="24"/>
        </w:rPr>
        <w:t xml:space="preserve">2 </w:t>
      </w:r>
      <w:r>
        <w:rPr>
          <w:rFonts w:ascii="Arial" w:hAnsi="Arial" w:cs="Arial"/>
          <w:b/>
          <w:bCs/>
          <w:noProof/>
          <w:sz w:val="24"/>
        </w:rPr>
        <w:t>April,</w:t>
      </w:r>
      <w:r w:rsidR="00496F3A" w:rsidRPr="006C0AF4">
        <w:rPr>
          <w:rFonts w:ascii="Arial" w:eastAsia="Arial" w:hAnsi="Arial" w:cs="Arial"/>
          <w:b/>
          <w:bCs/>
          <w:noProof/>
          <w:sz w:val="24"/>
        </w:rPr>
        <w:t xml:space="preserve"> 201</w:t>
      </w:r>
      <w:r>
        <w:rPr>
          <w:rFonts w:ascii="Arial" w:eastAsia="Arial" w:hAnsi="Arial" w:cs="Arial"/>
          <w:b/>
          <w:bCs/>
          <w:noProof/>
          <w:sz w:val="24"/>
        </w:rPr>
        <w:t>9</w:t>
      </w:r>
    </w:p>
    <w:p w14:paraId="5443C29C" w14:textId="26907724" w:rsidR="00496F3A" w:rsidRPr="006C0AF4" w:rsidRDefault="00496F3A" w:rsidP="00496F3A">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6C0AF4">
        <w:rPr>
          <w:rFonts w:ascii="Arial" w:hAnsi="Arial" w:cs="Arial"/>
          <w:b/>
          <w:sz w:val="24"/>
          <w:szCs w:val="24"/>
          <w:lang w:val="en-US"/>
        </w:rPr>
        <w:t>Agenda Item:</w:t>
      </w:r>
      <w:r w:rsidRPr="006C0AF4">
        <w:rPr>
          <w:rFonts w:ascii="Arial" w:hAnsi="Arial" w:cs="Arial"/>
          <w:b/>
          <w:sz w:val="24"/>
          <w:szCs w:val="24"/>
          <w:lang w:val="en-US"/>
        </w:rPr>
        <w:tab/>
      </w:r>
      <w:r w:rsidR="00AA1262">
        <w:rPr>
          <w:rFonts w:ascii="Arial" w:hAnsi="Arial" w:cs="Arial"/>
          <w:b/>
          <w:sz w:val="24"/>
          <w:szCs w:val="24"/>
          <w:lang w:val="en-US"/>
        </w:rPr>
        <w:t>6</w:t>
      </w:r>
      <w:r w:rsidR="00E92DAA">
        <w:rPr>
          <w:rFonts w:ascii="Arial" w:hAnsi="Arial" w:cs="Arial" w:hint="eastAsia"/>
          <w:b/>
          <w:sz w:val="24"/>
          <w:szCs w:val="24"/>
          <w:lang w:val="en-US"/>
        </w:rPr>
        <w:t>.</w:t>
      </w:r>
      <w:r w:rsidR="00AA1262">
        <w:rPr>
          <w:rFonts w:ascii="Arial" w:hAnsi="Arial" w:cs="Arial"/>
          <w:b/>
          <w:sz w:val="24"/>
          <w:szCs w:val="24"/>
          <w:lang w:val="en-US"/>
        </w:rPr>
        <w:t>5</w:t>
      </w:r>
      <w:r w:rsidR="00E92DAA">
        <w:rPr>
          <w:rFonts w:ascii="Arial" w:hAnsi="Arial" w:cs="Arial" w:hint="eastAsia"/>
          <w:b/>
          <w:sz w:val="24"/>
          <w:szCs w:val="24"/>
          <w:lang w:val="en-US"/>
        </w:rPr>
        <w:t>.</w:t>
      </w:r>
      <w:r w:rsidR="00AA1262">
        <w:rPr>
          <w:rFonts w:ascii="Arial" w:hAnsi="Arial" w:cs="Arial"/>
          <w:b/>
          <w:sz w:val="24"/>
          <w:szCs w:val="24"/>
          <w:lang w:val="en-US"/>
        </w:rPr>
        <w:t>11</w:t>
      </w:r>
      <w:r w:rsidR="00E92DAA">
        <w:rPr>
          <w:rFonts w:ascii="Arial" w:hAnsi="Arial" w:cs="Arial" w:hint="eastAsia"/>
          <w:b/>
          <w:sz w:val="24"/>
          <w:szCs w:val="24"/>
          <w:lang w:val="en-US"/>
        </w:rPr>
        <w:t>.</w:t>
      </w:r>
      <w:r w:rsidR="00AA1262">
        <w:rPr>
          <w:rFonts w:ascii="Arial" w:hAnsi="Arial" w:cs="Arial"/>
          <w:b/>
          <w:sz w:val="24"/>
          <w:szCs w:val="24"/>
          <w:lang w:val="en-US"/>
        </w:rPr>
        <w:t>5</w:t>
      </w:r>
    </w:p>
    <w:p w14:paraId="468DB5A2" w14:textId="77777777" w:rsidR="00496F3A" w:rsidRPr="006C0AF4" w:rsidRDefault="00781B1B" w:rsidP="00496F3A">
      <w:pPr>
        <w:tabs>
          <w:tab w:val="left" w:pos="1985"/>
          <w:tab w:val="left" w:pos="9781"/>
        </w:tabs>
        <w:spacing w:after="0"/>
        <w:ind w:right="-28"/>
        <w:jc w:val="both"/>
        <w:rPr>
          <w:rFonts w:ascii="Arial" w:eastAsiaTheme="minorEastAsia" w:hAnsi="Arial" w:cs="Arial"/>
          <w:b/>
          <w:color w:val="FF0000"/>
          <w:sz w:val="24"/>
          <w:szCs w:val="24"/>
        </w:rPr>
      </w:pPr>
      <w:r>
        <w:rPr>
          <w:rFonts w:ascii="Arial" w:hAnsi="Arial" w:cs="Arial"/>
          <w:b/>
          <w:sz w:val="24"/>
          <w:szCs w:val="24"/>
        </w:rPr>
        <w:t>Source:</w:t>
      </w:r>
      <w:r>
        <w:rPr>
          <w:rFonts w:ascii="Arial" w:hAnsi="Arial" w:cs="Arial" w:hint="eastAsia"/>
          <w:b/>
          <w:sz w:val="24"/>
          <w:szCs w:val="24"/>
        </w:rPr>
        <w:tab/>
      </w:r>
      <w:r w:rsidR="00496F3A" w:rsidRPr="006C0AF4">
        <w:rPr>
          <w:rFonts w:ascii="Arial" w:hAnsi="Arial" w:cs="Arial"/>
          <w:b/>
          <w:bCs/>
          <w:sz w:val="24"/>
          <w:szCs w:val="24"/>
          <w:lang w:eastAsia="zh-CN"/>
        </w:rPr>
        <w:t>Samsung</w:t>
      </w:r>
    </w:p>
    <w:p w14:paraId="457DF552" w14:textId="271643F8" w:rsidR="00496F3A" w:rsidRPr="006C0AF4" w:rsidRDefault="00496F3A" w:rsidP="00F91D6D">
      <w:pPr>
        <w:spacing w:after="0"/>
        <w:ind w:left="1827" w:hangingChars="761" w:hanging="1827"/>
        <w:jc w:val="both"/>
        <w:rPr>
          <w:rFonts w:ascii="Arial" w:eastAsiaTheme="minorEastAsia" w:hAnsi="Arial" w:cs="Arial"/>
          <w:b/>
          <w:bCs/>
          <w:sz w:val="24"/>
          <w:szCs w:val="24"/>
        </w:rPr>
      </w:pPr>
      <w:r w:rsidRPr="006C0AF4">
        <w:rPr>
          <w:rFonts w:ascii="Arial" w:hAnsi="Arial" w:cs="Arial"/>
          <w:b/>
          <w:sz w:val="24"/>
          <w:szCs w:val="24"/>
        </w:rPr>
        <w:t>Title:</w:t>
      </w:r>
      <w:r w:rsidR="00781B1B">
        <w:rPr>
          <w:rFonts w:ascii="Arial" w:hAnsi="Arial" w:cs="Arial" w:hint="eastAsia"/>
          <w:b/>
          <w:sz w:val="24"/>
          <w:szCs w:val="24"/>
        </w:rPr>
        <w:tab/>
      </w:r>
      <w:r w:rsidRPr="006C0AF4">
        <w:rPr>
          <w:rFonts w:ascii="Arial" w:hAnsi="Arial" w:cs="Arial"/>
          <w:b/>
          <w:sz w:val="24"/>
          <w:szCs w:val="24"/>
        </w:rPr>
        <w:tab/>
      </w:r>
      <w:r w:rsidR="003038E4">
        <w:rPr>
          <w:rFonts w:ascii="Arial" w:hAnsi="Arial" w:cs="Arial"/>
          <w:b/>
          <w:sz w:val="24"/>
          <w:szCs w:val="24"/>
        </w:rPr>
        <w:t xml:space="preserve">On </w:t>
      </w:r>
      <w:r w:rsidR="00AA1262">
        <w:rPr>
          <w:rFonts w:ascii="Arial" w:hAnsi="Arial" w:cs="Arial"/>
          <w:b/>
          <w:sz w:val="24"/>
          <w:szCs w:val="24"/>
        </w:rPr>
        <w:t>maxUplinkDutyCycle</w:t>
      </w:r>
      <w:r w:rsidR="00AA1262">
        <w:rPr>
          <w:rFonts w:ascii="Arial" w:hAnsi="Arial" w:cs="Arial" w:hint="eastAsia"/>
          <w:b/>
          <w:sz w:val="24"/>
          <w:szCs w:val="24"/>
        </w:rPr>
        <w:t xml:space="preserve"> </w:t>
      </w:r>
      <w:r w:rsidR="00AA1262">
        <w:rPr>
          <w:rFonts w:ascii="Arial" w:hAnsi="Arial" w:cs="Arial"/>
          <w:b/>
          <w:sz w:val="24"/>
          <w:szCs w:val="24"/>
        </w:rPr>
        <w:t xml:space="preserve">for </w:t>
      </w:r>
      <w:r w:rsidR="00495BA6">
        <w:rPr>
          <w:rFonts w:ascii="Arial" w:hAnsi="Arial" w:cs="Arial"/>
          <w:b/>
          <w:sz w:val="24"/>
          <w:szCs w:val="24"/>
        </w:rPr>
        <w:t xml:space="preserve">MPE </w:t>
      </w:r>
      <w:r w:rsidR="00AA1262">
        <w:rPr>
          <w:rFonts w:ascii="Arial" w:hAnsi="Arial" w:cs="Arial"/>
          <w:b/>
          <w:sz w:val="24"/>
          <w:szCs w:val="24"/>
        </w:rPr>
        <w:t>re</w:t>
      </w:r>
      <w:r w:rsidR="00C06BC0">
        <w:rPr>
          <w:rFonts w:ascii="Arial" w:hAnsi="Arial" w:cs="Arial"/>
          <w:b/>
          <w:sz w:val="24"/>
          <w:szCs w:val="24"/>
        </w:rPr>
        <w:t>gulations</w:t>
      </w:r>
    </w:p>
    <w:p w14:paraId="0C393318" w14:textId="77777777" w:rsidR="00496F3A" w:rsidRPr="006C0AF4" w:rsidRDefault="00496F3A" w:rsidP="00496F3A">
      <w:pPr>
        <w:tabs>
          <w:tab w:val="left" w:pos="1985"/>
          <w:tab w:val="left" w:pos="9781"/>
        </w:tabs>
        <w:spacing w:after="0"/>
        <w:ind w:right="-28"/>
        <w:jc w:val="both"/>
        <w:rPr>
          <w:rFonts w:ascii="Arial" w:eastAsiaTheme="minorEastAsia" w:hAnsi="Arial" w:cs="Arial"/>
          <w:b/>
          <w:sz w:val="24"/>
          <w:szCs w:val="24"/>
        </w:rPr>
      </w:pPr>
      <w:r w:rsidRPr="006C0AF4">
        <w:rPr>
          <w:rFonts w:ascii="Arial" w:hAnsi="Arial" w:cs="Arial"/>
          <w:b/>
          <w:sz w:val="24"/>
          <w:szCs w:val="24"/>
        </w:rPr>
        <w:t>Document for:</w:t>
      </w:r>
      <w:r w:rsidRPr="006C0AF4">
        <w:rPr>
          <w:rFonts w:ascii="Arial" w:hAnsi="Arial" w:cs="Arial"/>
          <w:b/>
          <w:sz w:val="24"/>
          <w:szCs w:val="24"/>
        </w:rPr>
        <w:tab/>
      </w:r>
      <w:r w:rsidR="00EA74E3">
        <w:rPr>
          <w:rFonts w:ascii="Arial" w:eastAsiaTheme="minorEastAsia" w:hAnsi="Arial" w:cs="Arial" w:hint="eastAsia"/>
          <w:b/>
          <w:sz w:val="24"/>
          <w:szCs w:val="24"/>
        </w:rPr>
        <w:t>Approval</w:t>
      </w:r>
    </w:p>
    <w:p w14:paraId="0969CD34" w14:textId="23AB8203" w:rsidR="00496F3A" w:rsidRPr="006C0AF4" w:rsidRDefault="00BB6C9C" w:rsidP="00496F3A">
      <w:pPr>
        <w:pStyle w:val="Heading1"/>
        <w:numPr>
          <w:ilvl w:val="0"/>
          <w:numId w:val="1"/>
        </w:numPr>
        <w:tabs>
          <w:tab w:val="left" w:pos="9781"/>
        </w:tabs>
        <w:overflowPunct/>
        <w:autoSpaceDE/>
        <w:autoSpaceDN/>
        <w:adjustRightInd/>
        <w:ind w:right="-28"/>
        <w:jc w:val="both"/>
        <w:textAlignment w:val="auto"/>
        <w:rPr>
          <w:rFonts w:cs="Arial"/>
          <w:b/>
          <w:sz w:val="32"/>
        </w:rPr>
      </w:pPr>
      <w:r>
        <w:rPr>
          <w:rFonts w:cs="Arial"/>
          <w:b/>
          <w:sz w:val="32"/>
        </w:rPr>
        <w:t>Introduction</w:t>
      </w:r>
    </w:p>
    <w:p w14:paraId="1F701498" w14:textId="0C9F16EF" w:rsidR="00CE5B18" w:rsidRDefault="00FE7913" w:rsidP="007B03EC">
      <w:pPr>
        <w:jc w:val="both"/>
      </w:pPr>
      <w:r>
        <w:t xml:space="preserve">RAN4 has discussed how to handle the </w:t>
      </w:r>
      <w:r w:rsidR="00AB094F" w:rsidRPr="00FE7913">
        <w:t>Maximum Permissible Exposure</w:t>
      </w:r>
      <w:r w:rsidR="00AB094F">
        <w:t xml:space="preserve"> (</w:t>
      </w:r>
      <w:r>
        <w:t>MPE</w:t>
      </w:r>
      <w:r w:rsidR="00AB094F">
        <w:t>)</w:t>
      </w:r>
      <w:r>
        <w:t xml:space="preserve"> </w:t>
      </w:r>
      <w:r w:rsidR="00890FCE">
        <w:t>regulatory requirement</w:t>
      </w:r>
      <w:r>
        <w:t xml:space="preserve"> in the context of the UE </w:t>
      </w:r>
      <w:r w:rsidR="00E905B8">
        <w:t>power back-off and uplink duty cycle</w:t>
      </w:r>
      <w:r>
        <w:t xml:space="preserve"> </w:t>
      </w:r>
      <w:r w:rsidR="00EC62D3">
        <w:t xml:space="preserve">scenarios </w:t>
      </w:r>
      <w:r>
        <w:t xml:space="preserve">over </w:t>
      </w:r>
      <w:r w:rsidR="00C06BC0">
        <w:t>the past</w:t>
      </w:r>
      <w:r>
        <w:t xml:space="preserve"> meetings. </w:t>
      </w:r>
      <w:r w:rsidR="00AB094F">
        <w:t xml:space="preserve">A draft </w:t>
      </w:r>
      <w:r w:rsidRPr="00FE7913">
        <w:t xml:space="preserve">CR was </w:t>
      </w:r>
      <w:r w:rsidR="00AB094F">
        <w:t>endorsed not</w:t>
      </w:r>
      <w:r w:rsidRPr="00FE7913">
        <w:t xml:space="preserve"> to</w:t>
      </w:r>
      <w:r w:rsidR="00AB094F">
        <w:t xml:space="preserve"> </w:t>
      </w:r>
      <w:r w:rsidR="0098310E">
        <w:t>introduce</w:t>
      </w:r>
      <w:r w:rsidR="00AB094F">
        <w:t xml:space="preserve"> an upper bound on P-MPR in the NR FR2 UE requirements</w:t>
      </w:r>
      <w:r w:rsidR="001E3DFF">
        <w:t xml:space="preserve"> [1</w:t>
      </w:r>
      <w:r w:rsidR="00CE5B18">
        <w:t>]</w:t>
      </w:r>
      <w:r w:rsidR="00AB094F">
        <w:t>, and a</w:t>
      </w:r>
      <w:r w:rsidR="005B6048">
        <w:rPr>
          <w:rFonts w:hint="eastAsia"/>
        </w:rPr>
        <w:t>n</w:t>
      </w:r>
      <w:r w:rsidR="00AB094F">
        <w:t xml:space="preserve"> LS was sent to RAN2</w:t>
      </w:r>
      <w:r w:rsidRPr="00FE7913">
        <w:t xml:space="preserve"> </w:t>
      </w:r>
      <w:r w:rsidR="00AB094F">
        <w:t xml:space="preserve">for </w:t>
      </w:r>
      <w:r w:rsidR="0098310E">
        <w:t>notifying</w:t>
      </w:r>
      <w:r w:rsidR="00AB094F">
        <w:t xml:space="preserve"> the further agreement </w:t>
      </w:r>
      <w:r w:rsidR="00CE5B18">
        <w:t xml:space="preserve">of RAN4 on the </w:t>
      </w:r>
      <w:r w:rsidR="00533DD9" w:rsidRPr="00533DD9">
        <w:t xml:space="preserve">capability values </w:t>
      </w:r>
      <w:r w:rsidR="00CE5B18">
        <w:t xml:space="preserve">of </w:t>
      </w:r>
      <w:r w:rsidR="00CE5B18" w:rsidRPr="00EE3DA8">
        <w:rPr>
          <w:i/>
        </w:rPr>
        <w:t>maxUplinkDutyCycle</w:t>
      </w:r>
      <w:r w:rsidR="00CE5B18">
        <w:t xml:space="preserve"> and its time window [</w:t>
      </w:r>
      <w:r w:rsidR="001E3DFF">
        <w:t>2</w:t>
      </w:r>
      <w:r w:rsidR="00CE5B18">
        <w:t>]. By doing so, RAN4 has agreed to have t</w:t>
      </w:r>
      <w:r w:rsidR="00CE5B18" w:rsidRPr="00CE5B18">
        <w:t xml:space="preserve">wo methods, one is P-MPR, the other is </w:t>
      </w:r>
      <w:r w:rsidR="00CE5B18" w:rsidRPr="00CE5B18">
        <w:rPr>
          <w:i/>
        </w:rPr>
        <w:t xml:space="preserve">maxUplinkDutyCycle </w:t>
      </w:r>
      <w:r w:rsidR="00CE5B18" w:rsidRPr="00CE5B18">
        <w:t>capability</w:t>
      </w:r>
      <w:r w:rsidR="00CE5B18">
        <w:t>,</w:t>
      </w:r>
      <w:r w:rsidR="00CE5B18" w:rsidRPr="00CE5B18">
        <w:t xml:space="preserve"> during Rel-15 in the </w:t>
      </w:r>
      <w:r w:rsidR="0038313B">
        <w:t xml:space="preserve">UE RF </w:t>
      </w:r>
      <w:r w:rsidR="00CE5B18" w:rsidRPr="00CE5B18">
        <w:t xml:space="preserve">specification to enable the UE to comply with </w:t>
      </w:r>
      <w:r w:rsidR="001E3DFF">
        <w:t>RF</w:t>
      </w:r>
      <w:r w:rsidR="00CE5B18" w:rsidRPr="00CE5B18">
        <w:t xml:space="preserve"> exposure</w:t>
      </w:r>
      <w:r w:rsidR="00B73AAD">
        <w:t xml:space="preserve"> limits</w:t>
      </w:r>
      <w:r w:rsidR="00CE5B18" w:rsidRPr="00CE5B18">
        <w:t>.</w:t>
      </w:r>
      <w:r w:rsidR="00CE5B18">
        <w:t xml:space="preserve"> </w:t>
      </w:r>
    </w:p>
    <w:p w14:paraId="3AF2012F" w14:textId="1BEAA5CE" w:rsidR="00AD7C55" w:rsidRPr="00AD7C55" w:rsidRDefault="006C426D" w:rsidP="00AD7C55">
      <w:pPr>
        <w:jc w:val="both"/>
        <w:rPr>
          <w:rFonts w:ascii="Malgun Gothic" w:eastAsia="Malgun Gothic" w:hAnsi="Malgun Gothic" w:cs="Gulim"/>
          <w:lang w:val="en-US"/>
        </w:rPr>
      </w:pPr>
      <w:r>
        <w:t xml:space="preserve">However, a further discussion had been made at the latest RAN plenary meeting on </w:t>
      </w:r>
      <w:r w:rsidRPr="00CE5B18">
        <w:rPr>
          <w:i/>
        </w:rPr>
        <w:t>maxUplinkDutyCycle</w:t>
      </w:r>
      <w:r>
        <w:t xml:space="preserve">, and </w:t>
      </w:r>
      <w:r w:rsidR="007B03EC">
        <w:t xml:space="preserve">a WF </w:t>
      </w:r>
      <w:r w:rsidR="005A2686">
        <w:t xml:space="preserve">on </w:t>
      </w:r>
      <w:r w:rsidR="005A2686" w:rsidRPr="005A2686">
        <w:t>FR2 maximum UL duty cycle</w:t>
      </w:r>
      <w:r w:rsidR="005A2686">
        <w:t xml:space="preserve"> </w:t>
      </w:r>
      <w:r w:rsidR="007B03EC">
        <w:t xml:space="preserve">was also approved </w:t>
      </w:r>
      <w:r w:rsidR="005A2686">
        <w:t xml:space="preserve">as a </w:t>
      </w:r>
      <w:r w:rsidR="005A2686">
        <w:rPr>
          <w:lang w:val="fi-FI"/>
        </w:rPr>
        <w:t>g</w:t>
      </w:r>
      <w:r w:rsidR="005A2686" w:rsidRPr="005A2686">
        <w:rPr>
          <w:lang w:val="fi-FI"/>
        </w:rPr>
        <w:t>uidance to RAN4 and RAN2</w:t>
      </w:r>
      <w:r w:rsidR="005A2686">
        <w:rPr>
          <w:lang w:val="fi-FI"/>
        </w:rPr>
        <w:t xml:space="preserve"> from RAN#83</w:t>
      </w:r>
      <w:r w:rsidR="00D55CAD">
        <w:rPr>
          <w:lang w:val="fi-FI"/>
        </w:rPr>
        <w:t xml:space="preserve"> [3]</w:t>
      </w:r>
      <w:r w:rsidR="007B03EC">
        <w:t xml:space="preserve">. The most recent agreement </w:t>
      </w:r>
      <w:r w:rsidR="00EE3DA8">
        <w:t xml:space="preserve">related to RAN4 </w:t>
      </w:r>
      <w:r w:rsidR="007B03EC">
        <w:t>has been captured as follow</w:t>
      </w:r>
      <w:r w:rsidR="00D55CAD">
        <w:t>s</w:t>
      </w:r>
      <w:r w:rsidR="007B03EC">
        <w:t>:</w:t>
      </w:r>
    </w:p>
    <w:tbl>
      <w:tblPr>
        <w:tblW w:w="0" w:type="auto"/>
        <w:jc w:val="center"/>
        <w:tblBorders>
          <w:top w:val="single" w:sz="4" w:space="0" w:color="auto"/>
          <w:left w:val="single" w:sz="4" w:space="0" w:color="auto"/>
          <w:bottom w:val="single" w:sz="4" w:space="0" w:color="auto"/>
          <w:right w:val="single" w:sz="4" w:space="0" w:color="auto"/>
        </w:tblBorders>
        <w:tblCellMar>
          <w:left w:w="170" w:type="dxa"/>
          <w:right w:w="170" w:type="dxa"/>
        </w:tblCellMar>
        <w:tblLook w:val="04A0" w:firstRow="1" w:lastRow="0" w:firstColumn="1" w:lastColumn="0" w:noHBand="0" w:noVBand="1"/>
      </w:tblPr>
      <w:tblGrid>
        <w:gridCol w:w="7230"/>
      </w:tblGrid>
      <w:tr w:rsidR="00AD7C55" w:rsidRPr="005A2686" w14:paraId="4EE754A8" w14:textId="77777777" w:rsidTr="005A2686">
        <w:trPr>
          <w:trHeight w:val="1552"/>
          <w:jc w:val="center"/>
        </w:trPr>
        <w:tc>
          <w:tcPr>
            <w:tcW w:w="7230" w:type="dxa"/>
            <w:tcBorders>
              <w:top w:val="single" w:sz="4" w:space="0" w:color="auto"/>
              <w:left w:val="single" w:sz="4" w:space="0" w:color="auto"/>
              <w:bottom w:val="single" w:sz="4" w:space="0" w:color="auto"/>
              <w:right w:val="single" w:sz="4" w:space="0" w:color="auto"/>
            </w:tcBorders>
            <w:vAlign w:val="center"/>
            <w:hideMark/>
          </w:tcPr>
          <w:p w14:paraId="3B33E20E" w14:textId="77777777" w:rsidR="005A2686" w:rsidRPr="005A2686" w:rsidRDefault="005A2686" w:rsidP="005A2686">
            <w:pPr>
              <w:numPr>
                <w:ilvl w:val="0"/>
                <w:numId w:val="16"/>
              </w:numPr>
              <w:spacing w:before="180"/>
              <w:ind w:left="170" w:hanging="170"/>
              <w:jc w:val="both"/>
              <w:rPr>
                <w:rFonts w:ascii="Calibri" w:eastAsiaTheme="minorEastAsia" w:hAnsi="Calibri"/>
                <w:sz w:val="22"/>
                <w:lang w:val="en-US"/>
              </w:rPr>
            </w:pPr>
            <w:r w:rsidRPr="005A2686">
              <w:rPr>
                <w:rFonts w:ascii="Calibri" w:eastAsiaTheme="minorEastAsia" w:hAnsi="Calibri"/>
                <w:sz w:val="22"/>
                <w:lang w:val="en-US"/>
              </w:rPr>
              <w:t xml:space="preserve">RAN#83 has discussed RAN4’s agreement on FR2 maxUplinkDutyCycle capability values for PC3 UE in [1]. </w:t>
            </w:r>
          </w:p>
          <w:p w14:paraId="50740069" w14:textId="7C422A42" w:rsidR="005A2686" w:rsidRPr="005A2686" w:rsidRDefault="005A2686" w:rsidP="005A2686">
            <w:pPr>
              <w:numPr>
                <w:ilvl w:val="0"/>
                <w:numId w:val="16"/>
              </w:numPr>
              <w:spacing w:before="180"/>
              <w:ind w:left="170" w:hanging="170"/>
              <w:jc w:val="both"/>
              <w:rPr>
                <w:rFonts w:ascii="Calibri" w:eastAsiaTheme="minorEastAsia" w:hAnsi="Calibri"/>
                <w:sz w:val="22"/>
                <w:lang w:val="en-US"/>
              </w:rPr>
            </w:pPr>
            <w:r w:rsidRPr="005A2686">
              <w:rPr>
                <w:rFonts w:ascii="Calibri" w:eastAsiaTheme="minorEastAsia" w:hAnsi="Calibri"/>
                <w:sz w:val="22"/>
                <w:lang w:val="en-US"/>
              </w:rPr>
              <w:t>RAN would like to inform RAN4 and RAN2 that it has updated the FR2 maxUplinkDutyCycle capability values as follows {</w:t>
            </w:r>
            <w:r w:rsidRPr="005A2686">
              <w:rPr>
                <w:rFonts w:ascii="Calibri" w:eastAsiaTheme="minorEastAsia" w:hAnsi="Calibri"/>
                <w:strike/>
                <w:sz w:val="22"/>
                <w:lang w:val="en-US"/>
              </w:rPr>
              <w:t>2%</w:t>
            </w:r>
            <w:r w:rsidRPr="005A2686">
              <w:rPr>
                <w:rFonts w:ascii="Calibri" w:eastAsiaTheme="minorEastAsia" w:hAnsi="Calibri"/>
                <w:sz w:val="22"/>
                <w:lang w:val="en-US"/>
              </w:rPr>
              <w:t xml:space="preserve">, 10% (TBD), 20%, </w:t>
            </w:r>
            <w:r w:rsidRPr="005A2686">
              <w:rPr>
                <w:rFonts w:ascii="Calibri" w:eastAsiaTheme="minorEastAsia" w:hAnsi="Calibri"/>
                <w:sz w:val="22"/>
                <w:u w:val="single"/>
                <w:lang w:val="en-US"/>
              </w:rPr>
              <w:t>25%</w:t>
            </w:r>
            <w:r w:rsidRPr="005A2686">
              <w:rPr>
                <w:rFonts w:ascii="Calibri" w:eastAsiaTheme="minorEastAsia" w:hAnsi="Calibri"/>
                <w:sz w:val="22"/>
                <w:lang w:val="en-US"/>
              </w:rPr>
              <w:t xml:space="preserve">, 30%, 40%, 50%, 60%, 70%, 80%, 90%, 100%} </w:t>
            </w:r>
          </w:p>
          <w:p w14:paraId="08C37EE2" w14:textId="1361CE8B" w:rsidR="00AD7C55" w:rsidRPr="005A2686" w:rsidRDefault="005A2686" w:rsidP="005A2686">
            <w:pPr>
              <w:numPr>
                <w:ilvl w:val="0"/>
                <w:numId w:val="16"/>
              </w:numPr>
              <w:spacing w:before="180"/>
              <w:ind w:left="170" w:hanging="170"/>
              <w:jc w:val="both"/>
              <w:rPr>
                <w:rFonts w:ascii="Calibri" w:eastAsia="Malgun Gothic" w:hAnsi="Calibri" w:cs="Gulim"/>
                <w:sz w:val="22"/>
                <w:lang w:val="en-US"/>
              </w:rPr>
            </w:pPr>
            <w:r w:rsidRPr="005A2686">
              <w:rPr>
                <w:rFonts w:ascii="Calibri" w:eastAsiaTheme="minorEastAsia" w:hAnsi="Calibri"/>
                <w:sz w:val="22"/>
                <w:lang w:val="en-US"/>
              </w:rPr>
              <w:t>RAN4 is asked whether any value  &lt;= 10% should be added</w:t>
            </w:r>
          </w:p>
        </w:tc>
      </w:tr>
    </w:tbl>
    <w:p w14:paraId="1BA77F7C" w14:textId="3E05830F" w:rsidR="00496F3A" w:rsidRDefault="00AB44A3" w:rsidP="006D1978">
      <w:pPr>
        <w:spacing w:before="180"/>
        <w:jc w:val="both"/>
        <w:rPr>
          <w:rFonts w:eastAsiaTheme="minorEastAsia"/>
        </w:rPr>
      </w:pPr>
      <w:r>
        <w:rPr>
          <w:lang w:val="en-US"/>
        </w:rPr>
        <w:t>I</w:t>
      </w:r>
      <w:r w:rsidR="00925F0E">
        <w:rPr>
          <w:rFonts w:hint="eastAsia"/>
          <w:lang w:val="en-US"/>
        </w:rPr>
        <w:t xml:space="preserve">n order to </w:t>
      </w:r>
      <w:r w:rsidR="001130B8">
        <w:rPr>
          <w:rFonts w:hint="eastAsia"/>
          <w:lang w:val="en-US"/>
        </w:rPr>
        <w:t>complete</w:t>
      </w:r>
      <w:r w:rsidR="00925F0E">
        <w:rPr>
          <w:rFonts w:hint="eastAsia"/>
          <w:lang w:val="en-US"/>
        </w:rPr>
        <w:t xml:space="preserve"> </w:t>
      </w:r>
      <w:r w:rsidR="0009345E">
        <w:rPr>
          <w:lang w:val="en-US"/>
        </w:rPr>
        <w:t xml:space="preserve">this Rel-15 </w:t>
      </w:r>
      <w:r w:rsidR="00526925">
        <w:rPr>
          <w:lang w:val="en-US"/>
        </w:rPr>
        <w:t>requirement</w:t>
      </w:r>
      <w:r w:rsidR="0009345E">
        <w:rPr>
          <w:lang w:val="en-US"/>
        </w:rPr>
        <w:t xml:space="preserve"> </w:t>
      </w:r>
      <w:r w:rsidR="005B5F4E">
        <w:rPr>
          <w:lang w:val="en-US"/>
        </w:rPr>
        <w:t>within two meetings of RAN4</w:t>
      </w:r>
      <w:r w:rsidR="00925F0E">
        <w:rPr>
          <w:rFonts w:hint="eastAsia"/>
          <w:lang w:val="en-US"/>
        </w:rPr>
        <w:t xml:space="preserve">, </w:t>
      </w:r>
      <w:r w:rsidR="00EE3DA8">
        <w:rPr>
          <w:rFonts w:hint="eastAsia"/>
        </w:rPr>
        <w:t>t</w:t>
      </w:r>
      <w:r w:rsidR="00EE3DA8" w:rsidRPr="005D243F">
        <w:t xml:space="preserve">his paper </w:t>
      </w:r>
      <w:r w:rsidR="00EE3DA8">
        <w:t>presents</w:t>
      </w:r>
      <w:r w:rsidR="00EE3DA8">
        <w:rPr>
          <w:rFonts w:hint="eastAsia"/>
        </w:rPr>
        <w:t xml:space="preserve"> our </w:t>
      </w:r>
      <w:r w:rsidR="00EE3DA8">
        <w:t xml:space="preserve">latest </w:t>
      </w:r>
      <w:r w:rsidR="005B6048">
        <w:t xml:space="preserve">simulation </w:t>
      </w:r>
      <w:r w:rsidR="00EE3DA8">
        <w:rPr>
          <w:rFonts w:hint="eastAsia"/>
        </w:rPr>
        <w:t>result</w:t>
      </w:r>
      <w:r w:rsidR="00EE3DA8">
        <w:t>s of RF exposure levels</w:t>
      </w:r>
      <w:r w:rsidR="00EE3DA8">
        <w:rPr>
          <w:rFonts w:hint="eastAsia"/>
        </w:rPr>
        <w:t xml:space="preserve"> </w:t>
      </w:r>
      <w:r w:rsidR="00EE3DA8" w:rsidRPr="005D243F">
        <w:t xml:space="preserve">and </w:t>
      </w:r>
      <w:r w:rsidR="00EE3DA8" w:rsidRPr="007D289E">
        <w:rPr>
          <w:rFonts w:eastAsiaTheme="minorEastAsia"/>
        </w:rPr>
        <w:t>provide</w:t>
      </w:r>
      <w:r w:rsidR="00EE3DA8">
        <w:rPr>
          <w:rFonts w:eastAsiaTheme="minorEastAsia"/>
        </w:rPr>
        <w:t>s</w:t>
      </w:r>
      <w:r w:rsidR="00EE3DA8" w:rsidRPr="007D289E">
        <w:rPr>
          <w:rFonts w:eastAsiaTheme="minorEastAsia"/>
        </w:rPr>
        <w:t xml:space="preserve"> </w:t>
      </w:r>
      <w:r w:rsidR="00EE3DA8">
        <w:rPr>
          <w:rFonts w:eastAsiaTheme="minorEastAsia"/>
        </w:rPr>
        <w:t xml:space="preserve">our views on the remaining open issues related to the MPE scenarios </w:t>
      </w:r>
      <w:r w:rsidR="00EE3DA8">
        <w:rPr>
          <w:rFonts w:hint="eastAsia"/>
        </w:rPr>
        <w:t xml:space="preserve">as </w:t>
      </w:r>
      <w:r w:rsidR="00EC62D3">
        <w:t xml:space="preserve">a </w:t>
      </w:r>
      <w:r w:rsidR="00EE3DA8">
        <w:rPr>
          <w:rFonts w:hint="eastAsia"/>
        </w:rPr>
        <w:t>part of th</w:t>
      </w:r>
      <w:r w:rsidR="00EE3DA8">
        <w:t>e</w:t>
      </w:r>
      <w:r w:rsidR="00EE3DA8">
        <w:rPr>
          <w:rFonts w:hint="eastAsia"/>
        </w:rPr>
        <w:t xml:space="preserve"> effort</w:t>
      </w:r>
      <w:r w:rsidR="00EE3DA8">
        <w:rPr>
          <w:lang w:val="en-US"/>
        </w:rPr>
        <w:t xml:space="preserve"> </w:t>
      </w:r>
      <w:r w:rsidR="0009345E">
        <w:rPr>
          <w:lang w:val="en-US"/>
        </w:rPr>
        <w:t xml:space="preserve">to </w:t>
      </w:r>
      <w:r w:rsidR="00EC62D3">
        <w:rPr>
          <w:lang w:val="en-US"/>
        </w:rPr>
        <w:t xml:space="preserve">answer </w:t>
      </w:r>
      <w:r w:rsidR="0009345E">
        <w:rPr>
          <w:lang w:val="en-US"/>
        </w:rPr>
        <w:t>the question from the plenary</w:t>
      </w:r>
      <w:r w:rsidR="00925F0E" w:rsidRPr="00925F0E">
        <w:rPr>
          <w:lang w:val="en-US"/>
        </w:rPr>
        <w:t>.</w:t>
      </w:r>
    </w:p>
    <w:p w14:paraId="03D27258" w14:textId="17E1A21F" w:rsidR="00545015" w:rsidRPr="006C0AF4" w:rsidRDefault="00956E25" w:rsidP="00545015">
      <w:pPr>
        <w:pStyle w:val="Heading1"/>
        <w:numPr>
          <w:ilvl w:val="0"/>
          <w:numId w:val="1"/>
        </w:numPr>
        <w:overflowPunct/>
        <w:autoSpaceDE/>
        <w:autoSpaceDN/>
        <w:adjustRightInd/>
        <w:textAlignment w:val="auto"/>
        <w:rPr>
          <w:rFonts w:eastAsiaTheme="minorEastAsia" w:cs="Arial"/>
          <w:b/>
          <w:sz w:val="32"/>
          <w:lang w:eastAsia="zh-CN"/>
        </w:rPr>
      </w:pPr>
      <w:r>
        <w:rPr>
          <w:rFonts w:eastAsia="Malgun Gothic" w:cs="Arial" w:hint="eastAsia"/>
          <w:b/>
          <w:sz w:val="32"/>
        </w:rPr>
        <w:t>Discussion</w:t>
      </w:r>
    </w:p>
    <w:p w14:paraId="4DB666E5" w14:textId="04E6455B" w:rsidR="00956E25" w:rsidRPr="005F4AA6" w:rsidRDefault="00956E25" w:rsidP="00956E25">
      <w:pPr>
        <w:pStyle w:val="Heading4"/>
        <w:spacing w:before="240"/>
      </w:pPr>
      <w:r w:rsidRPr="005F4AA6">
        <w:rPr>
          <w:rFonts w:hint="eastAsia"/>
        </w:rPr>
        <w:t xml:space="preserve">2.1 </w:t>
      </w:r>
      <w:r w:rsidR="00A4390A">
        <w:t xml:space="preserve">Regulatory </w:t>
      </w:r>
      <w:r w:rsidR="00EF3AAE">
        <w:t>requirements</w:t>
      </w:r>
    </w:p>
    <w:p w14:paraId="562A6594" w14:textId="6D44C64F" w:rsidR="006413FF" w:rsidRPr="006413FF" w:rsidRDefault="006413FF" w:rsidP="006413FF">
      <w:pPr>
        <w:spacing w:before="180"/>
        <w:jc w:val="both"/>
        <w:rPr>
          <w:rFonts w:eastAsiaTheme="minorEastAsia"/>
        </w:rPr>
      </w:pPr>
      <w:r w:rsidRPr="006413FF">
        <w:rPr>
          <w:rFonts w:eastAsiaTheme="minorEastAsia"/>
        </w:rPr>
        <w:t xml:space="preserve">Table 1 provides a summary of </w:t>
      </w:r>
      <w:r w:rsidR="00EE3DA8" w:rsidRPr="006413FF">
        <w:rPr>
          <w:rFonts w:eastAsiaTheme="minorEastAsia"/>
        </w:rPr>
        <w:t xml:space="preserve">the recent FCC update </w:t>
      </w:r>
      <w:r w:rsidR="00EE3DA8">
        <w:rPr>
          <w:rFonts w:eastAsiaTheme="minorEastAsia"/>
        </w:rPr>
        <w:t xml:space="preserve">and </w:t>
      </w:r>
      <w:r w:rsidRPr="006413FF">
        <w:rPr>
          <w:rFonts w:eastAsiaTheme="minorEastAsia"/>
        </w:rPr>
        <w:t xml:space="preserve">the ICNIRP draft exposure limits applicable for FR2 </w:t>
      </w:r>
      <w:r w:rsidR="0038313B">
        <w:rPr>
          <w:rFonts w:eastAsiaTheme="minorEastAsia"/>
        </w:rPr>
        <w:t xml:space="preserve">devices </w:t>
      </w:r>
      <w:r w:rsidR="009E6D1A">
        <w:rPr>
          <w:rFonts w:eastAsiaTheme="minorEastAsia"/>
        </w:rPr>
        <w:t xml:space="preserve">as </w:t>
      </w:r>
      <w:r w:rsidR="00BB3FEB">
        <w:rPr>
          <w:rFonts w:eastAsiaTheme="minorEastAsia"/>
        </w:rPr>
        <w:t>introduced</w:t>
      </w:r>
      <w:r w:rsidR="009E6D1A">
        <w:rPr>
          <w:rFonts w:eastAsiaTheme="minorEastAsia"/>
        </w:rPr>
        <w:t xml:space="preserve"> in </w:t>
      </w:r>
      <w:r w:rsidRPr="006413FF">
        <w:rPr>
          <w:rFonts w:eastAsiaTheme="minorEastAsia"/>
        </w:rPr>
        <w:t>[</w:t>
      </w:r>
      <w:r w:rsidR="001E3DFF">
        <w:rPr>
          <w:rFonts w:eastAsiaTheme="minorEastAsia"/>
        </w:rPr>
        <w:t>4</w:t>
      </w:r>
      <w:r w:rsidRPr="006413FF">
        <w:rPr>
          <w:rFonts w:eastAsiaTheme="minorEastAsia"/>
        </w:rPr>
        <w:t xml:space="preserve">]. </w:t>
      </w:r>
    </w:p>
    <w:p w14:paraId="3387BD8D" w14:textId="757E97CE" w:rsidR="006413FF" w:rsidRPr="009E6D1A" w:rsidRDefault="006413FF" w:rsidP="009E6D1A">
      <w:pPr>
        <w:spacing w:before="180"/>
        <w:jc w:val="center"/>
        <w:rPr>
          <w:rFonts w:eastAsiaTheme="minorEastAsia"/>
          <w:b/>
          <w:lang w:val="en-US"/>
        </w:rPr>
      </w:pPr>
      <w:r w:rsidRPr="009E6D1A">
        <w:rPr>
          <w:rFonts w:eastAsiaTheme="minorEastAsia"/>
          <w:b/>
          <w:lang w:val="en-US"/>
        </w:rPr>
        <w:t xml:space="preserve">Table </w:t>
      </w:r>
      <w:r w:rsidRPr="009E6D1A">
        <w:rPr>
          <w:rFonts w:eastAsiaTheme="minorEastAsia"/>
          <w:b/>
          <w:lang w:val="en-US"/>
        </w:rPr>
        <w:fldChar w:fldCharType="begin"/>
      </w:r>
      <w:r w:rsidRPr="009E6D1A">
        <w:rPr>
          <w:rFonts w:eastAsiaTheme="minorEastAsia"/>
          <w:b/>
          <w:lang w:val="en-US"/>
        </w:rPr>
        <w:instrText xml:space="preserve"> SEQ Table \* ARABIC </w:instrText>
      </w:r>
      <w:r w:rsidRPr="009E6D1A">
        <w:rPr>
          <w:rFonts w:eastAsiaTheme="minorEastAsia"/>
          <w:b/>
          <w:lang w:val="en-US"/>
        </w:rPr>
        <w:fldChar w:fldCharType="separate"/>
      </w:r>
      <w:r w:rsidRPr="009E6D1A">
        <w:rPr>
          <w:rFonts w:eastAsiaTheme="minorEastAsia"/>
          <w:b/>
          <w:lang w:val="en-US"/>
        </w:rPr>
        <w:t>1</w:t>
      </w:r>
      <w:r w:rsidRPr="009E6D1A">
        <w:rPr>
          <w:rFonts w:eastAsiaTheme="minorEastAsia"/>
          <w:b/>
          <w:lang w:val="en-US"/>
        </w:rPr>
        <w:fldChar w:fldCharType="end"/>
      </w:r>
      <w:r w:rsidR="00E50D19">
        <w:rPr>
          <w:rFonts w:eastAsiaTheme="minorEastAsia"/>
          <w:b/>
          <w:lang w:val="en-US"/>
        </w:rPr>
        <w:t xml:space="preserve">: </w:t>
      </w:r>
      <w:r w:rsidRPr="009E6D1A">
        <w:rPr>
          <w:rFonts w:eastAsiaTheme="minorEastAsia"/>
          <w:b/>
          <w:lang w:val="en-US"/>
        </w:rPr>
        <w:t>General public RF EMF exposure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9"/>
        <w:gridCol w:w="1706"/>
        <w:gridCol w:w="1706"/>
        <w:gridCol w:w="953"/>
        <w:gridCol w:w="2521"/>
      </w:tblGrid>
      <w:tr w:rsidR="006413FF" w:rsidRPr="00526925" w14:paraId="6BC2C876" w14:textId="77777777" w:rsidTr="00FB67C1">
        <w:trPr>
          <w:trHeight w:val="185"/>
          <w:jc w:val="center"/>
        </w:trPr>
        <w:tc>
          <w:tcPr>
            <w:tcW w:w="1559" w:type="dxa"/>
            <w:vMerge w:val="restart"/>
            <w:tcBorders>
              <w:top w:val="single" w:sz="12" w:space="0" w:color="auto"/>
              <w:left w:val="single" w:sz="12" w:space="0" w:color="auto"/>
              <w:right w:val="single" w:sz="4" w:space="0" w:color="auto"/>
            </w:tcBorders>
            <w:shd w:val="clear" w:color="auto" w:fill="0070C0"/>
            <w:vAlign w:val="center"/>
          </w:tcPr>
          <w:p w14:paraId="797F9B71" w14:textId="77777777" w:rsidR="006413FF" w:rsidRPr="003F17A9" w:rsidRDefault="006413FF" w:rsidP="00DB30BD">
            <w:pPr>
              <w:spacing w:before="120" w:after="120"/>
              <w:jc w:val="center"/>
              <w:rPr>
                <w:rFonts w:ascii="Arial" w:eastAsiaTheme="minorEastAsia" w:hAnsi="Arial" w:cs="Arial"/>
                <w:b/>
                <w:color w:val="FFFFFF" w:themeColor="background1"/>
                <w:sz w:val="18"/>
              </w:rPr>
            </w:pPr>
          </w:p>
        </w:tc>
        <w:tc>
          <w:tcPr>
            <w:tcW w:w="3412" w:type="dxa"/>
            <w:gridSpan w:val="2"/>
            <w:tcBorders>
              <w:top w:val="single" w:sz="12" w:space="0" w:color="auto"/>
              <w:left w:val="single" w:sz="4" w:space="0" w:color="auto"/>
              <w:bottom w:val="single" w:sz="4" w:space="0" w:color="auto"/>
              <w:right w:val="single" w:sz="4" w:space="0" w:color="auto"/>
            </w:tcBorders>
            <w:shd w:val="clear" w:color="auto" w:fill="0070C0"/>
            <w:vAlign w:val="center"/>
          </w:tcPr>
          <w:p w14:paraId="2F7B3A5C" w14:textId="77777777" w:rsidR="006413FF" w:rsidRPr="003F17A9" w:rsidRDefault="006413FF" w:rsidP="00DB30BD">
            <w:pPr>
              <w:spacing w:before="120" w:after="120"/>
              <w:jc w:val="center"/>
              <w:rPr>
                <w:rFonts w:ascii="Arial" w:eastAsiaTheme="minorEastAsia" w:hAnsi="Arial" w:cs="Arial"/>
                <w:b/>
                <w:color w:val="FFFFFF" w:themeColor="background1"/>
                <w:sz w:val="18"/>
              </w:rPr>
            </w:pPr>
            <w:r w:rsidRPr="003F17A9">
              <w:rPr>
                <w:rFonts w:ascii="Arial" w:eastAsiaTheme="minorEastAsia" w:hAnsi="Arial" w:cs="Arial"/>
                <w:b/>
                <w:color w:val="FFFFFF" w:themeColor="background1"/>
                <w:sz w:val="18"/>
              </w:rPr>
              <w:t>FCC</w:t>
            </w:r>
          </w:p>
        </w:tc>
        <w:tc>
          <w:tcPr>
            <w:tcW w:w="3474" w:type="dxa"/>
            <w:gridSpan w:val="2"/>
            <w:tcBorders>
              <w:top w:val="single" w:sz="12" w:space="0" w:color="auto"/>
              <w:left w:val="single" w:sz="4" w:space="0" w:color="auto"/>
              <w:right w:val="single" w:sz="12" w:space="0" w:color="auto"/>
            </w:tcBorders>
            <w:shd w:val="clear" w:color="auto" w:fill="0070C0"/>
            <w:vAlign w:val="center"/>
          </w:tcPr>
          <w:p w14:paraId="257A9C16" w14:textId="5F7DFCDA" w:rsidR="006413FF" w:rsidRPr="003F17A9" w:rsidRDefault="006413FF" w:rsidP="00DB30BD">
            <w:pPr>
              <w:spacing w:before="120" w:after="120"/>
              <w:jc w:val="center"/>
              <w:rPr>
                <w:rFonts w:ascii="Arial" w:eastAsiaTheme="minorEastAsia" w:hAnsi="Arial" w:cs="Arial"/>
                <w:b/>
                <w:color w:val="FFFFFF" w:themeColor="background1"/>
                <w:sz w:val="18"/>
              </w:rPr>
            </w:pPr>
            <w:r w:rsidRPr="003F17A9">
              <w:rPr>
                <w:rFonts w:ascii="Arial" w:eastAsiaTheme="minorEastAsia" w:hAnsi="Arial" w:cs="Arial"/>
                <w:b/>
                <w:color w:val="FFFFFF" w:themeColor="background1"/>
                <w:sz w:val="18"/>
              </w:rPr>
              <w:t>ICNIRP</w:t>
            </w:r>
          </w:p>
        </w:tc>
      </w:tr>
      <w:tr w:rsidR="006413FF" w:rsidRPr="00526925" w14:paraId="298179FB" w14:textId="77777777" w:rsidTr="00FB67C1">
        <w:trPr>
          <w:jc w:val="center"/>
        </w:trPr>
        <w:tc>
          <w:tcPr>
            <w:tcW w:w="1559" w:type="dxa"/>
            <w:vMerge/>
            <w:tcBorders>
              <w:left w:val="single" w:sz="12" w:space="0" w:color="auto"/>
              <w:bottom w:val="single" w:sz="12" w:space="0" w:color="auto"/>
              <w:right w:val="single" w:sz="4" w:space="0" w:color="auto"/>
            </w:tcBorders>
            <w:shd w:val="clear" w:color="auto" w:fill="0070C0"/>
            <w:vAlign w:val="center"/>
          </w:tcPr>
          <w:p w14:paraId="2A915A38" w14:textId="77777777" w:rsidR="006413FF" w:rsidRPr="003F17A9" w:rsidRDefault="006413FF" w:rsidP="00DB30BD">
            <w:pPr>
              <w:spacing w:before="120" w:after="120"/>
              <w:jc w:val="center"/>
              <w:rPr>
                <w:rFonts w:ascii="Arial" w:eastAsiaTheme="minorEastAsia" w:hAnsi="Arial" w:cs="Arial"/>
                <w:b/>
                <w:color w:val="FFFFFF" w:themeColor="background1"/>
                <w:sz w:val="18"/>
              </w:rPr>
            </w:pPr>
          </w:p>
        </w:tc>
        <w:tc>
          <w:tcPr>
            <w:tcW w:w="1706" w:type="dxa"/>
            <w:tcBorders>
              <w:top w:val="single" w:sz="4" w:space="0" w:color="auto"/>
              <w:left w:val="single" w:sz="4" w:space="0" w:color="auto"/>
              <w:bottom w:val="single" w:sz="12" w:space="0" w:color="auto"/>
              <w:right w:val="single" w:sz="4" w:space="0" w:color="auto"/>
            </w:tcBorders>
            <w:shd w:val="clear" w:color="auto" w:fill="0070C0"/>
            <w:vAlign w:val="center"/>
          </w:tcPr>
          <w:p w14:paraId="253ED9DB" w14:textId="77777777" w:rsidR="006413FF" w:rsidRPr="003F17A9" w:rsidRDefault="006413FF" w:rsidP="00DB30BD">
            <w:pPr>
              <w:spacing w:before="120" w:after="120"/>
              <w:jc w:val="center"/>
              <w:rPr>
                <w:rFonts w:ascii="Arial" w:eastAsiaTheme="minorEastAsia" w:hAnsi="Arial" w:cs="Arial"/>
                <w:b/>
                <w:color w:val="FFFFFF" w:themeColor="background1"/>
                <w:sz w:val="18"/>
              </w:rPr>
            </w:pPr>
            <w:r w:rsidRPr="003F17A9">
              <w:rPr>
                <w:rFonts w:ascii="Arial" w:eastAsiaTheme="minorEastAsia" w:hAnsi="Arial" w:cs="Arial"/>
                <w:b/>
                <w:color w:val="FFFFFF" w:themeColor="background1"/>
                <w:sz w:val="18"/>
              </w:rPr>
              <w:t>‘Old’</w:t>
            </w:r>
          </w:p>
        </w:tc>
        <w:tc>
          <w:tcPr>
            <w:tcW w:w="1706" w:type="dxa"/>
            <w:tcBorders>
              <w:top w:val="single" w:sz="4" w:space="0" w:color="auto"/>
              <w:left w:val="single" w:sz="4" w:space="0" w:color="auto"/>
              <w:bottom w:val="single" w:sz="12" w:space="0" w:color="auto"/>
              <w:right w:val="single" w:sz="4" w:space="0" w:color="auto"/>
            </w:tcBorders>
            <w:shd w:val="clear" w:color="auto" w:fill="0070C0"/>
            <w:vAlign w:val="center"/>
          </w:tcPr>
          <w:p w14:paraId="77387348" w14:textId="77777777" w:rsidR="006413FF" w:rsidRPr="003F17A9" w:rsidRDefault="006413FF" w:rsidP="00DB30BD">
            <w:pPr>
              <w:spacing w:before="120" w:after="120"/>
              <w:jc w:val="center"/>
              <w:rPr>
                <w:rFonts w:ascii="Arial" w:eastAsiaTheme="minorEastAsia" w:hAnsi="Arial" w:cs="Arial"/>
                <w:b/>
                <w:color w:val="FFFFFF" w:themeColor="background1"/>
                <w:sz w:val="18"/>
              </w:rPr>
            </w:pPr>
            <w:r w:rsidRPr="003F17A9">
              <w:rPr>
                <w:rFonts w:ascii="Arial" w:eastAsiaTheme="minorEastAsia" w:hAnsi="Arial" w:cs="Arial"/>
                <w:b/>
                <w:color w:val="FFFFFF" w:themeColor="background1"/>
                <w:sz w:val="18"/>
              </w:rPr>
              <w:t>‘New’</w:t>
            </w:r>
          </w:p>
        </w:tc>
        <w:tc>
          <w:tcPr>
            <w:tcW w:w="953" w:type="dxa"/>
            <w:tcBorders>
              <w:left w:val="single" w:sz="4" w:space="0" w:color="auto"/>
              <w:bottom w:val="single" w:sz="12" w:space="0" w:color="auto"/>
              <w:right w:val="single" w:sz="4" w:space="0" w:color="auto"/>
            </w:tcBorders>
            <w:shd w:val="clear" w:color="auto" w:fill="0070C0"/>
            <w:vAlign w:val="center"/>
          </w:tcPr>
          <w:p w14:paraId="4BAB915C" w14:textId="77777777" w:rsidR="006413FF" w:rsidRPr="003F17A9" w:rsidRDefault="006413FF" w:rsidP="00DB30BD">
            <w:pPr>
              <w:spacing w:before="120" w:after="120"/>
              <w:jc w:val="center"/>
              <w:rPr>
                <w:rFonts w:ascii="Arial" w:eastAsiaTheme="minorEastAsia" w:hAnsi="Arial" w:cs="Arial"/>
                <w:b/>
                <w:color w:val="FFFFFF" w:themeColor="background1"/>
                <w:sz w:val="18"/>
              </w:rPr>
            </w:pPr>
            <w:r w:rsidRPr="003F17A9">
              <w:rPr>
                <w:rFonts w:ascii="Arial" w:eastAsiaTheme="minorEastAsia" w:hAnsi="Arial" w:cs="Arial"/>
                <w:b/>
                <w:color w:val="FFFFFF" w:themeColor="background1"/>
                <w:sz w:val="18"/>
              </w:rPr>
              <w:t>‘Old’</w:t>
            </w:r>
          </w:p>
        </w:tc>
        <w:tc>
          <w:tcPr>
            <w:tcW w:w="2521" w:type="dxa"/>
            <w:tcBorders>
              <w:left w:val="single" w:sz="4" w:space="0" w:color="auto"/>
              <w:bottom w:val="single" w:sz="12" w:space="0" w:color="auto"/>
              <w:right w:val="single" w:sz="12" w:space="0" w:color="auto"/>
            </w:tcBorders>
            <w:shd w:val="clear" w:color="auto" w:fill="0070C0"/>
            <w:vAlign w:val="center"/>
          </w:tcPr>
          <w:p w14:paraId="0FF4482C" w14:textId="77777777" w:rsidR="006413FF" w:rsidRPr="003F17A9" w:rsidRDefault="006413FF" w:rsidP="00DB30BD">
            <w:pPr>
              <w:spacing w:before="120" w:after="120"/>
              <w:jc w:val="center"/>
              <w:rPr>
                <w:rFonts w:ascii="Arial" w:eastAsiaTheme="minorEastAsia" w:hAnsi="Arial" w:cs="Arial"/>
                <w:b/>
                <w:color w:val="FFFFFF" w:themeColor="background1"/>
                <w:sz w:val="18"/>
              </w:rPr>
            </w:pPr>
            <w:r w:rsidRPr="003F17A9">
              <w:rPr>
                <w:rFonts w:ascii="Arial" w:eastAsiaTheme="minorEastAsia" w:hAnsi="Arial" w:cs="Arial"/>
                <w:b/>
                <w:color w:val="FFFFFF" w:themeColor="background1"/>
                <w:sz w:val="18"/>
              </w:rPr>
              <w:t>‘New’ (Reference levels)</w:t>
            </w:r>
          </w:p>
        </w:tc>
      </w:tr>
      <w:tr w:rsidR="006413FF" w:rsidRPr="00526925" w14:paraId="2DE8E619" w14:textId="77777777" w:rsidTr="00FB67C1">
        <w:trPr>
          <w:jc w:val="center"/>
        </w:trPr>
        <w:tc>
          <w:tcPr>
            <w:tcW w:w="1559" w:type="dxa"/>
            <w:tcBorders>
              <w:top w:val="single" w:sz="12" w:space="0" w:color="auto"/>
              <w:left w:val="single" w:sz="12" w:space="0" w:color="auto"/>
              <w:bottom w:val="single" w:sz="4" w:space="0" w:color="auto"/>
              <w:right w:val="single" w:sz="12" w:space="0" w:color="auto"/>
            </w:tcBorders>
            <w:shd w:val="clear" w:color="auto" w:fill="auto"/>
            <w:vAlign w:val="center"/>
          </w:tcPr>
          <w:p w14:paraId="67315C49" w14:textId="3A9BB112" w:rsidR="006413FF" w:rsidRPr="00526925" w:rsidRDefault="004754FB" w:rsidP="00DB30BD">
            <w:pPr>
              <w:spacing w:before="120" w:after="120"/>
              <w:jc w:val="center"/>
              <w:rPr>
                <w:rFonts w:ascii="Arial" w:eastAsiaTheme="minorEastAsia" w:hAnsi="Arial" w:cs="Arial"/>
                <w:sz w:val="18"/>
              </w:rPr>
            </w:pPr>
            <m:oMath>
              <m:sSub>
                <m:sSubPr>
                  <m:ctrlPr>
                    <w:rPr>
                      <w:rFonts w:ascii="Cambria Math" w:eastAsiaTheme="minorEastAsia" w:hAnsi="Cambria Math" w:cs="Arial"/>
                      <w:i/>
                      <w:sz w:val="18"/>
                    </w:rPr>
                  </m:ctrlPr>
                </m:sSubPr>
                <m:e>
                  <m:r>
                    <w:rPr>
                      <w:rFonts w:ascii="Cambria Math" w:eastAsiaTheme="minorEastAsia" w:hAnsi="Cambria Math" w:cs="Arial"/>
                      <w:sz w:val="18"/>
                    </w:rPr>
                    <m:t>f</m:t>
                  </m:r>
                </m:e>
                <m:sub>
                  <m:r>
                    <m:rPr>
                      <m:sty m:val="p"/>
                    </m:rPr>
                    <w:rPr>
                      <w:rFonts w:ascii="Cambria Math" w:eastAsiaTheme="minorEastAsia" w:hAnsi="Cambria Math" w:cs="Arial"/>
                      <w:sz w:val="18"/>
                    </w:rPr>
                    <m:t>tr</m:t>
                  </m:r>
                </m:sub>
              </m:sSub>
            </m:oMath>
            <w:r w:rsidR="006413FF" w:rsidRPr="00526925">
              <w:rPr>
                <w:rFonts w:ascii="Arial" w:eastAsiaTheme="minorEastAsia" w:hAnsi="Arial" w:cs="Arial"/>
                <w:sz w:val="18"/>
              </w:rPr>
              <w:t xml:space="preserve"> (GHz)</w:t>
            </w:r>
          </w:p>
        </w:tc>
        <w:tc>
          <w:tcPr>
            <w:tcW w:w="1706" w:type="dxa"/>
            <w:tcBorders>
              <w:top w:val="single" w:sz="12" w:space="0" w:color="auto"/>
              <w:left w:val="single" w:sz="12" w:space="0" w:color="auto"/>
              <w:bottom w:val="single" w:sz="4" w:space="0" w:color="auto"/>
              <w:right w:val="single" w:sz="4" w:space="0" w:color="auto"/>
            </w:tcBorders>
            <w:shd w:val="clear" w:color="auto" w:fill="auto"/>
            <w:vAlign w:val="center"/>
          </w:tcPr>
          <w:p w14:paraId="6BAE4F02" w14:textId="7F5A312D"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6</w:t>
            </w:r>
          </w:p>
        </w:tc>
        <w:tc>
          <w:tcPr>
            <w:tcW w:w="1706" w:type="dxa"/>
            <w:tcBorders>
              <w:top w:val="single" w:sz="12" w:space="0" w:color="auto"/>
              <w:left w:val="single" w:sz="4" w:space="0" w:color="auto"/>
              <w:bottom w:val="single" w:sz="4" w:space="0" w:color="auto"/>
              <w:right w:val="single" w:sz="12" w:space="0" w:color="auto"/>
            </w:tcBorders>
            <w:shd w:val="clear" w:color="auto" w:fill="auto"/>
            <w:vAlign w:val="center"/>
          </w:tcPr>
          <w:p w14:paraId="1919EE8C" w14:textId="77777777"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6</w:t>
            </w:r>
          </w:p>
        </w:tc>
        <w:tc>
          <w:tcPr>
            <w:tcW w:w="953" w:type="dxa"/>
            <w:tcBorders>
              <w:top w:val="single" w:sz="12" w:space="0" w:color="auto"/>
              <w:left w:val="single" w:sz="12" w:space="0" w:color="auto"/>
              <w:bottom w:val="single" w:sz="4" w:space="0" w:color="auto"/>
              <w:right w:val="single" w:sz="4" w:space="0" w:color="auto"/>
            </w:tcBorders>
            <w:shd w:val="clear" w:color="auto" w:fill="auto"/>
            <w:vAlign w:val="center"/>
          </w:tcPr>
          <w:p w14:paraId="12E13D37" w14:textId="77777777"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10</w:t>
            </w:r>
          </w:p>
        </w:tc>
        <w:tc>
          <w:tcPr>
            <w:tcW w:w="2521" w:type="dxa"/>
            <w:tcBorders>
              <w:top w:val="single" w:sz="12" w:space="0" w:color="auto"/>
              <w:left w:val="single" w:sz="4" w:space="0" w:color="auto"/>
              <w:bottom w:val="single" w:sz="4" w:space="0" w:color="auto"/>
              <w:right w:val="single" w:sz="12" w:space="0" w:color="auto"/>
            </w:tcBorders>
            <w:shd w:val="clear" w:color="auto" w:fill="auto"/>
            <w:vAlign w:val="center"/>
          </w:tcPr>
          <w:p w14:paraId="65F61DFA" w14:textId="77777777"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6</w:t>
            </w:r>
          </w:p>
        </w:tc>
      </w:tr>
      <w:tr w:rsidR="006413FF" w:rsidRPr="00526925" w14:paraId="1DEEC4AC" w14:textId="77777777" w:rsidTr="00FB67C1">
        <w:trPr>
          <w:jc w:val="center"/>
        </w:trPr>
        <w:tc>
          <w:tcPr>
            <w:tcW w:w="1559" w:type="dxa"/>
            <w:tcBorders>
              <w:top w:val="single" w:sz="4" w:space="0" w:color="auto"/>
              <w:left w:val="single" w:sz="12" w:space="0" w:color="auto"/>
              <w:bottom w:val="single" w:sz="4" w:space="0" w:color="auto"/>
              <w:right w:val="single" w:sz="12" w:space="0" w:color="auto"/>
            </w:tcBorders>
            <w:shd w:val="clear" w:color="auto" w:fill="auto"/>
            <w:vAlign w:val="center"/>
          </w:tcPr>
          <w:p w14:paraId="5AD02499" w14:textId="38F42524"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Incident power density (W/m</w:t>
            </w:r>
            <w:r w:rsidRPr="00526925">
              <w:rPr>
                <w:rFonts w:ascii="Arial" w:eastAsiaTheme="minorEastAsia" w:hAnsi="Arial" w:cs="Arial"/>
                <w:sz w:val="18"/>
                <w:vertAlign w:val="superscript"/>
              </w:rPr>
              <w:t>2</w:t>
            </w:r>
            <w:r w:rsidRPr="00526925">
              <w:rPr>
                <w:rFonts w:ascii="Arial" w:eastAsiaTheme="minorEastAsia" w:hAnsi="Arial" w:cs="Arial"/>
                <w:sz w:val="18"/>
              </w:rPr>
              <w:t>)</w:t>
            </w:r>
          </w:p>
          <w:p w14:paraId="7E18E169" w14:textId="421D8076" w:rsidR="006413FF" w:rsidRPr="00526925" w:rsidRDefault="004754FB" w:rsidP="00DB30BD">
            <w:pPr>
              <w:spacing w:before="120" w:after="120"/>
              <w:jc w:val="center"/>
              <w:rPr>
                <w:rFonts w:ascii="Arial" w:eastAsiaTheme="minorEastAsia" w:hAnsi="Arial" w:cs="Arial"/>
                <w:sz w:val="18"/>
              </w:rPr>
            </w:pPr>
            <m:oMathPara>
              <m:oMath>
                <m:sSub>
                  <m:sSubPr>
                    <m:ctrlPr>
                      <w:rPr>
                        <w:rFonts w:ascii="Cambria Math" w:eastAsiaTheme="minorEastAsia" w:hAnsi="Cambria Math" w:cs="Arial"/>
                        <w:i/>
                        <w:sz w:val="18"/>
                      </w:rPr>
                    </m:ctrlPr>
                  </m:sSubPr>
                  <m:e>
                    <m:r>
                      <w:rPr>
                        <w:rFonts w:ascii="Cambria Math" w:eastAsiaTheme="minorEastAsia" w:hAnsi="Cambria Math" w:cs="Arial"/>
                        <w:sz w:val="18"/>
                      </w:rPr>
                      <m:t>f≥f</m:t>
                    </m:r>
                  </m:e>
                  <m:sub>
                    <m:r>
                      <m:rPr>
                        <m:sty m:val="p"/>
                      </m:rPr>
                      <w:rPr>
                        <w:rFonts w:ascii="Cambria Math" w:eastAsiaTheme="minorEastAsia" w:hAnsi="Cambria Math" w:cs="Arial"/>
                        <w:sz w:val="18"/>
                      </w:rPr>
                      <m:t>tr</m:t>
                    </m:r>
                  </m:sub>
                </m:sSub>
              </m:oMath>
            </m:oMathPara>
          </w:p>
        </w:tc>
        <w:tc>
          <w:tcPr>
            <w:tcW w:w="1706" w:type="dxa"/>
            <w:tcBorders>
              <w:top w:val="single" w:sz="4" w:space="0" w:color="auto"/>
              <w:left w:val="single" w:sz="12" w:space="0" w:color="auto"/>
              <w:bottom w:val="single" w:sz="4" w:space="0" w:color="auto"/>
              <w:right w:val="single" w:sz="4" w:space="0" w:color="auto"/>
            </w:tcBorders>
            <w:shd w:val="clear" w:color="auto" w:fill="auto"/>
            <w:vAlign w:val="center"/>
          </w:tcPr>
          <w:p w14:paraId="1B8C8590" w14:textId="2C362D72"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 xml:space="preserve">10 </w:t>
            </w:r>
          </w:p>
        </w:tc>
        <w:tc>
          <w:tcPr>
            <w:tcW w:w="1706" w:type="dxa"/>
            <w:tcBorders>
              <w:top w:val="single" w:sz="4" w:space="0" w:color="auto"/>
              <w:left w:val="single" w:sz="4" w:space="0" w:color="auto"/>
              <w:bottom w:val="single" w:sz="4" w:space="0" w:color="auto"/>
              <w:right w:val="single" w:sz="12" w:space="0" w:color="auto"/>
            </w:tcBorders>
            <w:shd w:val="clear" w:color="auto" w:fill="auto"/>
            <w:vAlign w:val="center"/>
          </w:tcPr>
          <w:p w14:paraId="78ECA812" w14:textId="357A36DF"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 xml:space="preserve">10 </w:t>
            </w:r>
          </w:p>
        </w:tc>
        <w:tc>
          <w:tcPr>
            <w:tcW w:w="953" w:type="dxa"/>
            <w:tcBorders>
              <w:top w:val="single" w:sz="4" w:space="0" w:color="auto"/>
              <w:left w:val="single" w:sz="12" w:space="0" w:color="auto"/>
              <w:bottom w:val="single" w:sz="4" w:space="0" w:color="auto"/>
              <w:right w:val="single" w:sz="4" w:space="0" w:color="auto"/>
            </w:tcBorders>
            <w:shd w:val="clear" w:color="auto" w:fill="auto"/>
            <w:vAlign w:val="center"/>
          </w:tcPr>
          <w:p w14:paraId="29F8B4AD" w14:textId="2C97D54A"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 xml:space="preserve">10 </w:t>
            </w:r>
          </w:p>
        </w:tc>
        <w:tc>
          <w:tcPr>
            <w:tcW w:w="2521" w:type="dxa"/>
            <w:tcBorders>
              <w:top w:val="single" w:sz="4" w:space="0" w:color="auto"/>
              <w:left w:val="single" w:sz="4" w:space="0" w:color="auto"/>
              <w:bottom w:val="single" w:sz="4" w:space="0" w:color="auto"/>
              <w:right w:val="single" w:sz="12" w:space="0" w:color="auto"/>
            </w:tcBorders>
            <w:shd w:val="clear" w:color="auto" w:fill="auto"/>
            <w:vAlign w:val="center"/>
          </w:tcPr>
          <w:p w14:paraId="117DB0A8" w14:textId="57DE4E46"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55*</w:t>
            </w:r>
            <w:r w:rsidRPr="00526925">
              <w:rPr>
                <w:rFonts w:ascii="Arial" w:eastAsiaTheme="minorEastAsia" w:hAnsi="Arial" w:cs="Arial"/>
                <w:i/>
                <w:iCs/>
                <w:sz w:val="18"/>
              </w:rPr>
              <w:t>f</w:t>
            </w:r>
            <w:r w:rsidRPr="00526925">
              <w:rPr>
                <w:rFonts w:ascii="Arial" w:eastAsiaTheme="minorEastAsia" w:hAnsi="Arial" w:cs="Arial"/>
                <w:sz w:val="18"/>
                <w:vertAlign w:val="superscript"/>
              </w:rPr>
              <w:t>--0.177</w:t>
            </w:r>
          </w:p>
        </w:tc>
      </w:tr>
      <w:tr w:rsidR="006413FF" w:rsidRPr="00526925" w14:paraId="1996BCBE" w14:textId="77777777" w:rsidTr="00FB67C1">
        <w:trPr>
          <w:jc w:val="center"/>
        </w:trPr>
        <w:tc>
          <w:tcPr>
            <w:tcW w:w="1559" w:type="dxa"/>
            <w:tcBorders>
              <w:top w:val="single" w:sz="4" w:space="0" w:color="auto"/>
              <w:left w:val="single" w:sz="12" w:space="0" w:color="auto"/>
              <w:bottom w:val="single" w:sz="12" w:space="0" w:color="auto"/>
              <w:right w:val="single" w:sz="12" w:space="0" w:color="auto"/>
            </w:tcBorders>
            <w:shd w:val="clear" w:color="auto" w:fill="auto"/>
            <w:vAlign w:val="center"/>
          </w:tcPr>
          <w:p w14:paraId="6BFBB154" w14:textId="77777777"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Averaging area</w:t>
            </w:r>
          </w:p>
        </w:tc>
        <w:tc>
          <w:tcPr>
            <w:tcW w:w="1706" w:type="dxa"/>
            <w:tcBorders>
              <w:top w:val="single" w:sz="4" w:space="0" w:color="auto"/>
              <w:left w:val="single" w:sz="12" w:space="0" w:color="auto"/>
              <w:bottom w:val="single" w:sz="12" w:space="0" w:color="auto"/>
              <w:right w:val="single" w:sz="4" w:space="0" w:color="auto"/>
            </w:tcBorders>
            <w:shd w:val="clear" w:color="auto" w:fill="auto"/>
            <w:vAlign w:val="center"/>
          </w:tcPr>
          <w:p w14:paraId="31CEE238" w14:textId="77777777"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1 cm</w:t>
            </w:r>
            <w:r w:rsidRPr="00526925">
              <w:rPr>
                <w:rFonts w:ascii="Arial" w:eastAsiaTheme="minorEastAsia" w:hAnsi="Arial" w:cs="Arial"/>
                <w:sz w:val="18"/>
                <w:vertAlign w:val="superscript"/>
              </w:rPr>
              <w:t>2</w:t>
            </w:r>
          </w:p>
        </w:tc>
        <w:tc>
          <w:tcPr>
            <w:tcW w:w="1706" w:type="dxa"/>
            <w:tcBorders>
              <w:top w:val="single" w:sz="4" w:space="0" w:color="auto"/>
              <w:left w:val="single" w:sz="4" w:space="0" w:color="auto"/>
              <w:bottom w:val="single" w:sz="12" w:space="0" w:color="auto"/>
              <w:right w:val="single" w:sz="12" w:space="0" w:color="auto"/>
            </w:tcBorders>
            <w:shd w:val="clear" w:color="auto" w:fill="auto"/>
            <w:vAlign w:val="center"/>
          </w:tcPr>
          <w:p w14:paraId="68C95E2D" w14:textId="77777777"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4 cm</w:t>
            </w:r>
            <w:r w:rsidRPr="00526925">
              <w:rPr>
                <w:rFonts w:ascii="Arial" w:eastAsiaTheme="minorEastAsia" w:hAnsi="Arial" w:cs="Arial"/>
                <w:sz w:val="18"/>
                <w:vertAlign w:val="superscript"/>
              </w:rPr>
              <w:t>2</w:t>
            </w:r>
          </w:p>
        </w:tc>
        <w:tc>
          <w:tcPr>
            <w:tcW w:w="953" w:type="dxa"/>
            <w:tcBorders>
              <w:top w:val="single" w:sz="4" w:space="0" w:color="auto"/>
              <w:left w:val="single" w:sz="12" w:space="0" w:color="auto"/>
              <w:bottom w:val="single" w:sz="12" w:space="0" w:color="auto"/>
              <w:right w:val="single" w:sz="4" w:space="0" w:color="auto"/>
            </w:tcBorders>
            <w:shd w:val="clear" w:color="auto" w:fill="auto"/>
            <w:vAlign w:val="center"/>
          </w:tcPr>
          <w:p w14:paraId="102ECA67" w14:textId="77777777"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20 cm</w:t>
            </w:r>
            <w:r w:rsidRPr="00526925">
              <w:rPr>
                <w:rFonts w:ascii="Arial" w:eastAsiaTheme="minorEastAsia" w:hAnsi="Arial" w:cs="Arial"/>
                <w:sz w:val="18"/>
                <w:vertAlign w:val="superscript"/>
              </w:rPr>
              <w:t>2</w:t>
            </w:r>
          </w:p>
        </w:tc>
        <w:tc>
          <w:tcPr>
            <w:tcW w:w="2521" w:type="dxa"/>
            <w:tcBorders>
              <w:top w:val="single" w:sz="4" w:space="0" w:color="auto"/>
              <w:left w:val="single" w:sz="4" w:space="0" w:color="auto"/>
              <w:bottom w:val="single" w:sz="12" w:space="0" w:color="auto"/>
              <w:right w:val="single" w:sz="12" w:space="0" w:color="auto"/>
            </w:tcBorders>
            <w:shd w:val="clear" w:color="auto" w:fill="auto"/>
            <w:vAlign w:val="center"/>
          </w:tcPr>
          <w:p w14:paraId="6E179407" w14:textId="77777777" w:rsidR="006413FF" w:rsidRPr="00526925" w:rsidRDefault="006413FF" w:rsidP="00DB30BD">
            <w:pPr>
              <w:spacing w:before="120" w:after="120"/>
              <w:jc w:val="center"/>
              <w:rPr>
                <w:rFonts w:ascii="Arial" w:eastAsiaTheme="minorEastAsia" w:hAnsi="Arial" w:cs="Arial"/>
                <w:sz w:val="18"/>
              </w:rPr>
            </w:pPr>
            <w:r w:rsidRPr="00526925">
              <w:rPr>
                <w:rFonts w:ascii="Arial" w:eastAsiaTheme="minorEastAsia" w:hAnsi="Arial" w:cs="Arial"/>
                <w:sz w:val="18"/>
              </w:rPr>
              <w:t>4 cm</w:t>
            </w:r>
            <w:r w:rsidRPr="00526925">
              <w:rPr>
                <w:rFonts w:ascii="Arial" w:eastAsiaTheme="minorEastAsia" w:hAnsi="Arial" w:cs="Arial"/>
                <w:sz w:val="18"/>
                <w:vertAlign w:val="superscript"/>
              </w:rPr>
              <w:t>2</w:t>
            </w:r>
            <w:r w:rsidRPr="00526925">
              <w:rPr>
                <w:rFonts w:ascii="Arial" w:eastAsiaTheme="minorEastAsia" w:hAnsi="Arial" w:cs="Arial"/>
                <w:sz w:val="18"/>
              </w:rPr>
              <w:t xml:space="preserve"> up to 30 GHz and</w:t>
            </w:r>
            <w:r w:rsidRPr="00526925">
              <w:rPr>
                <w:rFonts w:ascii="Arial" w:eastAsiaTheme="minorEastAsia" w:hAnsi="Arial" w:cs="Arial"/>
                <w:sz w:val="18"/>
              </w:rPr>
              <w:br/>
              <w:t xml:space="preserve"> 1 cm</w:t>
            </w:r>
            <w:r w:rsidRPr="00526925">
              <w:rPr>
                <w:rFonts w:ascii="Arial" w:eastAsiaTheme="minorEastAsia" w:hAnsi="Arial" w:cs="Arial"/>
                <w:sz w:val="18"/>
                <w:vertAlign w:val="superscript"/>
              </w:rPr>
              <w:t xml:space="preserve">2 </w:t>
            </w:r>
            <w:r w:rsidRPr="00526925">
              <w:rPr>
                <w:rFonts w:ascii="Arial" w:eastAsiaTheme="minorEastAsia" w:hAnsi="Arial" w:cs="Arial"/>
                <w:sz w:val="18"/>
              </w:rPr>
              <w:t>above</w:t>
            </w:r>
          </w:p>
        </w:tc>
      </w:tr>
    </w:tbl>
    <w:p w14:paraId="0C3B6F63" w14:textId="77AB6564" w:rsidR="00C2022D" w:rsidRDefault="00D51E63" w:rsidP="00C2022D">
      <w:pPr>
        <w:spacing w:before="180"/>
        <w:jc w:val="both"/>
        <w:rPr>
          <w:rFonts w:eastAsiaTheme="minorEastAsia"/>
        </w:rPr>
      </w:pPr>
      <w:r>
        <w:rPr>
          <w:rFonts w:eastAsiaTheme="minorEastAsia"/>
        </w:rPr>
        <w:lastRenderedPageBreak/>
        <w:t xml:space="preserve">Regarding </w:t>
      </w:r>
      <w:r w:rsidR="00E50D19">
        <w:rPr>
          <w:rFonts w:eastAsiaTheme="minorEastAsia"/>
        </w:rPr>
        <w:t xml:space="preserve">the </w:t>
      </w:r>
      <w:r w:rsidR="00EF3AAE">
        <w:rPr>
          <w:rFonts w:eastAsiaTheme="minorEastAsia"/>
        </w:rPr>
        <w:t xml:space="preserve">test </w:t>
      </w:r>
      <w:r w:rsidR="00E50D19">
        <w:rPr>
          <w:rFonts w:eastAsiaTheme="minorEastAsia"/>
        </w:rPr>
        <w:t>separation distance</w:t>
      </w:r>
      <w:r w:rsidR="00F623ED">
        <w:rPr>
          <w:rFonts w:eastAsiaTheme="minorEastAsia"/>
        </w:rPr>
        <w:t xml:space="preserve"> for the</w:t>
      </w:r>
      <w:r w:rsidR="00B15B71">
        <w:rPr>
          <w:rFonts w:eastAsiaTheme="minorEastAsia"/>
        </w:rPr>
        <w:t xml:space="preserve"> RF exposure limits</w:t>
      </w:r>
      <w:r w:rsidR="00E50D19">
        <w:rPr>
          <w:rFonts w:eastAsiaTheme="minorEastAsia"/>
        </w:rPr>
        <w:t>,</w:t>
      </w:r>
      <w:r w:rsidR="00584DE0">
        <w:rPr>
          <w:rFonts w:eastAsiaTheme="minorEastAsia"/>
        </w:rPr>
        <w:t xml:space="preserve"> it can be roughly divided into three categories</w:t>
      </w:r>
      <w:r w:rsidR="00E50D19">
        <w:rPr>
          <w:rFonts w:eastAsiaTheme="minorEastAsia"/>
        </w:rPr>
        <w:t xml:space="preserve"> </w:t>
      </w:r>
      <w:r w:rsidR="00B15B71">
        <w:rPr>
          <w:rFonts w:eastAsiaTheme="minorEastAsia"/>
        </w:rPr>
        <w:t xml:space="preserve">which are for head, body and hotspot </w:t>
      </w:r>
      <w:r w:rsidR="00E50D19">
        <w:rPr>
          <w:rFonts w:eastAsiaTheme="minorEastAsia"/>
        </w:rPr>
        <w:t>a</w:t>
      </w:r>
      <w:r w:rsidR="00BB3FEB">
        <w:rPr>
          <w:rFonts w:eastAsiaTheme="minorEastAsia" w:hint="eastAsia"/>
        </w:rPr>
        <w:t xml:space="preserve">ccording to </w:t>
      </w:r>
      <w:r w:rsidR="00B15B71">
        <w:rPr>
          <w:rFonts w:eastAsiaTheme="minorEastAsia"/>
        </w:rPr>
        <w:t>the multiple FCC KDBs as below:</w:t>
      </w:r>
    </w:p>
    <w:p w14:paraId="5F2CF324" w14:textId="6912F02B" w:rsidR="00C2022D" w:rsidRDefault="00E50D19" w:rsidP="00A016C6">
      <w:pPr>
        <w:numPr>
          <w:ilvl w:val="0"/>
          <w:numId w:val="16"/>
        </w:numPr>
        <w:spacing w:before="180" w:after="120"/>
        <w:ind w:left="714" w:hanging="357"/>
        <w:jc w:val="both"/>
        <w:rPr>
          <w:rFonts w:eastAsiaTheme="minorEastAsia"/>
          <w:lang w:val="en-US"/>
        </w:rPr>
      </w:pPr>
      <w:r>
        <w:rPr>
          <w:rFonts w:eastAsiaTheme="minorEastAsia" w:hint="eastAsia"/>
          <w:lang w:val="en-US"/>
        </w:rPr>
        <w:t>H</w:t>
      </w:r>
      <w:r>
        <w:rPr>
          <w:rFonts w:eastAsiaTheme="minorEastAsia"/>
          <w:lang w:val="en-US"/>
        </w:rPr>
        <w:t>ead</w:t>
      </w:r>
      <w:r w:rsidR="009F6517">
        <w:rPr>
          <w:rFonts w:eastAsiaTheme="minorEastAsia"/>
          <w:lang w:val="en-US"/>
        </w:rPr>
        <w:t xml:space="preserve"> (</w:t>
      </w:r>
      <w:r w:rsidR="00C032CF">
        <w:rPr>
          <w:rFonts w:eastAsiaTheme="minorEastAsia" w:hint="eastAsia"/>
          <w:lang w:val="en-US"/>
        </w:rPr>
        <w:t xml:space="preserve">IEEE </w:t>
      </w:r>
      <w:r w:rsidR="00C032CF">
        <w:rPr>
          <w:rFonts w:eastAsiaTheme="minorEastAsia"/>
          <w:lang w:val="en-US"/>
        </w:rPr>
        <w:t xml:space="preserve">Std 1528-2013 referred to </w:t>
      </w:r>
      <w:r w:rsidR="009F6517">
        <w:rPr>
          <w:rFonts w:eastAsiaTheme="minorEastAsia"/>
          <w:lang w:val="en-US"/>
        </w:rPr>
        <w:t>FCC KDB 447498 section 4.2.1)</w:t>
      </w:r>
      <w:r>
        <w:rPr>
          <w:rFonts w:eastAsiaTheme="minorEastAsia"/>
          <w:lang w:val="en-US"/>
        </w:rPr>
        <w:t>:</w:t>
      </w:r>
      <w:r w:rsidR="00B15B71">
        <w:rPr>
          <w:rFonts w:eastAsiaTheme="minorEastAsia"/>
          <w:lang w:val="en-US"/>
        </w:rPr>
        <w:t xml:space="preserve"> </w:t>
      </w:r>
    </w:p>
    <w:tbl>
      <w:tblPr>
        <w:tblStyle w:val="TableGrid"/>
        <w:tblW w:w="0" w:type="auto"/>
        <w:tblInd w:w="720" w:type="dxa"/>
        <w:tblLook w:val="04A0" w:firstRow="1" w:lastRow="0" w:firstColumn="1" w:lastColumn="0" w:noHBand="0" w:noVBand="1"/>
      </w:tblPr>
      <w:tblGrid>
        <w:gridCol w:w="9135"/>
      </w:tblGrid>
      <w:tr w:rsidR="009F6517" w14:paraId="361DF3B1" w14:textId="77777777" w:rsidTr="009F6517">
        <w:tc>
          <w:tcPr>
            <w:tcW w:w="9837" w:type="dxa"/>
          </w:tcPr>
          <w:p w14:paraId="01A51B88" w14:textId="2FE89B4E" w:rsidR="009F6517" w:rsidRDefault="009F6517" w:rsidP="00D04BC0">
            <w:pPr>
              <w:spacing w:before="120" w:after="120"/>
              <w:jc w:val="both"/>
              <w:rPr>
                <w:rFonts w:eastAsiaTheme="minorEastAsia"/>
                <w:lang w:val="en-US" w:eastAsia="ko-KR"/>
              </w:rPr>
            </w:pPr>
            <w:r w:rsidRPr="008F4FCE">
              <w:rPr>
                <w:i/>
              </w:rPr>
              <w:t>“</w:t>
            </w:r>
            <w:r w:rsidR="00507D0B">
              <w:rPr>
                <w:i/>
              </w:rPr>
              <w:t xml:space="preserve">… </w:t>
            </w:r>
            <w:r w:rsidR="00D04BC0" w:rsidRPr="00D04BC0">
              <w:rPr>
                <w:bCs/>
                <w:i/>
                <w:lang w:val="en-US"/>
              </w:rPr>
              <w:t>Because variations in position may cause significant variations in peak spatial-average SAR, the protocol</w:t>
            </w:r>
            <w:r w:rsidR="00D04BC0">
              <w:rPr>
                <w:bCs/>
                <w:i/>
                <w:lang w:val="en-US"/>
              </w:rPr>
              <w:t xml:space="preserve"> </w:t>
            </w:r>
            <w:r w:rsidR="00D04BC0" w:rsidRPr="00D04BC0">
              <w:rPr>
                <w:bCs/>
                <w:i/>
                <w:lang w:val="en-US"/>
              </w:rPr>
              <w:t>shall be written such that the handset is tested for the expected variations of the intended use position.</w:t>
            </w:r>
            <w:r w:rsidR="00D04BC0">
              <w:rPr>
                <w:bCs/>
                <w:i/>
                <w:lang w:val="en-US"/>
              </w:rPr>
              <w:t xml:space="preserve"> </w:t>
            </w:r>
            <w:r w:rsidR="00D04BC0" w:rsidRPr="00D04BC0">
              <w:rPr>
                <w:bCs/>
                <w:i/>
                <w:lang w:val="en-US"/>
              </w:rPr>
              <w:t>Based on available information and experience, IEEE SCC34 (now ICES TC34) established consensus by</w:t>
            </w:r>
            <w:r w:rsidR="00D04BC0">
              <w:rPr>
                <w:bCs/>
                <w:i/>
                <w:lang w:val="en-US"/>
              </w:rPr>
              <w:t xml:space="preserve"> </w:t>
            </w:r>
            <w:r w:rsidR="00D04BC0" w:rsidRPr="00D04BC0">
              <w:rPr>
                <w:bCs/>
                <w:i/>
                <w:lang w:val="en-US"/>
              </w:rPr>
              <w:t xml:space="preserve">selecting four operating positions, </w:t>
            </w:r>
            <w:r w:rsidR="00D04BC0" w:rsidRPr="00E33DC2">
              <w:rPr>
                <w:bCs/>
                <w:i/>
                <w:u w:val="single"/>
                <w:lang w:val="en-US"/>
              </w:rPr>
              <w:t>specifically the “cheek” and “tilt” positions at the ear on the left and right sides of the SAM phantom</w:t>
            </w:r>
            <w:r w:rsidR="00D04BC0" w:rsidRPr="00D04BC0">
              <w:rPr>
                <w:bCs/>
                <w:i/>
                <w:lang w:val="en-US"/>
              </w:rPr>
              <w:t>. These positions produce results that are representative of typical</w:t>
            </w:r>
            <w:r w:rsidR="00D04BC0">
              <w:rPr>
                <w:bCs/>
                <w:i/>
                <w:lang w:val="en-US"/>
              </w:rPr>
              <w:t xml:space="preserve"> </w:t>
            </w:r>
            <w:r w:rsidR="00D04BC0" w:rsidRPr="00D04BC0">
              <w:rPr>
                <w:bCs/>
                <w:i/>
                <w:lang w:val="en-US"/>
              </w:rPr>
              <w:t>exposures expected to occur in the heads of a significant majority of persons during the intended use of</w:t>
            </w:r>
            <w:r w:rsidR="00D04BC0">
              <w:rPr>
                <w:bCs/>
                <w:i/>
                <w:lang w:val="en-US"/>
              </w:rPr>
              <w:t xml:space="preserve"> </w:t>
            </w:r>
            <w:r w:rsidR="00D04BC0" w:rsidRPr="00D04BC0">
              <w:rPr>
                <w:bCs/>
                <w:i/>
                <w:lang w:val="en-US"/>
              </w:rPr>
              <w:t>handheld wireless devices, but may not be representative of a worst-case position. A worst-case position</w:t>
            </w:r>
            <w:r w:rsidR="00D04BC0">
              <w:rPr>
                <w:bCs/>
                <w:i/>
                <w:lang w:val="en-US"/>
              </w:rPr>
              <w:t xml:space="preserve"> </w:t>
            </w:r>
            <w:r w:rsidR="00D04BC0" w:rsidRPr="00D04BC0">
              <w:rPr>
                <w:bCs/>
                <w:i/>
                <w:lang w:val="en-US"/>
              </w:rPr>
              <w:t>may be outside of the range of intended use positions and difficult to determine within a reasonably finite</w:t>
            </w:r>
            <w:r w:rsidR="00D04BC0">
              <w:rPr>
                <w:bCs/>
                <w:i/>
                <w:lang w:val="en-US"/>
              </w:rPr>
              <w:t xml:space="preserve"> </w:t>
            </w:r>
            <w:r w:rsidR="00D04BC0" w:rsidRPr="00D04BC0">
              <w:rPr>
                <w:bCs/>
                <w:i/>
                <w:lang w:val="en-US"/>
              </w:rPr>
              <w:t>number of tests.</w:t>
            </w:r>
            <w:r w:rsidR="00507D0B">
              <w:rPr>
                <w:bCs/>
                <w:i/>
                <w:lang w:val="en-US"/>
              </w:rPr>
              <w:t xml:space="preserve"> …</w:t>
            </w:r>
            <w:r w:rsidRPr="008F4FCE">
              <w:rPr>
                <w:i/>
              </w:rPr>
              <w:t>”</w:t>
            </w:r>
          </w:p>
        </w:tc>
      </w:tr>
    </w:tbl>
    <w:p w14:paraId="5A78A589" w14:textId="1461592B" w:rsidR="00C2022D" w:rsidRDefault="00E50D19" w:rsidP="00A016C6">
      <w:pPr>
        <w:numPr>
          <w:ilvl w:val="0"/>
          <w:numId w:val="16"/>
        </w:numPr>
        <w:spacing w:before="180" w:after="120"/>
        <w:ind w:left="714" w:hanging="357"/>
        <w:jc w:val="both"/>
        <w:rPr>
          <w:rFonts w:eastAsiaTheme="minorEastAsia"/>
          <w:lang w:val="en-US"/>
        </w:rPr>
      </w:pPr>
      <w:r>
        <w:rPr>
          <w:rFonts w:eastAsiaTheme="minorEastAsia"/>
          <w:lang w:val="en-US"/>
        </w:rPr>
        <w:t>Body</w:t>
      </w:r>
      <w:r w:rsidR="00D51E63">
        <w:rPr>
          <w:rFonts w:eastAsiaTheme="minorEastAsia"/>
          <w:lang w:val="en-US"/>
        </w:rPr>
        <w:t xml:space="preserve"> </w:t>
      </w:r>
      <w:r w:rsidR="00EF3AAE">
        <w:rPr>
          <w:rFonts w:eastAsiaTheme="minorEastAsia"/>
          <w:lang w:val="en-US"/>
        </w:rPr>
        <w:t xml:space="preserve">worn accessory </w:t>
      </w:r>
      <w:r w:rsidR="00D51E63">
        <w:rPr>
          <w:rFonts w:eastAsiaTheme="minorEastAsia"/>
          <w:lang w:val="en-US"/>
        </w:rPr>
        <w:t>(FCC KDB 447498 section 4.2.2)</w:t>
      </w:r>
      <w:r>
        <w:rPr>
          <w:rFonts w:eastAsiaTheme="minorEastAsia"/>
          <w:lang w:val="en-US"/>
        </w:rPr>
        <w:t>:</w:t>
      </w:r>
    </w:p>
    <w:tbl>
      <w:tblPr>
        <w:tblStyle w:val="TableGrid"/>
        <w:tblW w:w="0" w:type="auto"/>
        <w:tblInd w:w="720" w:type="dxa"/>
        <w:tblLook w:val="04A0" w:firstRow="1" w:lastRow="0" w:firstColumn="1" w:lastColumn="0" w:noHBand="0" w:noVBand="1"/>
      </w:tblPr>
      <w:tblGrid>
        <w:gridCol w:w="9135"/>
      </w:tblGrid>
      <w:tr w:rsidR="00F623ED" w14:paraId="11EF7B12" w14:textId="77777777" w:rsidTr="00F623ED">
        <w:tc>
          <w:tcPr>
            <w:tcW w:w="9837" w:type="dxa"/>
          </w:tcPr>
          <w:p w14:paraId="3F67F359" w14:textId="400EAD4C" w:rsidR="00F623ED" w:rsidRPr="00F623ED" w:rsidRDefault="00F623ED" w:rsidP="00EF3AAE">
            <w:pPr>
              <w:spacing w:before="120" w:after="120"/>
              <w:jc w:val="both"/>
              <w:rPr>
                <w:rFonts w:eastAsiaTheme="minorEastAsia"/>
                <w:i/>
                <w:lang w:val="en-US"/>
              </w:rPr>
            </w:pPr>
            <w:r w:rsidRPr="00F623ED">
              <w:rPr>
                <w:i/>
              </w:rPr>
              <w:t xml:space="preserve">“A conservative minimum test separation distance for supporting off-the-shelf body-worn accessories that may be acquired by users of consumer handsets should be used to test for body-worn accessory SAR compliance. </w:t>
            </w:r>
            <w:r w:rsidRPr="00F623ED">
              <w:rPr>
                <w:i/>
                <w:u w:val="single"/>
              </w:rPr>
              <w:t>This distance is determined by the handset manufacturer according to the typical body-worn accessories users may acquire at the time of equipment certification, but not more than 2.5 cm</w:t>
            </w:r>
            <w:r w:rsidRPr="00F623ED">
              <w:rPr>
                <w:i/>
              </w:rPr>
              <w:t>, to enable users to purchase aftermarket body-worn accessories with the required minimum separation. The selected test separation distance must be clearly explained in the SAR report to support the body-worn accessory test configurations. Devices that are designed to operate on the body of users using lanyards and straps or without requiring additional body-worn accessories must be tested for SAR compliance using a conservative minimum test separation distance ≤ 5 mm to support compliance”</w:t>
            </w:r>
          </w:p>
        </w:tc>
      </w:tr>
    </w:tbl>
    <w:p w14:paraId="17A4A6C3" w14:textId="0A79997D" w:rsidR="00C2022D" w:rsidRDefault="00D51E63" w:rsidP="00A016C6">
      <w:pPr>
        <w:numPr>
          <w:ilvl w:val="0"/>
          <w:numId w:val="16"/>
        </w:numPr>
        <w:spacing w:before="180" w:after="120"/>
        <w:ind w:left="714" w:hanging="357"/>
        <w:jc w:val="both"/>
        <w:rPr>
          <w:rFonts w:eastAsiaTheme="minorEastAsia"/>
          <w:lang w:val="en-US"/>
        </w:rPr>
      </w:pPr>
      <w:r>
        <w:rPr>
          <w:rFonts w:eastAsiaTheme="minorEastAsia"/>
          <w:lang w:val="en-US"/>
        </w:rPr>
        <w:t>Hot</w:t>
      </w:r>
      <w:r w:rsidR="00957086">
        <w:rPr>
          <w:rFonts w:eastAsiaTheme="minorEastAsia"/>
          <w:lang w:val="en-US"/>
        </w:rPr>
        <w:t>spot</w:t>
      </w:r>
      <w:r>
        <w:rPr>
          <w:rFonts w:eastAsiaTheme="minorEastAsia"/>
          <w:lang w:val="en-US"/>
        </w:rPr>
        <w:t xml:space="preserve"> </w:t>
      </w:r>
      <w:r w:rsidR="00EF3AAE">
        <w:rPr>
          <w:rFonts w:eastAsiaTheme="minorEastAsia"/>
          <w:lang w:val="en-US"/>
        </w:rPr>
        <w:t xml:space="preserve">mode </w:t>
      </w:r>
      <w:r>
        <w:rPr>
          <w:rFonts w:eastAsiaTheme="minorEastAsia"/>
          <w:lang w:val="en-US"/>
        </w:rPr>
        <w:t>(FCC KDB 941225 D06):</w:t>
      </w:r>
    </w:p>
    <w:tbl>
      <w:tblPr>
        <w:tblStyle w:val="TableGrid"/>
        <w:tblW w:w="0" w:type="auto"/>
        <w:tblInd w:w="720" w:type="dxa"/>
        <w:tblLook w:val="04A0" w:firstRow="1" w:lastRow="0" w:firstColumn="1" w:lastColumn="0" w:noHBand="0" w:noVBand="1"/>
      </w:tblPr>
      <w:tblGrid>
        <w:gridCol w:w="9135"/>
      </w:tblGrid>
      <w:tr w:rsidR="00F623ED" w14:paraId="09A5A180" w14:textId="77777777" w:rsidTr="00EF3AAE">
        <w:tc>
          <w:tcPr>
            <w:tcW w:w="9135" w:type="dxa"/>
          </w:tcPr>
          <w:p w14:paraId="3EC794D6" w14:textId="504D3C94" w:rsidR="00F623ED" w:rsidRPr="00F623ED" w:rsidRDefault="00F623ED" w:rsidP="00EF3AAE">
            <w:pPr>
              <w:spacing w:before="120" w:after="120"/>
              <w:jc w:val="both"/>
              <w:rPr>
                <w:rFonts w:eastAsiaTheme="minorEastAsia"/>
                <w:i/>
                <w:lang w:val="en-US" w:eastAsia="ko-KR"/>
              </w:rPr>
            </w:pPr>
            <w:r w:rsidRPr="00F623ED">
              <w:rPr>
                <w:rFonts w:eastAsiaTheme="minorEastAsia"/>
                <w:i/>
                <w:lang w:val="en-US" w:eastAsia="ko-KR"/>
              </w:rPr>
              <w:t>“</w:t>
            </w:r>
            <w:r w:rsidRPr="00F623ED">
              <w:rPr>
                <w:i/>
              </w:rPr>
              <w:t xml:space="preserve">The hotspot mode and body-worn accessory SAR test configurations may overlap for handsets. When the same wireless mode transmission configurations for voice and data are required for SAR measurements, the more conservative configuration with a smaller separation distance should be tested for the overlapping SAR configurations. This typically applies to the back and front surfaces of a handset when SAR is required for both hotspot mode and body-worn accessory exposure conditions. Depending on the form factor and dimensions of a device, </w:t>
            </w:r>
            <w:r w:rsidRPr="00EF3AAE">
              <w:rPr>
                <w:i/>
                <w:u w:val="single"/>
              </w:rPr>
              <w:t>the test separation distance used for hotspot mode SAR measurement is either 10 mm</w:t>
            </w:r>
            <w:r w:rsidRPr="00F623ED">
              <w:rPr>
                <w:i/>
              </w:rPr>
              <w:t xml:space="preserve"> or that used in the body-worn accessory configuration, whichever is less for devices with dimension &gt; 9 cm x 5 cm. For smaller devices with dimensions ≤ 9 cm x 5 cm because of a greater potential for next to body use a test separation of ≤ 5 mm must be used. The combination of test distance and 1-g SAR measurements required for near-body exposure also supports hand-held exposure; therefore, separate 10-g extremity SAR evaluation is not necessary.”</w:t>
            </w:r>
          </w:p>
        </w:tc>
      </w:tr>
    </w:tbl>
    <w:p w14:paraId="6A377DDD" w14:textId="3514B9BE" w:rsidR="00D51E63" w:rsidRPr="00EF3AAE" w:rsidRDefault="00EF3AAE" w:rsidP="00EF3AAE">
      <w:pPr>
        <w:spacing w:before="180"/>
        <w:jc w:val="both"/>
        <w:rPr>
          <w:rFonts w:eastAsiaTheme="minorEastAsia"/>
        </w:rPr>
      </w:pPr>
      <w:r>
        <w:rPr>
          <w:rFonts w:eastAsiaTheme="minorEastAsia"/>
        </w:rPr>
        <w:t xml:space="preserve">Therefore, the </w:t>
      </w:r>
      <w:r w:rsidR="00852B87">
        <w:rPr>
          <w:rFonts w:eastAsiaTheme="minorEastAsia"/>
        </w:rPr>
        <w:t xml:space="preserve">analysis </w:t>
      </w:r>
      <w:r>
        <w:rPr>
          <w:rFonts w:eastAsiaTheme="minorEastAsia"/>
        </w:rPr>
        <w:t xml:space="preserve">to determine the </w:t>
      </w:r>
      <w:r w:rsidR="0098310E">
        <w:rPr>
          <w:rFonts w:eastAsiaTheme="minorEastAsia"/>
        </w:rPr>
        <w:t>requirements</w:t>
      </w:r>
      <w:r w:rsidR="00852B87">
        <w:rPr>
          <w:rFonts w:eastAsiaTheme="minorEastAsia"/>
        </w:rPr>
        <w:t xml:space="preserve"> for the </w:t>
      </w:r>
      <w:r>
        <w:rPr>
          <w:rFonts w:eastAsiaTheme="minorEastAsia"/>
        </w:rPr>
        <w:t xml:space="preserve">MPE </w:t>
      </w:r>
      <w:r w:rsidR="00852B87">
        <w:rPr>
          <w:rFonts w:eastAsiaTheme="minorEastAsia"/>
        </w:rPr>
        <w:t>scenario should be based on the worst test separation distance which is the</w:t>
      </w:r>
      <w:r w:rsidR="00E33DC2">
        <w:rPr>
          <w:rFonts w:eastAsiaTheme="minorEastAsia"/>
        </w:rPr>
        <w:t xml:space="preserve"> head exposure condition with 0</w:t>
      </w:r>
      <w:r w:rsidR="00852B87">
        <w:rPr>
          <w:rFonts w:eastAsiaTheme="minorEastAsia"/>
        </w:rPr>
        <w:t xml:space="preserve">mm. </w:t>
      </w:r>
    </w:p>
    <w:p w14:paraId="3E68704D" w14:textId="79505CE5" w:rsidR="00526925" w:rsidRPr="00E50D19" w:rsidRDefault="00526925" w:rsidP="00526925">
      <w:pPr>
        <w:spacing w:before="180"/>
        <w:jc w:val="both"/>
        <w:rPr>
          <w:rFonts w:eastAsiaTheme="minorEastAsia"/>
          <w:lang w:val="en-US"/>
        </w:rPr>
      </w:pPr>
      <w:r>
        <w:rPr>
          <w:rFonts w:eastAsiaTheme="minorEastAsia" w:hint="eastAsia"/>
          <w:b/>
          <w:i/>
          <w:u w:val="single"/>
        </w:rPr>
        <w:t>Observation</w:t>
      </w:r>
      <w:r w:rsidRPr="00B41BD4">
        <w:rPr>
          <w:rFonts w:eastAsiaTheme="minorEastAsia" w:hint="eastAsia"/>
          <w:b/>
          <w:i/>
          <w:u w:val="single"/>
        </w:rPr>
        <w:t xml:space="preserve"> </w:t>
      </w:r>
      <w:r w:rsidRPr="007D289E">
        <w:rPr>
          <w:rFonts w:eastAsiaTheme="minorEastAsia" w:hint="eastAsia"/>
          <w:b/>
          <w:i/>
          <w:u w:val="single"/>
        </w:rPr>
        <w:t>1:</w:t>
      </w:r>
      <w:r w:rsidRPr="007D289E">
        <w:rPr>
          <w:rFonts w:eastAsiaTheme="minorEastAsia" w:hint="eastAsia"/>
          <w:b/>
          <w:i/>
        </w:rPr>
        <w:t xml:space="preserve"> </w:t>
      </w:r>
      <w:r w:rsidR="00D20895">
        <w:rPr>
          <w:rFonts w:eastAsiaTheme="minorEastAsia"/>
          <w:b/>
          <w:i/>
        </w:rPr>
        <w:t>For test separation condition, z</w:t>
      </w:r>
      <w:r w:rsidR="00533DD9">
        <w:rPr>
          <w:rFonts w:eastAsiaTheme="minorEastAsia"/>
          <w:b/>
          <w:i/>
        </w:rPr>
        <w:t xml:space="preserve">ero distance should be considered for the </w:t>
      </w:r>
      <w:r w:rsidR="0059095F">
        <w:rPr>
          <w:rFonts w:eastAsiaTheme="minorEastAsia"/>
          <w:b/>
          <w:i/>
        </w:rPr>
        <w:t xml:space="preserve">MPE </w:t>
      </w:r>
      <w:r w:rsidR="00533DD9">
        <w:rPr>
          <w:rFonts w:eastAsiaTheme="minorEastAsia"/>
          <w:b/>
          <w:i/>
        </w:rPr>
        <w:t xml:space="preserve">discussion on </w:t>
      </w:r>
      <w:r w:rsidR="0059095F">
        <w:rPr>
          <w:rFonts w:eastAsiaTheme="minorEastAsia"/>
          <w:b/>
          <w:i/>
        </w:rPr>
        <w:t>RF exposure levels</w:t>
      </w:r>
      <w:r w:rsidR="00533DD9">
        <w:rPr>
          <w:rFonts w:eastAsiaTheme="minorEastAsia"/>
          <w:b/>
          <w:i/>
        </w:rPr>
        <w:t>.</w:t>
      </w:r>
    </w:p>
    <w:p w14:paraId="2A94CE15" w14:textId="362E09EC" w:rsidR="00C2022D" w:rsidRPr="00517836" w:rsidRDefault="00C2022D" w:rsidP="00C2022D">
      <w:pPr>
        <w:pStyle w:val="Heading4"/>
        <w:spacing w:before="240"/>
        <w:rPr>
          <w:lang w:val="en-US"/>
        </w:rPr>
      </w:pPr>
      <w:r>
        <w:rPr>
          <w:rFonts w:hint="eastAsia"/>
          <w:lang w:val="en-US"/>
        </w:rPr>
        <w:t xml:space="preserve">2.2 </w:t>
      </w:r>
      <w:r w:rsidR="005255CA">
        <w:rPr>
          <w:lang w:val="en-US"/>
        </w:rPr>
        <w:t>Simulation</w:t>
      </w:r>
      <w:r w:rsidR="00E50D19">
        <w:rPr>
          <w:lang w:val="en-US"/>
        </w:rPr>
        <w:t xml:space="preserve"> result</w:t>
      </w:r>
      <w:r>
        <w:rPr>
          <w:lang w:val="en-US"/>
        </w:rPr>
        <w:t>s</w:t>
      </w:r>
    </w:p>
    <w:p w14:paraId="5A1099BA" w14:textId="61FA07D2" w:rsidR="00B22669" w:rsidRDefault="005255CA" w:rsidP="00963922">
      <w:pPr>
        <w:spacing w:before="180"/>
        <w:jc w:val="both"/>
        <w:rPr>
          <w:rFonts w:eastAsiaTheme="minorEastAsia"/>
        </w:rPr>
      </w:pPr>
      <w:r>
        <w:t xml:space="preserve">Based on the current regulatory requirement and background in section 2.1, </w:t>
      </w:r>
      <w:r w:rsidR="00DB30BD">
        <w:t xml:space="preserve">the simulated result for the RF exposure level is provided </w:t>
      </w:r>
      <w:r w:rsidR="00074337">
        <w:t xml:space="preserve">in </w:t>
      </w:r>
      <w:r w:rsidR="00B22669" w:rsidRPr="00B22669">
        <w:t>Table 2.</w:t>
      </w:r>
      <w:r w:rsidR="00074337">
        <w:t xml:space="preserve"> As noted in Observation 1, the separation distance should be zero. However, </w:t>
      </w:r>
      <w:r w:rsidR="00074337">
        <w:rPr>
          <w:rFonts w:eastAsiaTheme="minorEastAsia"/>
        </w:rPr>
        <w:t xml:space="preserve">we have considered the actual measurement environment </w:t>
      </w:r>
      <w:r w:rsidR="00963922">
        <w:rPr>
          <w:rFonts w:eastAsiaTheme="minorEastAsia"/>
        </w:rPr>
        <w:t xml:space="preserve">condition </w:t>
      </w:r>
      <w:r w:rsidR="00074337">
        <w:rPr>
          <w:rFonts w:eastAsiaTheme="minorEastAsia"/>
        </w:rPr>
        <w:t xml:space="preserve">that </w:t>
      </w:r>
      <w:r w:rsidR="00963922">
        <w:rPr>
          <w:rFonts w:eastAsiaTheme="minorEastAsia"/>
        </w:rPr>
        <w:t>the probe antenna for the power density measurement is covered by a dielectric cap which is 2mm</w:t>
      </w:r>
      <w:r w:rsidR="00A656AB">
        <w:rPr>
          <w:rFonts w:eastAsiaTheme="minorEastAsia"/>
        </w:rPr>
        <w:t xml:space="preserve"> thick</w:t>
      </w:r>
      <w:r w:rsidR="00963922">
        <w:rPr>
          <w:rFonts w:eastAsiaTheme="minorEastAsia"/>
        </w:rPr>
        <w:t xml:space="preserve">. </w:t>
      </w:r>
      <w:r w:rsidR="009A555C">
        <w:rPr>
          <w:rFonts w:eastAsiaTheme="minorEastAsia"/>
        </w:rPr>
        <w:t>T</w:t>
      </w:r>
      <w:r w:rsidR="00963922">
        <w:rPr>
          <w:rFonts w:eastAsiaTheme="minorEastAsia"/>
        </w:rPr>
        <w:t xml:space="preserve">o get analogous results </w:t>
      </w:r>
      <w:r w:rsidR="0034684A">
        <w:rPr>
          <w:rFonts w:eastAsiaTheme="minorEastAsia"/>
        </w:rPr>
        <w:t>to</w:t>
      </w:r>
      <w:r w:rsidR="009A555C">
        <w:rPr>
          <w:rFonts w:eastAsiaTheme="minorEastAsia"/>
        </w:rPr>
        <w:t xml:space="preserve"> the real-world as much as possible, 2mm is taken into consideration in </w:t>
      </w:r>
      <w:r w:rsidR="00963922">
        <w:rPr>
          <w:rFonts w:eastAsiaTheme="minorEastAsia"/>
        </w:rPr>
        <w:t>our simulation</w:t>
      </w:r>
      <w:r w:rsidR="009A555C">
        <w:rPr>
          <w:rFonts w:eastAsiaTheme="minorEastAsia"/>
        </w:rPr>
        <w:t>s which can work the same way with the practical measurement</w:t>
      </w:r>
      <w:r w:rsidR="00963922">
        <w:rPr>
          <w:rFonts w:eastAsiaTheme="minorEastAsia"/>
        </w:rPr>
        <w:t xml:space="preserve">. </w:t>
      </w:r>
    </w:p>
    <w:p w14:paraId="458177BC" w14:textId="3078A625" w:rsidR="00082D57" w:rsidRPr="00082D57" w:rsidRDefault="00082D57" w:rsidP="00963922">
      <w:pPr>
        <w:spacing w:before="180"/>
        <w:jc w:val="both"/>
        <w:rPr>
          <w:lang w:val="en-US"/>
        </w:rPr>
      </w:pPr>
      <w:r>
        <w:rPr>
          <w:lang w:val="en-US"/>
        </w:rPr>
        <w:t>I</w:t>
      </w:r>
      <w:r>
        <w:rPr>
          <w:rFonts w:hint="eastAsia"/>
          <w:lang w:val="en-US"/>
        </w:rPr>
        <w:t xml:space="preserve">t </w:t>
      </w:r>
      <w:r>
        <w:rPr>
          <w:lang w:val="en-US"/>
        </w:rPr>
        <w:t xml:space="preserve">should be noted that the provided </w:t>
      </w:r>
      <w:r w:rsidR="000F728E">
        <w:rPr>
          <w:lang w:val="en-US"/>
        </w:rPr>
        <w:t xml:space="preserve">our latest </w:t>
      </w:r>
      <w:r>
        <w:rPr>
          <w:lang w:val="en-US"/>
        </w:rPr>
        <w:t>simulation results in Table 2 may not perfectly match with the real product UE to be measured and tested for the regulatory compliance in the future.</w:t>
      </w:r>
    </w:p>
    <w:p w14:paraId="7B09E64B" w14:textId="736C94CC" w:rsidR="00B22669" w:rsidRPr="005B6048" w:rsidRDefault="00902410" w:rsidP="00E50D19">
      <w:pPr>
        <w:spacing w:before="180"/>
        <w:jc w:val="center"/>
        <w:rPr>
          <w:rFonts w:eastAsiaTheme="minorEastAsia"/>
          <w:b/>
          <w:highlight w:val="yellow"/>
          <w:lang w:val="en-US"/>
        </w:rPr>
      </w:pPr>
      <w:r>
        <w:rPr>
          <w:rFonts w:eastAsiaTheme="minorEastAsia" w:hint="eastAsia"/>
          <w:b/>
          <w:lang w:val="en-US"/>
        </w:rPr>
        <w:t>Table 2</w:t>
      </w:r>
      <w:r w:rsidR="00E50D19" w:rsidRPr="003F17A9">
        <w:rPr>
          <w:rFonts w:eastAsiaTheme="minorEastAsia"/>
          <w:b/>
          <w:lang w:val="en-US"/>
        </w:rPr>
        <w:t xml:space="preserve">: </w:t>
      </w:r>
      <w:r w:rsidR="003F17A9" w:rsidRPr="003F17A9">
        <w:rPr>
          <w:rFonts w:eastAsiaTheme="minorEastAsia" w:hint="eastAsia"/>
          <w:b/>
          <w:lang w:val="en-US"/>
        </w:rPr>
        <w:t>Simulated RF Exposure levels at 28GHz</w:t>
      </w:r>
    </w:p>
    <w:tbl>
      <w:tblPr>
        <w:tblW w:w="8900" w:type="dxa"/>
        <w:jc w:val="center"/>
        <w:tblCellMar>
          <w:left w:w="0" w:type="dxa"/>
          <w:right w:w="0" w:type="dxa"/>
        </w:tblCellMar>
        <w:tblLook w:val="0600" w:firstRow="0" w:lastRow="0" w:firstColumn="0" w:lastColumn="0" w:noHBand="1" w:noVBand="1"/>
      </w:tblPr>
      <w:tblGrid>
        <w:gridCol w:w="1400"/>
        <w:gridCol w:w="1400"/>
        <w:gridCol w:w="1400"/>
        <w:gridCol w:w="1400"/>
        <w:gridCol w:w="1380"/>
        <w:gridCol w:w="1920"/>
      </w:tblGrid>
      <w:tr w:rsidR="003F17A9" w:rsidRPr="003F17A9" w14:paraId="3BDE4BE5" w14:textId="77777777" w:rsidTr="00FB67C1">
        <w:trPr>
          <w:trHeight w:val="61"/>
          <w:jc w:val="center"/>
        </w:trPr>
        <w:tc>
          <w:tcPr>
            <w:tcW w:w="8900" w:type="dxa"/>
            <w:gridSpan w:val="6"/>
            <w:tcBorders>
              <w:top w:val="single" w:sz="12" w:space="0" w:color="auto"/>
              <w:left w:val="single" w:sz="12" w:space="0" w:color="auto"/>
              <w:bottom w:val="single" w:sz="4" w:space="0" w:color="000000"/>
              <w:right w:val="single" w:sz="12" w:space="0" w:color="auto"/>
            </w:tcBorders>
            <w:shd w:val="clear" w:color="auto" w:fill="0070C0"/>
            <w:tcMar>
              <w:top w:w="15" w:type="dxa"/>
              <w:left w:w="15" w:type="dxa"/>
              <w:bottom w:w="0" w:type="dxa"/>
              <w:right w:w="15" w:type="dxa"/>
            </w:tcMar>
            <w:vAlign w:val="center"/>
            <w:hideMark/>
          </w:tcPr>
          <w:p w14:paraId="4F09891F" w14:textId="77777777" w:rsidR="003F17A9" w:rsidRPr="003F17A9" w:rsidRDefault="003F17A9" w:rsidP="003F17A9">
            <w:pPr>
              <w:overflowPunct/>
              <w:autoSpaceDE/>
              <w:autoSpaceDN/>
              <w:adjustRightInd/>
              <w:spacing w:before="120" w:after="120"/>
              <w:jc w:val="center"/>
              <w:textAlignment w:val="center"/>
              <w:rPr>
                <w:rFonts w:ascii="Arial" w:eastAsia="Gulim" w:hAnsi="Arial" w:cs="Arial"/>
                <w:b/>
                <w:color w:val="FFFFFF" w:themeColor="background1"/>
                <w:sz w:val="36"/>
                <w:szCs w:val="36"/>
                <w:lang w:val="en-US"/>
              </w:rPr>
            </w:pPr>
            <w:r w:rsidRPr="003F17A9">
              <w:rPr>
                <w:rFonts w:ascii="Arial" w:eastAsia="Malgun Gothic" w:hAnsi="Arial" w:cs="Arial"/>
                <w:b/>
                <w:color w:val="FFFFFF" w:themeColor="background1"/>
                <w:kern w:val="24"/>
                <w:sz w:val="18"/>
                <w:szCs w:val="18"/>
                <w:lang w:val="en-US"/>
              </w:rPr>
              <w:t>Averaged power density (4cm^2)</w:t>
            </w:r>
          </w:p>
        </w:tc>
      </w:tr>
      <w:tr w:rsidR="003F17A9" w:rsidRPr="003F17A9" w14:paraId="0F8E098B" w14:textId="77777777" w:rsidTr="00FB67C1">
        <w:trPr>
          <w:trHeight w:val="61"/>
          <w:jc w:val="center"/>
        </w:trPr>
        <w:tc>
          <w:tcPr>
            <w:tcW w:w="1400" w:type="dxa"/>
            <w:tcBorders>
              <w:top w:val="single" w:sz="4" w:space="0" w:color="000000"/>
              <w:left w:val="single" w:sz="12" w:space="0" w:color="auto"/>
              <w:bottom w:val="single" w:sz="12" w:space="0" w:color="auto"/>
              <w:right w:val="single" w:sz="4" w:space="0" w:color="000000"/>
            </w:tcBorders>
            <w:shd w:val="clear" w:color="auto" w:fill="0070C0"/>
            <w:tcMar>
              <w:top w:w="15" w:type="dxa"/>
              <w:left w:w="15" w:type="dxa"/>
              <w:bottom w:w="0" w:type="dxa"/>
              <w:right w:w="15" w:type="dxa"/>
            </w:tcMar>
            <w:vAlign w:val="center"/>
            <w:hideMark/>
          </w:tcPr>
          <w:p w14:paraId="5A125DAA" w14:textId="165DD90A" w:rsidR="003F17A9" w:rsidRPr="003F17A9" w:rsidRDefault="003F17A9" w:rsidP="003F17A9">
            <w:pPr>
              <w:overflowPunct/>
              <w:autoSpaceDE/>
              <w:autoSpaceDN/>
              <w:adjustRightInd/>
              <w:spacing w:before="120" w:after="120"/>
              <w:jc w:val="center"/>
              <w:textAlignment w:val="center"/>
              <w:rPr>
                <w:rFonts w:ascii="Arial" w:eastAsia="Gulim" w:hAnsi="Arial" w:cs="Arial"/>
                <w:b/>
                <w:color w:val="FFFFFF" w:themeColor="background1"/>
                <w:sz w:val="36"/>
                <w:szCs w:val="36"/>
                <w:lang w:val="en-US"/>
              </w:rPr>
            </w:pPr>
          </w:p>
        </w:tc>
        <w:tc>
          <w:tcPr>
            <w:tcW w:w="1400" w:type="dxa"/>
            <w:tcBorders>
              <w:top w:val="single" w:sz="4" w:space="0" w:color="000000"/>
              <w:left w:val="single" w:sz="4" w:space="0" w:color="000000"/>
              <w:bottom w:val="single" w:sz="12" w:space="0" w:color="auto"/>
              <w:right w:val="single" w:sz="4" w:space="0" w:color="000000"/>
            </w:tcBorders>
            <w:shd w:val="clear" w:color="auto" w:fill="0070C0"/>
            <w:tcMar>
              <w:top w:w="15" w:type="dxa"/>
              <w:left w:w="15" w:type="dxa"/>
              <w:bottom w:w="0" w:type="dxa"/>
              <w:right w:w="15" w:type="dxa"/>
            </w:tcMar>
            <w:vAlign w:val="center"/>
            <w:hideMark/>
          </w:tcPr>
          <w:p w14:paraId="0DA03BEC" w14:textId="77777777" w:rsidR="003F17A9" w:rsidRPr="003F17A9" w:rsidRDefault="003F17A9" w:rsidP="003F17A9">
            <w:pPr>
              <w:overflowPunct/>
              <w:autoSpaceDE/>
              <w:autoSpaceDN/>
              <w:adjustRightInd/>
              <w:spacing w:before="120" w:after="120"/>
              <w:jc w:val="center"/>
              <w:textAlignment w:val="center"/>
              <w:rPr>
                <w:rFonts w:ascii="Arial" w:eastAsia="Gulim" w:hAnsi="Arial" w:cs="Arial"/>
                <w:b/>
                <w:color w:val="FFFFFF" w:themeColor="background1"/>
                <w:sz w:val="36"/>
                <w:szCs w:val="36"/>
                <w:lang w:val="en-US"/>
              </w:rPr>
            </w:pPr>
            <w:r w:rsidRPr="003F17A9">
              <w:rPr>
                <w:rFonts w:ascii="Arial" w:eastAsia="Malgun Gothic" w:hAnsi="Arial" w:cs="Arial"/>
                <w:b/>
                <w:color w:val="FFFFFF" w:themeColor="background1"/>
                <w:kern w:val="24"/>
                <w:sz w:val="18"/>
                <w:szCs w:val="18"/>
                <w:lang w:val="en-US"/>
              </w:rPr>
              <w:t>Ant type</w:t>
            </w:r>
          </w:p>
        </w:tc>
        <w:tc>
          <w:tcPr>
            <w:tcW w:w="1400" w:type="dxa"/>
            <w:tcBorders>
              <w:top w:val="single" w:sz="4" w:space="0" w:color="000000"/>
              <w:left w:val="single" w:sz="4" w:space="0" w:color="000000"/>
              <w:bottom w:val="single" w:sz="12" w:space="0" w:color="auto"/>
              <w:right w:val="single" w:sz="4" w:space="0" w:color="000000"/>
            </w:tcBorders>
            <w:shd w:val="clear" w:color="auto" w:fill="0070C0"/>
            <w:tcMar>
              <w:top w:w="15" w:type="dxa"/>
              <w:left w:w="15" w:type="dxa"/>
              <w:bottom w:w="0" w:type="dxa"/>
              <w:right w:w="15" w:type="dxa"/>
            </w:tcMar>
            <w:vAlign w:val="center"/>
            <w:hideMark/>
          </w:tcPr>
          <w:p w14:paraId="57277532" w14:textId="77777777" w:rsidR="003F17A9" w:rsidRPr="003F17A9" w:rsidRDefault="003F17A9" w:rsidP="003F17A9">
            <w:pPr>
              <w:overflowPunct/>
              <w:autoSpaceDE/>
              <w:autoSpaceDN/>
              <w:adjustRightInd/>
              <w:spacing w:before="120" w:after="120"/>
              <w:jc w:val="center"/>
              <w:textAlignment w:val="center"/>
              <w:rPr>
                <w:rFonts w:ascii="Arial" w:eastAsia="Gulim" w:hAnsi="Arial" w:cs="Arial"/>
                <w:b/>
                <w:color w:val="FFFFFF" w:themeColor="background1"/>
                <w:sz w:val="36"/>
                <w:szCs w:val="36"/>
                <w:lang w:val="en-US"/>
              </w:rPr>
            </w:pPr>
            <w:r w:rsidRPr="003F17A9">
              <w:rPr>
                <w:rFonts w:ascii="Arial" w:eastAsia="Malgun Gothic" w:hAnsi="Arial" w:cs="Arial"/>
                <w:b/>
                <w:color w:val="FFFFFF" w:themeColor="background1"/>
                <w:kern w:val="24"/>
                <w:sz w:val="18"/>
                <w:szCs w:val="18"/>
                <w:lang w:val="en-US"/>
              </w:rPr>
              <w:t>Band</w:t>
            </w:r>
          </w:p>
        </w:tc>
        <w:tc>
          <w:tcPr>
            <w:tcW w:w="1400" w:type="dxa"/>
            <w:tcBorders>
              <w:top w:val="single" w:sz="4" w:space="0" w:color="000000"/>
              <w:left w:val="single" w:sz="4" w:space="0" w:color="000000"/>
              <w:bottom w:val="single" w:sz="12" w:space="0" w:color="auto"/>
              <w:right w:val="single" w:sz="4" w:space="0" w:color="000000"/>
            </w:tcBorders>
            <w:shd w:val="clear" w:color="auto" w:fill="0070C0"/>
            <w:tcMar>
              <w:top w:w="15" w:type="dxa"/>
              <w:left w:w="15" w:type="dxa"/>
              <w:bottom w:w="0" w:type="dxa"/>
              <w:right w:w="15" w:type="dxa"/>
            </w:tcMar>
            <w:vAlign w:val="center"/>
            <w:hideMark/>
          </w:tcPr>
          <w:p w14:paraId="1FC7DC4D" w14:textId="77777777" w:rsidR="003F17A9" w:rsidRPr="003F17A9" w:rsidRDefault="003F17A9" w:rsidP="003F17A9">
            <w:pPr>
              <w:overflowPunct/>
              <w:autoSpaceDE/>
              <w:autoSpaceDN/>
              <w:adjustRightInd/>
              <w:spacing w:before="120" w:after="120"/>
              <w:jc w:val="center"/>
              <w:textAlignment w:val="center"/>
              <w:rPr>
                <w:rFonts w:ascii="Arial" w:eastAsia="Gulim" w:hAnsi="Arial" w:cs="Arial"/>
                <w:b/>
                <w:color w:val="FFFFFF" w:themeColor="background1"/>
                <w:sz w:val="36"/>
                <w:szCs w:val="36"/>
                <w:lang w:val="en-US"/>
              </w:rPr>
            </w:pPr>
            <w:r w:rsidRPr="003F17A9">
              <w:rPr>
                <w:rFonts w:ascii="Arial" w:eastAsia="Malgun Gothic" w:hAnsi="Arial" w:cs="Arial"/>
                <w:b/>
                <w:color w:val="FFFFFF" w:themeColor="background1"/>
                <w:kern w:val="24"/>
                <w:sz w:val="18"/>
                <w:szCs w:val="18"/>
                <w:lang w:val="en-US"/>
              </w:rPr>
              <w:t>Distance</w:t>
            </w:r>
          </w:p>
        </w:tc>
        <w:tc>
          <w:tcPr>
            <w:tcW w:w="1380" w:type="dxa"/>
            <w:tcBorders>
              <w:top w:val="single" w:sz="4" w:space="0" w:color="000000"/>
              <w:left w:val="single" w:sz="4" w:space="0" w:color="000000"/>
              <w:bottom w:val="single" w:sz="12" w:space="0" w:color="auto"/>
              <w:right w:val="single" w:sz="4" w:space="0" w:color="000000"/>
            </w:tcBorders>
            <w:shd w:val="clear" w:color="auto" w:fill="0070C0"/>
            <w:tcMar>
              <w:top w:w="15" w:type="dxa"/>
              <w:left w:w="15" w:type="dxa"/>
              <w:bottom w:w="0" w:type="dxa"/>
              <w:right w:w="15" w:type="dxa"/>
            </w:tcMar>
            <w:vAlign w:val="center"/>
            <w:hideMark/>
          </w:tcPr>
          <w:p w14:paraId="515B4758" w14:textId="77777777" w:rsidR="003F17A9" w:rsidRPr="003F17A9" w:rsidRDefault="003F17A9" w:rsidP="003F17A9">
            <w:pPr>
              <w:overflowPunct/>
              <w:autoSpaceDE/>
              <w:autoSpaceDN/>
              <w:adjustRightInd/>
              <w:spacing w:before="120" w:after="120"/>
              <w:jc w:val="center"/>
              <w:textAlignment w:val="center"/>
              <w:rPr>
                <w:rFonts w:ascii="Arial" w:eastAsia="Gulim" w:hAnsi="Arial" w:cs="Arial"/>
                <w:b/>
                <w:color w:val="FFFFFF" w:themeColor="background1"/>
                <w:sz w:val="36"/>
                <w:szCs w:val="36"/>
                <w:lang w:val="en-US"/>
              </w:rPr>
            </w:pPr>
            <w:r w:rsidRPr="003F17A9">
              <w:rPr>
                <w:rFonts w:ascii="Arial" w:eastAsia="Malgun Gothic" w:hAnsi="Arial" w:cs="Arial"/>
                <w:b/>
                <w:color w:val="FFFFFF" w:themeColor="background1"/>
                <w:kern w:val="24"/>
                <w:sz w:val="18"/>
                <w:szCs w:val="18"/>
                <w:lang w:val="en-US"/>
              </w:rPr>
              <w:t>UL duty</w:t>
            </w:r>
          </w:p>
        </w:tc>
        <w:tc>
          <w:tcPr>
            <w:tcW w:w="1920" w:type="dxa"/>
            <w:tcBorders>
              <w:top w:val="single" w:sz="4" w:space="0" w:color="000000"/>
              <w:left w:val="single" w:sz="4" w:space="0" w:color="000000"/>
              <w:bottom w:val="single" w:sz="12" w:space="0" w:color="auto"/>
              <w:right w:val="single" w:sz="12" w:space="0" w:color="auto"/>
            </w:tcBorders>
            <w:shd w:val="clear" w:color="auto" w:fill="0070C0"/>
            <w:tcMar>
              <w:top w:w="15" w:type="dxa"/>
              <w:left w:w="15" w:type="dxa"/>
              <w:bottom w:w="0" w:type="dxa"/>
              <w:right w:w="15" w:type="dxa"/>
            </w:tcMar>
            <w:vAlign w:val="center"/>
            <w:hideMark/>
          </w:tcPr>
          <w:p w14:paraId="35CCDED9" w14:textId="77777777" w:rsidR="003F17A9" w:rsidRPr="003F17A9" w:rsidRDefault="003F17A9" w:rsidP="003F17A9">
            <w:pPr>
              <w:overflowPunct/>
              <w:autoSpaceDE/>
              <w:autoSpaceDN/>
              <w:adjustRightInd/>
              <w:spacing w:before="120" w:after="120"/>
              <w:jc w:val="center"/>
              <w:textAlignment w:val="center"/>
              <w:rPr>
                <w:rFonts w:ascii="Arial" w:eastAsia="Gulim" w:hAnsi="Arial" w:cs="Arial"/>
                <w:b/>
                <w:color w:val="FFFFFF" w:themeColor="background1"/>
                <w:sz w:val="36"/>
                <w:szCs w:val="36"/>
                <w:lang w:val="en-US"/>
              </w:rPr>
            </w:pPr>
            <w:r w:rsidRPr="003F17A9">
              <w:rPr>
                <w:rFonts w:ascii="Arial" w:eastAsia="Malgun Gothic" w:hAnsi="Arial" w:cs="Arial"/>
                <w:b/>
                <w:color w:val="FFFFFF" w:themeColor="background1"/>
                <w:kern w:val="24"/>
                <w:sz w:val="18"/>
                <w:szCs w:val="18"/>
                <w:lang w:val="en-US"/>
              </w:rPr>
              <w:t>Worst PD [W/m^2]</w:t>
            </w:r>
          </w:p>
        </w:tc>
      </w:tr>
      <w:tr w:rsidR="00FB67C1" w:rsidRPr="003F17A9" w14:paraId="65028B84" w14:textId="77777777" w:rsidTr="00FB67C1">
        <w:trPr>
          <w:trHeight w:val="61"/>
          <w:jc w:val="center"/>
        </w:trPr>
        <w:tc>
          <w:tcPr>
            <w:tcW w:w="1400" w:type="dxa"/>
            <w:vMerge w:val="restart"/>
            <w:tcBorders>
              <w:top w:val="single" w:sz="12" w:space="0" w:color="auto"/>
              <w:left w:val="single" w:sz="12" w:space="0" w:color="auto"/>
              <w:bottom w:val="single" w:sz="12" w:space="0" w:color="auto"/>
              <w:right w:val="single" w:sz="12" w:space="0" w:color="auto"/>
            </w:tcBorders>
            <w:shd w:val="clear" w:color="auto" w:fill="auto"/>
            <w:tcMar>
              <w:top w:w="15" w:type="dxa"/>
              <w:left w:w="15" w:type="dxa"/>
              <w:bottom w:w="0" w:type="dxa"/>
              <w:right w:w="15" w:type="dxa"/>
            </w:tcMar>
            <w:vAlign w:val="center"/>
            <w:hideMark/>
          </w:tcPr>
          <w:p w14:paraId="5710E3C0" w14:textId="192937C0"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Pr>
                <w:rFonts w:ascii="Arial" w:eastAsia="Malgun Gothic" w:hAnsi="Arial" w:cs="Arial"/>
                <w:color w:val="000000"/>
                <w:kern w:val="24"/>
                <w:sz w:val="18"/>
                <w:szCs w:val="18"/>
                <w:lang w:val="en-US"/>
              </w:rPr>
              <w:t>CASE</w:t>
            </w:r>
            <w:r w:rsidRPr="003F17A9">
              <w:rPr>
                <w:rFonts w:ascii="Arial" w:eastAsia="Malgun Gothic" w:hAnsi="Arial" w:cs="Arial"/>
                <w:color w:val="000000"/>
                <w:kern w:val="24"/>
                <w:sz w:val="18"/>
                <w:szCs w:val="18"/>
                <w:lang w:val="en-US"/>
              </w:rPr>
              <w:t xml:space="preserve"> 1</w:t>
            </w:r>
          </w:p>
        </w:tc>
        <w:tc>
          <w:tcPr>
            <w:tcW w:w="1400" w:type="dxa"/>
            <w:vMerge w:val="restart"/>
            <w:tcBorders>
              <w:top w:val="single" w:sz="12" w:space="0" w:color="auto"/>
              <w:left w:val="single" w:sz="12" w:space="0" w:color="auto"/>
              <w:bottom w:val="single" w:sz="12" w:space="0" w:color="auto"/>
              <w:right w:val="single" w:sz="4" w:space="0" w:color="000000"/>
            </w:tcBorders>
            <w:shd w:val="clear" w:color="auto" w:fill="auto"/>
            <w:tcMar>
              <w:top w:w="15" w:type="dxa"/>
              <w:left w:w="15" w:type="dxa"/>
              <w:bottom w:w="0" w:type="dxa"/>
              <w:right w:w="15" w:type="dxa"/>
            </w:tcMar>
            <w:vAlign w:val="center"/>
            <w:hideMark/>
          </w:tcPr>
          <w:p w14:paraId="3DFE16D0"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Patch</w:t>
            </w:r>
            <w:r w:rsidRPr="003F17A9">
              <w:rPr>
                <w:rFonts w:ascii="Arial" w:eastAsia="Malgun Gothic" w:hAnsi="Arial" w:cs="Arial"/>
                <w:color w:val="000000"/>
                <w:kern w:val="24"/>
                <w:sz w:val="18"/>
                <w:szCs w:val="18"/>
                <w:lang w:val="en-US"/>
              </w:rPr>
              <w:br/>
              <w:t>1 x 4 array</w:t>
            </w:r>
          </w:p>
        </w:tc>
        <w:tc>
          <w:tcPr>
            <w:tcW w:w="1400" w:type="dxa"/>
            <w:vMerge w:val="restart"/>
            <w:tcBorders>
              <w:top w:val="single" w:sz="12" w:space="0" w:color="auto"/>
              <w:left w:val="single" w:sz="4" w:space="0" w:color="000000"/>
              <w:bottom w:val="single" w:sz="12" w:space="0" w:color="auto"/>
              <w:right w:val="single" w:sz="12" w:space="0" w:color="auto"/>
            </w:tcBorders>
            <w:shd w:val="clear" w:color="auto" w:fill="auto"/>
            <w:tcMar>
              <w:top w:w="15" w:type="dxa"/>
              <w:left w:w="15" w:type="dxa"/>
              <w:bottom w:w="0" w:type="dxa"/>
              <w:right w:w="15" w:type="dxa"/>
            </w:tcMar>
            <w:vAlign w:val="center"/>
            <w:hideMark/>
          </w:tcPr>
          <w:p w14:paraId="57BE1023"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n261</w:t>
            </w:r>
          </w:p>
        </w:tc>
        <w:tc>
          <w:tcPr>
            <w:tcW w:w="1400" w:type="dxa"/>
            <w:tcBorders>
              <w:top w:val="single" w:sz="12" w:space="0" w:color="auto"/>
              <w:left w:val="single" w:sz="12"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7E021B"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2mm</w:t>
            </w:r>
          </w:p>
        </w:tc>
        <w:tc>
          <w:tcPr>
            <w:tcW w:w="1380" w:type="dxa"/>
            <w:tcBorders>
              <w:top w:val="single" w:sz="12" w:space="0" w:color="auto"/>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239528"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100%</w:t>
            </w:r>
          </w:p>
        </w:tc>
        <w:tc>
          <w:tcPr>
            <w:tcW w:w="1920" w:type="dxa"/>
            <w:tcBorders>
              <w:top w:val="single" w:sz="12" w:space="0" w:color="auto"/>
              <w:left w:val="single" w:sz="4" w:space="0" w:color="000000"/>
              <w:bottom w:val="single" w:sz="4" w:space="0" w:color="000000"/>
              <w:right w:val="single" w:sz="12" w:space="0" w:color="auto"/>
            </w:tcBorders>
            <w:shd w:val="clear" w:color="auto" w:fill="FFFF00"/>
            <w:tcMar>
              <w:top w:w="15" w:type="dxa"/>
              <w:left w:w="15" w:type="dxa"/>
              <w:bottom w:w="0" w:type="dxa"/>
              <w:right w:w="15" w:type="dxa"/>
            </w:tcMar>
            <w:vAlign w:val="center"/>
            <w:hideMark/>
          </w:tcPr>
          <w:p w14:paraId="521E0715" w14:textId="1DEDDDC0"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Pr>
                <w:rFonts w:ascii="Arial" w:eastAsia="Malgun Gothic" w:hAnsi="Arial" w:cs="Arial"/>
                <w:color w:val="FF0000"/>
                <w:kern w:val="24"/>
                <w:sz w:val="18"/>
                <w:szCs w:val="18"/>
                <w:lang w:val="en-US"/>
              </w:rPr>
              <w:t>40</w:t>
            </w:r>
            <w:r w:rsidRPr="003F17A9">
              <w:rPr>
                <w:rFonts w:ascii="Arial" w:eastAsia="Malgun Gothic" w:hAnsi="Arial" w:cs="Arial"/>
                <w:color w:val="FF0000"/>
                <w:kern w:val="24"/>
                <w:sz w:val="18"/>
                <w:szCs w:val="18"/>
                <w:lang w:val="en-US"/>
              </w:rPr>
              <w:t>.99</w:t>
            </w:r>
          </w:p>
        </w:tc>
      </w:tr>
      <w:tr w:rsidR="00FB67C1" w:rsidRPr="003F17A9" w14:paraId="7ABC062B" w14:textId="77777777" w:rsidTr="00FB67C1">
        <w:trPr>
          <w:trHeight w:val="61"/>
          <w:jc w:val="center"/>
        </w:trPr>
        <w:tc>
          <w:tcPr>
            <w:tcW w:w="0" w:type="auto"/>
            <w:vMerge/>
            <w:tcBorders>
              <w:top w:val="single" w:sz="4" w:space="0" w:color="000000"/>
              <w:left w:val="single" w:sz="12" w:space="0" w:color="auto"/>
              <w:bottom w:val="single" w:sz="12" w:space="0" w:color="auto"/>
              <w:right w:val="single" w:sz="12" w:space="0" w:color="auto"/>
            </w:tcBorders>
            <w:vAlign w:val="center"/>
            <w:hideMark/>
          </w:tcPr>
          <w:p w14:paraId="2DAF2D75"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12" w:space="0" w:color="auto"/>
              <w:bottom w:val="single" w:sz="12" w:space="0" w:color="auto"/>
              <w:right w:val="single" w:sz="4" w:space="0" w:color="000000"/>
            </w:tcBorders>
            <w:vAlign w:val="center"/>
            <w:hideMark/>
          </w:tcPr>
          <w:p w14:paraId="346FA790"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4" w:space="0" w:color="000000"/>
              <w:bottom w:val="single" w:sz="12" w:space="0" w:color="auto"/>
              <w:right w:val="single" w:sz="12" w:space="0" w:color="auto"/>
            </w:tcBorders>
            <w:vAlign w:val="center"/>
            <w:hideMark/>
          </w:tcPr>
          <w:p w14:paraId="3A7C12C9"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1400" w:type="dxa"/>
            <w:tcBorders>
              <w:top w:val="single" w:sz="4" w:space="0" w:color="000000"/>
              <w:left w:val="single" w:sz="12"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E969D5"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2mm</w:t>
            </w:r>
          </w:p>
        </w:tc>
        <w:tc>
          <w:tcPr>
            <w:tcW w:w="13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8DEECA"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50%</w:t>
            </w:r>
          </w:p>
        </w:tc>
        <w:tc>
          <w:tcPr>
            <w:tcW w:w="1920" w:type="dxa"/>
            <w:tcBorders>
              <w:top w:val="single" w:sz="4" w:space="0" w:color="000000"/>
              <w:left w:val="single" w:sz="4" w:space="0" w:color="000000"/>
              <w:bottom w:val="single" w:sz="4" w:space="0" w:color="000000"/>
              <w:right w:val="single" w:sz="12" w:space="0" w:color="auto"/>
            </w:tcBorders>
            <w:shd w:val="clear" w:color="auto" w:fill="FFFF00"/>
            <w:tcMar>
              <w:top w:w="15" w:type="dxa"/>
              <w:left w:w="15" w:type="dxa"/>
              <w:bottom w:w="0" w:type="dxa"/>
              <w:right w:w="15" w:type="dxa"/>
            </w:tcMar>
            <w:vAlign w:val="center"/>
            <w:hideMark/>
          </w:tcPr>
          <w:p w14:paraId="650E9020" w14:textId="6F7EE5EE" w:rsidR="00FB67C1" w:rsidRPr="003F17A9" w:rsidRDefault="00FB67C1" w:rsidP="00CA162E">
            <w:pPr>
              <w:overflowPunct/>
              <w:autoSpaceDE/>
              <w:autoSpaceDN/>
              <w:adjustRightInd/>
              <w:spacing w:before="120" w:after="120"/>
              <w:jc w:val="center"/>
              <w:textAlignment w:val="center"/>
              <w:rPr>
                <w:rFonts w:ascii="Arial" w:eastAsia="Gulim" w:hAnsi="Arial" w:cs="Arial"/>
                <w:sz w:val="36"/>
                <w:szCs w:val="36"/>
                <w:lang w:val="en-US"/>
              </w:rPr>
            </w:pPr>
            <w:r>
              <w:rPr>
                <w:rFonts w:ascii="Arial" w:eastAsia="Malgun Gothic" w:hAnsi="Arial" w:cs="Arial"/>
                <w:color w:val="FF0000"/>
                <w:kern w:val="24"/>
                <w:sz w:val="18"/>
                <w:szCs w:val="18"/>
                <w:lang w:val="en-US"/>
              </w:rPr>
              <w:t>20.49</w:t>
            </w:r>
          </w:p>
        </w:tc>
      </w:tr>
      <w:tr w:rsidR="00FB67C1" w:rsidRPr="003F17A9" w14:paraId="61A8EDED" w14:textId="77777777" w:rsidTr="00FB67C1">
        <w:trPr>
          <w:trHeight w:val="61"/>
          <w:jc w:val="center"/>
        </w:trPr>
        <w:tc>
          <w:tcPr>
            <w:tcW w:w="0" w:type="auto"/>
            <w:vMerge/>
            <w:tcBorders>
              <w:top w:val="single" w:sz="4" w:space="0" w:color="000000"/>
              <w:left w:val="single" w:sz="12" w:space="0" w:color="auto"/>
              <w:bottom w:val="single" w:sz="12" w:space="0" w:color="auto"/>
              <w:right w:val="single" w:sz="12" w:space="0" w:color="auto"/>
            </w:tcBorders>
            <w:vAlign w:val="center"/>
            <w:hideMark/>
          </w:tcPr>
          <w:p w14:paraId="1A45AB11"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12" w:space="0" w:color="auto"/>
              <w:bottom w:val="single" w:sz="12" w:space="0" w:color="auto"/>
              <w:right w:val="single" w:sz="4" w:space="0" w:color="000000"/>
            </w:tcBorders>
            <w:vAlign w:val="center"/>
            <w:hideMark/>
          </w:tcPr>
          <w:p w14:paraId="7DC05FFF"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4" w:space="0" w:color="000000"/>
              <w:bottom w:val="single" w:sz="12" w:space="0" w:color="auto"/>
              <w:right w:val="single" w:sz="12" w:space="0" w:color="auto"/>
            </w:tcBorders>
            <w:vAlign w:val="center"/>
            <w:hideMark/>
          </w:tcPr>
          <w:p w14:paraId="582FBC03"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1400" w:type="dxa"/>
            <w:tcBorders>
              <w:top w:val="single" w:sz="4" w:space="0" w:color="000000"/>
              <w:left w:val="single" w:sz="12"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4C9B07"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2mm</w:t>
            </w:r>
          </w:p>
        </w:tc>
        <w:tc>
          <w:tcPr>
            <w:tcW w:w="13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E43083"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25%</w:t>
            </w:r>
          </w:p>
        </w:tc>
        <w:tc>
          <w:tcPr>
            <w:tcW w:w="1920" w:type="dxa"/>
            <w:tcBorders>
              <w:top w:val="single" w:sz="4" w:space="0" w:color="000000"/>
              <w:left w:val="single" w:sz="4" w:space="0" w:color="000000"/>
              <w:bottom w:val="single" w:sz="4" w:space="0" w:color="000000"/>
              <w:right w:val="single" w:sz="12" w:space="0" w:color="auto"/>
            </w:tcBorders>
            <w:shd w:val="clear" w:color="auto" w:fill="FFFF00"/>
            <w:tcMar>
              <w:top w:w="15" w:type="dxa"/>
              <w:left w:w="15" w:type="dxa"/>
              <w:bottom w:w="0" w:type="dxa"/>
              <w:right w:w="15" w:type="dxa"/>
            </w:tcMar>
            <w:vAlign w:val="center"/>
            <w:hideMark/>
          </w:tcPr>
          <w:p w14:paraId="7825EAAD" w14:textId="792BCD06" w:rsidR="00FB67C1" w:rsidRPr="003F17A9" w:rsidRDefault="00FB67C1" w:rsidP="00CA162E">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FF0000"/>
                <w:kern w:val="24"/>
                <w:sz w:val="18"/>
                <w:szCs w:val="18"/>
                <w:lang w:val="en-US"/>
              </w:rPr>
              <w:t>10.</w:t>
            </w:r>
            <w:r>
              <w:rPr>
                <w:rFonts w:ascii="Arial" w:eastAsia="Malgun Gothic" w:hAnsi="Arial" w:cs="Arial"/>
                <w:color w:val="FF0000"/>
                <w:kern w:val="24"/>
                <w:sz w:val="18"/>
                <w:szCs w:val="18"/>
                <w:lang w:val="en-US"/>
              </w:rPr>
              <w:t>25</w:t>
            </w:r>
          </w:p>
        </w:tc>
      </w:tr>
      <w:tr w:rsidR="00FB67C1" w:rsidRPr="003F17A9" w14:paraId="3425AAA0" w14:textId="77777777" w:rsidTr="00FB67C1">
        <w:trPr>
          <w:trHeight w:val="61"/>
          <w:jc w:val="center"/>
        </w:trPr>
        <w:tc>
          <w:tcPr>
            <w:tcW w:w="0" w:type="auto"/>
            <w:vMerge/>
            <w:tcBorders>
              <w:top w:val="single" w:sz="4" w:space="0" w:color="000000"/>
              <w:left w:val="single" w:sz="12" w:space="0" w:color="auto"/>
              <w:bottom w:val="single" w:sz="12" w:space="0" w:color="auto"/>
              <w:right w:val="single" w:sz="12" w:space="0" w:color="auto"/>
            </w:tcBorders>
            <w:vAlign w:val="center"/>
            <w:hideMark/>
          </w:tcPr>
          <w:p w14:paraId="28BC7956"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12" w:space="0" w:color="auto"/>
              <w:bottom w:val="single" w:sz="12" w:space="0" w:color="auto"/>
              <w:right w:val="single" w:sz="4" w:space="0" w:color="000000"/>
            </w:tcBorders>
            <w:vAlign w:val="center"/>
            <w:hideMark/>
          </w:tcPr>
          <w:p w14:paraId="6187A2B8"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4" w:space="0" w:color="000000"/>
              <w:bottom w:val="single" w:sz="12" w:space="0" w:color="auto"/>
              <w:right w:val="single" w:sz="12" w:space="0" w:color="auto"/>
            </w:tcBorders>
            <w:vAlign w:val="center"/>
            <w:hideMark/>
          </w:tcPr>
          <w:p w14:paraId="2B7A5BD0"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1400" w:type="dxa"/>
            <w:tcBorders>
              <w:top w:val="single" w:sz="4" w:space="0" w:color="000000"/>
              <w:left w:val="single" w:sz="12" w:space="0" w:color="auto"/>
              <w:bottom w:val="single" w:sz="12" w:space="0" w:color="auto"/>
              <w:right w:val="single" w:sz="4" w:space="0" w:color="000000"/>
            </w:tcBorders>
            <w:shd w:val="clear" w:color="auto" w:fill="auto"/>
            <w:tcMar>
              <w:top w:w="15" w:type="dxa"/>
              <w:left w:w="15" w:type="dxa"/>
              <w:bottom w:w="0" w:type="dxa"/>
              <w:right w:w="15" w:type="dxa"/>
            </w:tcMar>
            <w:vAlign w:val="center"/>
            <w:hideMark/>
          </w:tcPr>
          <w:p w14:paraId="102114C8"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2mm</w:t>
            </w:r>
          </w:p>
        </w:tc>
        <w:tc>
          <w:tcPr>
            <w:tcW w:w="1380" w:type="dxa"/>
            <w:tcBorders>
              <w:top w:val="single" w:sz="4" w:space="0" w:color="000000"/>
              <w:left w:val="single" w:sz="4" w:space="0" w:color="000000"/>
              <w:bottom w:val="single" w:sz="12" w:space="0" w:color="auto"/>
              <w:right w:val="single" w:sz="4" w:space="0" w:color="000000"/>
            </w:tcBorders>
            <w:shd w:val="clear" w:color="auto" w:fill="auto"/>
            <w:tcMar>
              <w:top w:w="15" w:type="dxa"/>
              <w:left w:w="15" w:type="dxa"/>
              <w:bottom w:w="0" w:type="dxa"/>
              <w:right w:w="15" w:type="dxa"/>
            </w:tcMar>
            <w:vAlign w:val="center"/>
            <w:hideMark/>
          </w:tcPr>
          <w:p w14:paraId="6026E471"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12.50%</w:t>
            </w:r>
          </w:p>
        </w:tc>
        <w:tc>
          <w:tcPr>
            <w:tcW w:w="1920" w:type="dxa"/>
            <w:tcBorders>
              <w:top w:val="single" w:sz="4" w:space="0" w:color="000000"/>
              <w:left w:val="single" w:sz="4" w:space="0" w:color="000000"/>
              <w:bottom w:val="single" w:sz="12" w:space="0" w:color="auto"/>
              <w:right w:val="single" w:sz="12" w:space="0" w:color="auto"/>
            </w:tcBorders>
            <w:shd w:val="clear" w:color="auto" w:fill="auto"/>
            <w:tcMar>
              <w:top w:w="15" w:type="dxa"/>
              <w:left w:w="15" w:type="dxa"/>
              <w:bottom w:w="0" w:type="dxa"/>
              <w:right w:w="15" w:type="dxa"/>
            </w:tcMar>
            <w:vAlign w:val="center"/>
            <w:hideMark/>
          </w:tcPr>
          <w:p w14:paraId="4F16AE33" w14:textId="2DBDF061" w:rsidR="00FB67C1" w:rsidRPr="003F17A9" w:rsidRDefault="00FB67C1" w:rsidP="00CA162E">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5.</w:t>
            </w:r>
            <w:r>
              <w:rPr>
                <w:rFonts w:ascii="Arial" w:eastAsia="Malgun Gothic" w:hAnsi="Arial" w:cs="Arial"/>
                <w:color w:val="000000"/>
                <w:kern w:val="24"/>
                <w:sz w:val="18"/>
                <w:szCs w:val="18"/>
                <w:lang w:val="en-US"/>
              </w:rPr>
              <w:t>12</w:t>
            </w:r>
          </w:p>
        </w:tc>
      </w:tr>
      <w:tr w:rsidR="00FB67C1" w:rsidRPr="003F17A9" w14:paraId="62BB2B1D" w14:textId="77777777" w:rsidTr="00FB67C1">
        <w:trPr>
          <w:trHeight w:val="61"/>
          <w:jc w:val="center"/>
        </w:trPr>
        <w:tc>
          <w:tcPr>
            <w:tcW w:w="1400" w:type="dxa"/>
            <w:vMerge w:val="restart"/>
            <w:tcBorders>
              <w:top w:val="single" w:sz="12" w:space="0" w:color="auto"/>
              <w:left w:val="single" w:sz="12" w:space="0" w:color="auto"/>
              <w:bottom w:val="single" w:sz="12" w:space="0" w:color="auto"/>
              <w:right w:val="single" w:sz="12" w:space="0" w:color="auto"/>
            </w:tcBorders>
            <w:shd w:val="clear" w:color="auto" w:fill="auto"/>
            <w:tcMar>
              <w:top w:w="15" w:type="dxa"/>
              <w:left w:w="15" w:type="dxa"/>
              <w:bottom w:w="0" w:type="dxa"/>
              <w:right w:w="15" w:type="dxa"/>
            </w:tcMar>
            <w:vAlign w:val="center"/>
            <w:hideMark/>
          </w:tcPr>
          <w:p w14:paraId="240F9CA2" w14:textId="27535B6E"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Pr>
                <w:rFonts w:ascii="Arial" w:eastAsia="Malgun Gothic" w:hAnsi="Arial" w:cs="Arial"/>
                <w:color w:val="000000"/>
                <w:kern w:val="24"/>
                <w:sz w:val="18"/>
                <w:szCs w:val="18"/>
                <w:lang w:val="en-US"/>
              </w:rPr>
              <w:t>CASE</w:t>
            </w:r>
            <w:r w:rsidRPr="003F17A9">
              <w:rPr>
                <w:rFonts w:ascii="Arial" w:eastAsia="Malgun Gothic" w:hAnsi="Arial" w:cs="Arial"/>
                <w:color w:val="000000"/>
                <w:kern w:val="24"/>
                <w:sz w:val="18"/>
                <w:szCs w:val="18"/>
                <w:lang w:val="en-US"/>
              </w:rPr>
              <w:t xml:space="preserve"> 2</w:t>
            </w:r>
          </w:p>
        </w:tc>
        <w:tc>
          <w:tcPr>
            <w:tcW w:w="1400" w:type="dxa"/>
            <w:vMerge/>
            <w:tcBorders>
              <w:top w:val="single" w:sz="4" w:space="0" w:color="000000"/>
              <w:left w:val="single" w:sz="12" w:space="0" w:color="auto"/>
              <w:bottom w:val="single" w:sz="12" w:space="0" w:color="auto"/>
              <w:right w:val="single" w:sz="4" w:space="0" w:color="000000"/>
            </w:tcBorders>
            <w:shd w:val="clear" w:color="auto" w:fill="auto"/>
            <w:tcMar>
              <w:top w:w="15" w:type="dxa"/>
              <w:left w:w="15" w:type="dxa"/>
              <w:bottom w:w="0" w:type="dxa"/>
              <w:right w:w="15" w:type="dxa"/>
            </w:tcMar>
            <w:vAlign w:val="center"/>
          </w:tcPr>
          <w:p w14:paraId="05F8CAE5" w14:textId="0E8D67D3"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p>
        </w:tc>
        <w:tc>
          <w:tcPr>
            <w:tcW w:w="1400" w:type="dxa"/>
            <w:vMerge/>
            <w:tcBorders>
              <w:top w:val="single" w:sz="4" w:space="0" w:color="000000"/>
              <w:left w:val="single" w:sz="4" w:space="0" w:color="000000"/>
              <w:bottom w:val="single" w:sz="12" w:space="0" w:color="auto"/>
              <w:right w:val="single" w:sz="12" w:space="0" w:color="auto"/>
            </w:tcBorders>
            <w:shd w:val="clear" w:color="auto" w:fill="auto"/>
            <w:tcMar>
              <w:top w:w="15" w:type="dxa"/>
              <w:left w:w="15" w:type="dxa"/>
              <w:bottom w:w="0" w:type="dxa"/>
              <w:right w:w="15" w:type="dxa"/>
            </w:tcMar>
            <w:vAlign w:val="center"/>
          </w:tcPr>
          <w:p w14:paraId="348C7714" w14:textId="3BC4F8E6"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p>
        </w:tc>
        <w:tc>
          <w:tcPr>
            <w:tcW w:w="1400" w:type="dxa"/>
            <w:tcBorders>
              <w:top w:val="single" w:sz="12" w:space="0" w:color="auto"/>
              <w:left w:val="single" w:sz="12"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C10379"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2mm</w:t>
            </w:r>
          </w:p>
        </w:tc>
        <w:tc>
          <w:tcPr>
            <w:tcW w:w="1380" w:type="dxa"/>
            <w:tcBorders>
              <w:top w:val="single" w:sz="12" w:space="0" w:color="auto"/>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AEFE32"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100%</w:t>
            </w:r>
          </w:p>
        </w:tc>
        <w:tc>
          <w:tcPr>
            <w:tcW w:w="1920" w:type="dxa"/>
            <w:tcBorders>
              <w:top w:val="single" w:sz="12" w:space="0" w:color="auto"/>
              <w:left w:val="single" w:sz="4" w:space="0" w:color="000000"/>
              <w:bottom w:val="single" w:sz="4" w:space="0" w:color="000000"/>
              <w:right w:val="single" w:sz="12" w:space="0" w:color="auto"/>
            </w:tcBorders>
            <w:shd w:val="clear" w:color="auto" w:fill="FFFF00"/>
            <w:tcMar>
              <w:top w:w="15" w:type="dxa"/>
              <w:left w:w="15" w:type="dxa"/>
              <w:bottom w:w="0" w:type="dxa"/>
              <w:right w:w="15" w:type="dxa"/>
            </w:tcMar>
            <w:vAlign w:val="center"/>
            <w:hideMark/>
          </w:tcPr>
          <w:p w14:paraId="025A715A" w14:textId="19FBC063"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FF0000"/>
                <w:kern w:val="24"/>
                <w:sz w:val="18"/>
                <w:szCs w:val="18"/>
                <w:lang w:val="en-US"/>
              </w:rPr>
              <w:t>36.59</w:t>
            </w:r>
          </w:p>
        </w:tc>
      </w:tr>
      <w:tr w:rsidR="00FB67C1" w:rsidRPr="003F17A9" w14:paraId="74568195" w14:textId="77777777" w:rsidTr="00FB67C1">
        <w:trPr>
          <w:trHeight w:val="61"/>
          <w:jc w:val="center"/>
        </w:trPr>
        <w:tc>
          <w:tcPr>
            <w:tcW w:w="0" w:type="auto"/>
            <w:vMerge/>
            <w:tcBorders>
              <w:top w:val="single" w:sz="4" w:space="0" w:color="000000"/>
              <w:left w:val="single" w:sz="12" w:space="0" w:color="auto"/>
              <w:bottom w:val="single" w:sz="12" w:space="0" w:color="auto"/>
              <w:right w:val="single" w:sz="12" w:space="0" w:color="auto"/>
            </w:tcBorders>
            <w:vAlign w:val="center"/>
            <w:hideMark/>
          </w:tcPr>
          <w:p w14:paraId="4171D1D4"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12" w:space="0" w:color="auto"/>
              <w:bottom w:val="single" w:sz="12" w:space="0" w:color="auto"/>
              <w:right w:val="single" w:sz="4" w:space="0" w:color="000000"/>
            </w:tcBorders>
            <w:vAlign w:val="center"/>
          </w:tcPr>
          <w:p w14:paraId="468B77C6"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4" w:space="0" w:color="000000"/>
              <w:bottom w:val="single" w:sz="12" w:space="0" w:color="auto"/>
              <w:right w:val="single" w:sz="12" w:space="0" w:color="auto"/>
            </w:tcBorders>
            <w:vAlign w:val="center"/>
          </w:tcPr>
          <w:p w14:paraId="6F7EC4E3"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1400" w:type="dxa"/>
            <w:tcBorders>
              <w:top w:val="single" w:sz="4" w:space="0" w:color="000000"/>
              <w:left w:val="single" w:sz="12"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54301F"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2mm</w:t>
            </w:r>
          </w:p>
        </w:tc>
        <w:tc>
          <w:tcPr>
            <w:tcW w:w="13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C7189C"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50%</w:t>
            </w:r>
          </w:p>
        </w:tc>
        <w:tc>
          <w:tcPr>
            <w:tcW w:w="1920" w:type="dxa"/>
            <w:tcBorders>
              <w:top w:val="single" w:sz="4" w:space="0" w:color="000000"/>
              <w:left w:val="single" w:sz="4" w:space="0" w:color="000000"/>
              <w:bottom w:val="single" w:sz="4" w:space="0" w:color="000000"/>
              <w:right w:val="single" w:sz="12" w:space="0" w:color="auto"/>
            </w:tcBorders>
            <w:shd w:val="clear" w:color="auto" w:fill="FFFF00"/>
            <w:tcMar>
              <w:top w:w="15" w:type="dxa"/>
              <w:left w:w="15" w:type="dxa"/>
              <w:bottom w:w="0" w:type="dxa"/>
              <w:right w:w="15" w:type="dxa"/>
            </w:tcMar>
            <w:vAlign w:val="center"/>
            <w:hideMark/>
          </w:tcPr>
          <w:p w14:paraId="5E08028B" w14:textId="6A104684"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FF0000"/>
                <w:kern w:val="24"/>
                <w:sz w:val="18"/>
                <w:szCs w:val="18"/>
                <w:lang w:val="en-US"/>
              </w:rPr>
              <w:t>18.29</w:t>
            </w:r>
          </w:p>
        </w:tc>
      </w:tr>
      <w:tr w:rsidR="00FB67C1" w:rsidRPr="003F17A9" w14:paraId="06889659" w14:textId="77777777" w:rsidTr="00FB67C1">
        <w:trPr>
          <w:trHeight w:val="61"/>
          <w:jc w:val="center"/>
        </w:trPr>
        <w:tc>
          <w:tcPr>
            <w:tcW w:w="0" w:type="auto"/>
            <w:vMerge/>
            <w:tcBorders>
              <w:top w:val="single" w:sz="4" w:space="0" w:color="000000"/>
              <w:left w:val="single" w:sz="12" w:space="0" w:color="auto"/>
              <w:bottom w:val="single" w:sz="12" w:space="0" w:color="auto"/>
              <w:right w:val="single" w:sz="12" w:space="0" w:color="auto"/>
            </w:tcBorders>
            <w:vAlign w:val="center"/>
            <w:hideMark/>
          </w:tcPr>
          <w:p w14:paraId="35B63155"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12" w:space="0" w:color="auto"/>
              <w:bottom w:val="single" w:sz="12" w:space="0" w:color="auto"/>
              <w:right w:val="single" w:sz="4" w:space="0" w:color="000000"/>
            </w:tcBorders>
            <w:vAlign w:val="center"/>
          </w:tcPr>
          <w:p w14:paraId="298F5BA1"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4" w:space="0" w:color="000000"/>
              <w:bottom w:val="single" w:sz="12" w:space="0" w:color="auto"/>
              <w:right w:val="single" w:sz="12" w:space="0" w:color="auto"/>
            </w:tcBorders>
            <w:vAlign w:val="center"/>
          </w:tcPr>
          <w:p w14:paraId="7BBAE97B"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1400" w:type="dxa"/>
            <w:tcBorders>
              <w:top w:val="single" w:sz="4" w:space="0" w:color="000000"/>
              <w:left w:val="single" w:sz="12"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9C0427"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2mm</w:t>
            </w:r>
          </w:p>
        </w:tc>
        <w:tc>
          <w:tcPr>
            <w:tcW w:w="13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58185F"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25%</w:t>
            </w:r>
          </w:p>
        </w:tc>
        <w:tc>
          <w:tcPr>
            <w:tcW w:w="1920" w:type="dxa"/>
            <w:tcBorders>
              <w:top w:val="single" w:sz="4" w:space="0" w:color="000000"/>
              <w:left w:val="single" w:sz="4" w:space="0" w:color="000000"/>
              <w:bottom w:val="single" w:sz="4" w:space="0" w:color="000000"/>
              <w:right w:val="single" w:sz="12" w:space="0" w:color="auto"/>
            </w:tcBorders>
            <w:shd w:val="clear" w:color="auto" w:fill="auto"/>
            <w:tcMar>
              <w:top w:w="15" w:type="dxa"/>
              <w:left w:w="15" w:type="dxa"/>
              <w:bottom w:w="0" w:type="dxa"/>
              <w:right w:w="15" w:type="dxa"/>
            </w:tcMar>
            <w:vAlign w:val="center"/>
            <w:hideMark/>
          </w:tcPr>
          <w:p w14:paraId="06ABC3F1" w14:textId="0D6E2AC5"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9.15</w:t>
            </w:r>
          </w:p>
        </w:tc>
      </w:tr>
      <w:tr w:rsidR="00FB67C1" w:rsidRPr="003F17A9" w14:paraId="00C5DA49" w14:textId="77777777" w:rsidTr="00FB67C1">
        <w:trPr>
          <w:trHeight w:val="61"/>
          <w:jc w:val="center"/>
        </w:trPr>
        <w:tc>
          <w:tcPr>
            <w:tcW w:w="0" w:type="auto"/>
            <w:vMerge/>
            <w:tcBorders>
              <w:top w:val="single" w:sz="4" w:space="0" w:color="000000"/>
              <w:left w:val="single" w:sz="12" w:space="0" w:color="auto"/>
              <w:bottom w:val="single" w:sz="12" w:space="0" w:color="auto"/>
              <w:right w:val="single" w:sz="12" w:space="0" w:color="auto"/>
            </w:tcBorders>
            <w:vAlign w:val="center"/>
            <w:hideMark/>
          </w:tcPr>
          <w:p w14:paraId="40FC84BC"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12" w:space="0" w:color="auto"/>
              <w:bottom w:val="single" w:sz="12" w:space="0" w:color="auto"/>
              <w:right w:val="single" w:sz="4" w:space="0" w:color="000000"/>
            </w:tcBorders>
            <w:vAlign w:val="center"/>
          </w:tcPr>
          <w:p w14:paraId="327D072D"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4" w:space="0" w:color="000000"/>
              <w:bottom w:val="single" w:sz="12" w:space="0" w:color="auto"/>
              <w:right w:val="single" w:sz="12" w:space="0" w:color="auto"/>
            </w:tcBorders>
            <w:vAlign w:val="center"/>
          </w:tcPr>
          <w:p w14:paraId="01890BE3"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1400" w:type="dxa"/>
            <w:tcBorders>
              <w:top w:val="single" w:sz="4" w:space="0" w:color="000000"/>
              <w:left w:val="single" w:sz="12" w:space="0" w:color="auto"/>
              <w:bottom w:val="single" w:sz="12" w:space="0" w:color="auto"/>
              <w:right w:val="single" w:sz="4" w:space="0" w:color="000000"/>
            </w:tcBorders>
            <w:shd w:val="clear" w:color="auto" w:fill="auto"/>
            <w:tcMar>
              <w:top w:w="15" w:type="dxa"/>
              <w:left w:w="15" w:type="dxa"/>
              <w:bottom w:w="0" w:type="dxa"/>
              <w:right w:w="15" w:type="dxa"/>
            </w:tcMar>
            <w:vAlign w:val="center"/>
            <w:hideMark/>
          </w:tcPr>
          <w:p w14:paraId="0199C255"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2mm</w:t>
            </w:r>
          </w:p>
        </w:tc>
        <w:tc>
          <w:tcPr>
            <w:tcW w:w="1380" w:type="dxa"/>
            <w:tcBorders>
              <w:top w:val="single" w:sz="4" w:space="0" w:color="000000"/>
              <w:left w:val="single" w:sz="4" w:space="0" w:color="000000"/>
              <w:bottom w:val="single" w:sz="12" w:space="0" w:color="auto"/>
              <w:right w:val="single" w:sz="4" w:space="0" w:color="000000"/>
            </w:tcBorders>
            <w:shd w:val="clear" w:color="auto" w:fill="auto"/>
            <w:tcMar>
              <w:top w:w="15" w:type="dxa"/>
              <w:left w:w="15" w:type="dxa"/>
              <w:bottom w:w="0" w:type="dxa"/>
              <w:right w:w="15" w:type="dxa"/>
            </w:tcMar>
            <w:vAlign w:val="center"/>
            <w:hideMark/>
          </w:tcPr>
          <w:p w14:paraId="02C0F992"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12.50%</w:t>
            </w:r>
          </w:p>
        </w:tc>
        <w:tc>
          <w:tcPr>
            <w:tcW w:w="1920" w:type="dxa"/>
            <w:tcBorders>
              <w:top w:val="single" w:sz="4" w:space="0" w:color="000000"/>
              <w:left w:val="single" w:sz="4" w:space="0" w:color="000000"/>
              <w:bottom w:val="single" w:sz="12" w:space="0" w:color="auto"/>
              <w:right w:val="single" w:sz="12" w:space="0" w:color="auto"/>
            </w:tcBorders>
            <w:shd w:val="clear" w:color="auto" w:fill="auto"/>
            <w:tcMar>
              <w:top w:w="15" w:type="dxa"/>
              <w:left w:w="15" w:type="dxa"/>
              <w:bottom w:w="0" w:type="dxa"/>
              <w:right w:w="15" w:type="dxa"/>
            </w:tcMar>
            <w:vAlign w:val="center"/>
            <w:hideMark/>
          </w:tcPr>
          <w:p w14:paraId="403307FA" w14:textId="566B81DC"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4.57</w:t>
            </w:r>
          </w:p>
        </w:tc>
      </w:tr>
      <w:tr w:rsidR="00FB67C1" w:rsidRPr="003F17A9" w14:paraId="51F26F3E" w14:textId="77777777" w:rsidTr="00FB67C1">
        <w:trPr>
          <w:trHeight w:val="61"/>
          <w:jc w:val="center"/>
        </w:trPr>
        <w:tc>
          <w:tcPr>
            <w:tcW w:w="1400" w:type="dxa"/>
            <w:vMerge w:val="restart"/>
            <w:tcBorders>
              <w:top w:val="single" w:sz="12" w:space="0" w:color="auto"/>
              <w:left w:val="single" w:sz="12" w:space="0" w:color="auto"/>
              <w:bottom w:val="single" w:sz="12" w:space="0" w:color="auto"/>
              <w:right w:val="single" w:sz="12" w:space="0" w:color="auto"/>
            </w:tcBorders>
            <w:shd w:val="clear" w:color="auto" w:fill="auto"/>
            <w:tcMar>
              <w:top w:w="15" w:type="dxa"/>
              <w:left w:w="15" w:type="dxa"/>
              <w:bottom w:w="0" w:type="dxa"/>
              <w:right w:w="15" w:type="dxa"/>
            </w:tcMar>
            <w:vAlign w:val="center"/>
            <w:hideMark/>
          </w:tcPr>
          <w:p w14:paraId="4153E26F" w14:textId="029F7E82"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Pr>
                <w:rFonts w:ascii="Arial" w:eastAsia="Malgun Gothic" w:hAnsi="Arial" w:cs="Arial"/>
                <w:color w:val="000000"/>
                <w:kern w:val="24"/>
                <w:sz w:val="18"/>
                <w:szCs w:val="18"/>
                <w:lang w:val="en-US"/>
              </w:rPr>
              <w:t>CASE</w:t>
            </w:r>
            <w:r w:rsidRPr="003F17A9">
              <w:rPr>
                <w:rFonts w:ascii="Arial" w:eastAsia="Malgun Gothic" w:hAnsi="Arial" w:cs="Arial"/>
                <w:color w:val="000000"/>
                <w:kern w:val="24"/>
                <w:sz w:val="18"/>
                <w:szCs w:val="18"/>
                <w:lang w:val="en-US"/>
              </w:rPr>
              <w:t xml:space="preserve"> 3</w:t>
            </w:r>
          </w:p>
        </w:tc>
        <w:tc>
          <w:tcPr>
            <w:tcW w:w="1400" w:type="dxa"/>
            <w:vMerge/>
            <w:tcBorders>
              <w:top w:val="single" w:sz="4" w:space="0" w:color="000000"/>
              <w:left w:val="single" w:sz="12" w:space="0" w:color="auto"/>
              <w:bottom w:val="single" w:sz="12" w:space="0" w:color="auto"/>
              <w:right w:val="single" w:sz="4" w:space="0" w:color="000000"/>
            </w:tcBorders>
            <w:shd w:val="clear" w:color="auto" w:fill="auto"/>
            <w:tcMar>
              <w:top w:w="15" w:type="dxa"/>
              <w:left w:w="15" w:type="dxa"/>
              <w:bottom w:w="0" w:type="dxa"/>
              <w:right w:w="15" w:type="dxa"/>
            </w:tcMar>
            <w:vAlign w:val="center"/>
          </w:tcPr>
          <w:p w14:paraId="4A2293D7" w14:textId="3CB2A6C5"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p>
        </w:tc>
        <w:tc>
          <w:tcPr>
            <w:tcW w:w="1400" w:type="dxa"/>
            <w:vMerge/>
            <w:tcBorders>
              <w:top w:val="single" w:sz="4" w:space="0" w:color="000000"/>
              <w:left w:val="single" w:sz="4" w:space="0" w:color="000000"/>
              <w:bottom w:val="single" w:sz="12" w:space="0" w:color="auto"/>
              <w:right w:val="single" w:sz="12" w:space="0" w:color="auto"/>
            </w:tcBorders>
            <w:shd w:val="clear" w:color="auto" w:fill="auto"/>
            <w:tcMar>
              <w:top w:w="15" w:type="dxa"/>
              <w:left w:w="15" w:type="dxa"/>
              <w:bottom w:w="0" w:type="dxa"/>
              <w:right w:w="15" w:type="dxa"/>
            </w:tcMar>
            <w:vAlign w:val="center"/>
          </w:tcPr>
          <w:p w14:paraId="2B8E8A68" w14:textId="61D4D315"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p>
        </w:tc>
        <w:tc>
          <w:tcPr>
            <w:tcW w:w="1400" w:type="dxa"/>
            <w:tcBorders>
              <w:top w:val="single" w:sz="12" w:space="0" w:color="auto"/>
              <w:left w:val="single" w:sz="12"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606F75"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2mm</w:t>
            </w:r>
          </w:p>
        </w:tc>
        <w:tc>
          <w:tcPr>
            <w:tcW w:w="1380" w:type="dxa"/>
            <w:tcBorders>
              <w:top w:val="single" w:sz="12" w:space="0" w:color="auto"/>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A08D69"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100%</w:t>
            </w:r>
          </w:p>
        </w:tc>
        <w:tc>
          <w:tcPr>
            <w:tcW w:w="1920" w:type="dxa"/>
            <w:tcBorders>
              <w:top w:val="single" w:sz="12" w:space="0" w:color="auto"/>
              <w:left w:val="single" w:sz="4" w:space="0" w:color="000000"/>
              <w:bottom w:val="single" w:sz="4" w:space="0" w:color="000000"/>
              <w:right w:val="single" w:sz="12" w:space="0" w:color="auto"/>
            </w:tcBorders>
            <w:shd w:val="clear" w:color="auto" w:fill="FFFF00"/>
            <w:tcMar>
              <w:top w:w="15" w:type="dxa"/>
              <w:left w:w="15" w:type="dxa"/>
              <w:bottom w:w="0" w:type="dxa"/>
              <w:right w:w="15" w:type="dxa"/>
            </w:tcMar>
            <w:vAlign w:val="center"/>
            <w:hideMark/>
          </w:tcPr>
          <w:p w14:paraId="065DA793" w14:textId="7561BAE5"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FF0000"/>
                <w:kern w:val="24"/>
                <w:sz w:val="18"/>
                <w:szCs w:val="18"/>
                <w:lang w:val="en-US"/>
              </w:rPr>
              <w:t>36.78</w:t>
            </w:r>
          </w:p>
        </w:tc>
      </w:tr>
      <w:tr w:rsidR="00FB67C1" w:rsidRPr="003F17A9" w14:paraId="006A6768" w14:textId="77777777" w:rsidTr="00FB67C1">
        <w:trPr>
          <w:trHeight w:val="61"/>
          <w:jc w:val="center"/>
        </w:trPr>
        <w:tc>
          <w:tcPr>
            <w:tcW w:w="0" w:type="auto"/>
            <w:vMerge/>
            <w:tcBorders>
              <w:top w:val="single" w:sz="4" w:space="0" w:color="000000"/>
              <w:left w:val="single" w:sz="12" w:space="0" w:color="auto"/>
              <w:bottom w:val="single" w:sz="12" w:space="0" w:color="auto"/>
              <w:right w:val="single" w:sz="12" w:space="0" w:color="auto"/>
            </w:tcBorders>
            <w:vAlign w:val="center"/>
            <w:hideMark/>
          </w:tcPr>
          <w:p w14:paraId="5CA28A3E"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12" w:space="0" w:color="auto"/>
              <w:bottom w:val="single" w:sz="12" w:space="0" w:color="auto"/>
              <w:right w:val="single" w:sz="4" w:space="0" w:color="000000"/>
            </w:tcBorders>
            <w:vAlign w:val="center"/>
          </w:tcPr>
          <w:p w14:paraId="629E5BDD"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4" w:space="0" w:color="000000"/>
              <w:bottom w:val="single" w:sz="12" w:space="0" w:color="auto"/>
              <w:right w:val="single" w:sz="12" w:space="0" w:color="auto"/>
            </w:tcBorders>
            <w:vAlign w:val="center"/>
          </w:tcPr>
          <w:p w14:paraId="70372A56"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1400" w:type="dxa"/>
            <w:tcBorders>
              <w:top w:val="single" w:sz="4" w:space="0" w:color="000000"/>
              <w:left w:val="single" w:sz="12"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602B84"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2mm</w:t>
            </w:r>
          </w:p>
        </w:tc>
        <w:tc>
          <w:tcPr>
            <w:tcW w:w="13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722D9C"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50%</w:t>
            </w:r>
          </w:p>
        </w:tc>
        <w:tc>
          <w:tcPr>
            <w:tcW w:w="1920" w:type="dxa"/>
            <w:tcBorders>
              <w:top w:val="single" w:sz="4" w:space="0" w:color="000000"/>
              <w:left w:val="single" w:sz="4" w:space="0" w:color="000000"/>
              <w:bottom w:val="single" w:sz="4" w:space="0" w:color="000000"/>
              <w:right w:val="single" w:sz="12" w:space="0" w:color="auto"/>
            </w:tcBorders>
            <w:shd w:val="clear" w:color="auto" w:fill="FFFF00"/>
            <w:tcMar>
              <w:top w:w="15" w:type="dxa"/>
              <w:left w:w="15" w:type="dxa"/>
              <w:bottom w:w="0" w:type="dxa"/>
              <w:right w:w="15" w:type="dxa"/>
            </w:tcMar>
            <w:vAlign w:val="center"/>
            <w:hideMark/>
          </w:tcPr>
          <w:p w14:paraId="724C9E86" w14:textId="414BEB90"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FF0000"/>
                <w:kern w:val="24"/>
                <w:sz w:val="18"/>
                <w:szCs w:val="18"/>
                <w:lang w:val="en-US"/>
              </w:rPr>
              <w:t>18.39</w:t>
            </w:r>
          </w:p>
        </w:tc>
      </w:tr>
      <w:tr w:rsidR="00FB67C1" w:rsidRPr="003F17A9" w14:paraId="5BD86B7C" w14:textId="77777777" w:rsidTr="00FB67C1">
        <w:trPr>
          <w:trHeight w:val="61"/>
          <w:jc w:val="center"/>
        </w:trPr>
        <w:tc>
          <w:tcPr>
            <w:tcW w:w="0" w:type="auto"/>
            <w:vMerge/>
            <w:tcBorders>
              <w:top w:val="single" w:sz="4" w:space="0" w:color="000000"/>
              <w:left w:val="single" w:sz="12" w:space="0" w:color="auto"/>
              <w:bottom w:val="single" w:sz="12" w:space="0" w:color="auto"/>
              <w:right w:val="single" w:sz="12" w:space="0" w:color="auto"/>
            </w:tcBorders>
            <w:vAlign w:val="center"/>
            <w:hideMark/>
          </w:tcPr>
          <w:p w14:paraId="0D0DA37A"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12" w:space="0" w:color="auto"/>
              <w:bottom w:val="single" w:sz="12" w:space="0" w:color="auto"/>
              <w:right w:val="single" w:sz="4" w:space="0" w:color="000000"/>
            </w:tcBorders>
            <w:vAlign w:val="center"/>
          </w:tcPr>
          <w:p w14:paraId="5F45369E"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4" w:space="0" w:color="000000"/>
              <w:bottom w:val="single" w:sz="12" w:space="0" w:color="auto"/>
              <w:right w:val="single" w:sz="12" w:space="0" w:color="auto"/>
            </w:tcBorders>
            <w:vAlign w:val="center"/>
          </w:tcPr>
          <w:p w14:paraId="7D4D32AF"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1400" w:type="dxa"/>
            <w:tcBorders>
              <w:top w:val="single" w:sz="4" w:space="0" w:color="000000"/>
              <w:left w:val="single" w:sz="12"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9E5FA9"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2mm</w:t>
            </w:r>
          </w:p>
        </w:tc>
        <w:tc>
          <w:tcPr>
            <w:tcW w:w="13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C88213"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25%</w:t>
            </w:r>
          </w:p>
        </w:tc>
        <w:tc>
          <w:tcPr>
            <w:tcW w:w="1920" w:type="dxa"/>
            <w:tcBorders>
              <w:top w:val="single" w:sz="4" w:space="0" w:color="000000"/>
              <w:left w:val="single" w:sz="4" w:space="0" w:color="000000"/>
              <w:bottom w:val="single" w:sz="4" w:space="0" w:color="000000"/>
              <w:right w:val="single" w:sz="12" w:space="0" w:color="auto"/>
            </w:tcBorders>
            <w:shd w:val="clear" w:color="auto" w:fill="auto"/>
            <w:tcMar>
              <w:top w:w="15" w:type="dxa"/>
              <w:left w:w="15" w:type="dxa"/>
              <w:bottom w:w="0" w:type="dxa"/>
              <w:right w:w="15" w:type="dxa"/>
            </w:tcMar>
            <w:vAlign w:val="center"/>
            <w:hideMark/>
          </w:tcPr>
          <w:p w14:paraId="62330F22" w14:textId="1898BD45"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9.20</w:t>
            </w:r>
          </w:p>
        </w:tc>
      </w:tr>
      <w:tr w:rsidR="00FB67C1" w:rsidRPr="003F17A9" w14:paraId="2AD5C0DC" w14:textId="77777777" w:rsidTr="00FB67C1">
        <w:trPr>
          <w:trHeight w:val="61"/>
          <w:jc w:val="center"/>
        </w:trPr>
        <w:tc>
          <w:tcPr>
            <w:tcW w:w="0" w:type="auto"/>
            <w:vMerge/>
            <w:tcBorders>
              <w:top w:val="single" w:sz="4" w:space="0" w:color="000000"/>
              <w:left w:val="single" w:sz="12" w:space="0" w:color="auto"/>
              <w:bottom w:val="single" w:sz="12" w:space="0" w:color="auto"/>
              <w:right w:val="single" w:sz="12" w:space="0" w:color="auto"/>
            </w:tcBorders>
            <w:vAlign w:val="center"/>
            <w:hideMark/>
          </w:tcPr>
          <w:p w14:paraId="18A04F9D"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12" w:space="0" w:color="auto"/>
              <w:bottom w:val="single" w:sz="12" w:space="0" w:color="auto"/>
              <w:right w:val="single" w:sz="4" w:space="0" w:color="000000"/>
            </w:tcBorders>
            <w:vAlign w:val="center"/>
          </w:tcPr>
          <w:p w14:paraId="591AEC29"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0" w:type="auto"/>
            <w:vMerge/>
            <w:tcBorders>
              <w:top w:val="single" w:sz="4" w:space="0" w:color="000000"/>
              <w:left w:val="single" w:sz="4" w:space="0" w:color="000000"/>
              <w:bottom w:val="single" w:sz="12" w:space="0" w:color="auto"/>
              <w:right w:val="single" w:sz="12" w:space="0" w:color="auto"/>
            </w:tcBorders>
            <w:vAlign w:val="center"/>
          </w:tcPr>
          <w:p w14:paraId="78E2CE96" w14:textId="77777777" w:rsidR="00FB67C1" w:rsidRPr="003F17A9" w:rsidRDefault="00FB67C1" w:rsidP="003F17A9">
            <w:pPr>
              <w:overflowPunct/>
              <w:autoSpaceDE/>
              <w:autoSpaceDN/>
              <w:adjustRightInd/>
              <w:spacing w:before="120" w:after="120"/>
              <w:jc w:val="center"/>
              <w:textAlignment w:val="auto"/>
              <w:rPr>
                <w:rFonts w:ascii="Arial" w:eastAsia="Gulim" w:hAnsi="Arial" w:cs="Arial"/>
                <w:sz w:val="36"/>
                <w:szCs w:val="36"/>
                <w:lang w:val="en-US"/>
              </w:rPr>
            </w:pPr>
          </w:p>
        </w:tc>
        <w:tc>
          <w:tcPr>
            <w:tcW w:w="1400" w:type="dxa"/>
            <w:tcBorders>
              <w:top w:val="single" w:sz="4" w:space="0" w:color="000000"/>
              <w:left w:val="single" w:sz="12" w:space="0" w:color="auto"/>
              <w:bottom w:val="single" w:sz="12" w:space="0" w:color="auto"/>
              <w:right w:val="single" w:sz="4" w:space="0" w:color="000000"/>
            </w:tcBorders>
            <w:shd w:val="clear" w:color="auto" w:fill="auto"/>
            <w:tcMar>
              <w:top w:w="15" w:type="dxa"/>
              <w:left w:w="15" w:type="dxa"/>
              <w:bottom w:w="0" w:type="dxa"/>
              <w:right w:w="15" w:type="dxa"/>
            </w:tcMar>
            <w:vAlign w:val="center"/>
            <w:hideMark/>
          </w:tcPr>
          <w:p w14:paraId="301C4DB3"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2mm</w:t>
            </w:r>
          </w:p>
        </w:tc>
        <w:tc>
          <w:tcPr>
            <w:tcW w:w="1380" w:type="dxa"/>
            <w:tcBorders>
              <w:top w:val="single" w:sz="4" w:space="0" w:color="000000"/>
              <w:left w:val="single" w:sz="4" w:space="0" w:color="000000"/>
              <w:bottom w:val="single" w:sz="12" w:space="0" w:color="auto"/>
              <w:right w:val="single" w:sz="4" w:space="0" w:color="000000"/>
            </w:tcBorders>
            <w:shd w:val="clear" w:color="auto" w:fill="auto"/>
            <w:tcMar>
              <w:top w:w="15" w:type="dxa"/>
              <w:left w:w="15" w:type="dxa"/>
              <w:bottom w:w="0" w:type="dxa"/>
              <w:right w:w="15" w:type="dxa"/>
            </w:tcMar>
            <w:vAlign w:val="center"/>
            <w:hideMark/>
          </w:tcPr>
          <w:p w14:paraId="48DD9395" w14:textId="77777777"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12.50%</w:t>
            </w:r>
          </w:p>
        </w:tc>
        <w:tc>
          <w:tcPr>
            <w:tcW w:w="1920" w:type="dxa"/>
            <w:tcBorders>
              <w:top w:val="single" w:sz="4" w:space="0" w:color="000000"/>
              <w:left w:val="single" w:sz="4" w:space="0" w:color="000000"/>
              <w:bottom w:val="single" w:sz="12" w:space="0" w:color="auto"/>
              <w:right w:val="single" w:sz="12" w:space="0" w:color="auto"/>
            </w:tcBorders>
            <w:shd w:val="clear" w:color="auto" w:fill="auto"/>
            <w:tcMar>
              <w:top w:w="15" w:type="dxa"/>
              <w:left w:w="15" w:type="dxa"/>
              <w:bottom w:w="0" w:type="dxa"/>
              <w:right w:w="15" w:type="dxa"/>
            </w:tcMar>
            <w:vAlign w:val="center"/>
            <w:hideMark/>
          </w:tcPr>
          <w:p w14:paraId="7773A6DF" w14:textId="36A1BE42" w:rsidR="00FB67C1" w:rsidRPr="003F17A9" w:rsidRDefault="00FB67C1" w:rsidP="003F17A9">
            <w:pPr>
              <w:overflowPunct/>
              <w:autoSpaceDE/>
              <w:autoSpaceDN/>
              <w:adjustRightInd/>
              <w:spacing w:before="120" w:after="120"/>
              <w:jc w:val="center"/>
              <w:textAlignment w:val="center"/>
              <w:rPr>
                <w:rFonts w:ascii="Arial" w:eastAsia="Gulim" w:hAnsi="Arial" w:cs="Arial"/>
                <w:sz w:val="36"/>
                <w:szCs w:val="36"/>
                <w:lang w:val="en-US"/>
              </w:rPr>
            </w:pPr>
            <w:r w:rsidRPr="003F17A9">
              <w:rPr>
                <w:rFonts w:ascii="Arial" w:eastAsia="Malgun Gothic" w:hAnsi="Arial" w:cs="Arial"/>
                <w:color w:val="000000"/>
                <w:kern w:val="24"/>
                <w:sz w:val="18"/>
                <w:szCs w:val="18"/>
                <w:lang w:val="en-US"/>
              </w:rPr>
              <w:t>4.60</w:t>
            </w:r>
          </w:p>
        </w:tc>
      </w:tr>
    </w:tbl>
    <w:p w14:paraId="1CD132F7" w14:textId="3EFC350E" w:rsidR="00B22669" w:rsidRDefault="00964EA1" w:rsidP="00163822">
      <w:pPr>
        <w:spacing w:before="180"/>
        <w:jc w:val="both"/>
        <w:rPr>
          <w:lang w:val="en-US"/>
        </w:rPr>
      </w:pPr>
      <w:r>
        <w:rPr>
          <w:lang w:val="en-US"/>
        </w:rPr>
        <w:t>Since</w:t>
      </w:r>
      <w:r w:rsidR="00A4677F">
        <w:rPr>
          <w:lang w:val="en-US"/>
        </w:rPr>
        <w:t xml:space="preserve"> </w:t>
      </w:r>
      <w:r w:rsidR="00E33222">
        <w:rPr>
          <w:lang w:val="en-US"/>
        </w:rPr>
        <w:t>all simulated numbers of the power density</w:t>
      </w:r>
      <w:r w:rsidR="002E4E7A">
        <w:rPr>
          <w:lang w:val="en-US"/>
        </w:rPr>
        <w:t xml:space="preserve"> in </w:t>
      </w:r>
      <w:r>
        <w:rPr>
          <w:lang w:val="en-US"/>
        </w:rPr>
        <w:t>Table 2</w:t>
      </w:r>
      <w:r w:rsidR="00E33222">
        <w:rPr>
          <w:lang w:val="en-US"/>
        </w:rPr>
        <w:t xml:space="preserve"> </w:t>
      </w:r>
      <w:r w:rsidR="002E4E7A">
        <w:rPr>
          <w:lang w:val="en-US"/>
        </w:rPr>
        <w:t xml:space="preserve">definitely </w:t>
      </w:r>
      <w:r w:rsidR="00E33222">
        <w:rPr>
          <w:lang w:val="en-US"/>
        </w:rPr>
        <w:t>depend on UE implementation</w:t>
      </w:r>
      <w:r w:rsidR="002E4E7A">
        <w:rPr>
          <w:lang w:val="en-US"/>
        </w:rPr>
        <w:t>s</w:t>
      </w:r>
      <w:r w:rsidR="0082611B">
        <w:rPr>
          <w:lang w:val="en-US"/>
        </w:rPr>
        <w:t xml:space="preserve"> </w:t>
      </w:r>
      <w:r w:rsidR="00831B9C">
        <w:rPr>
          <w:lang w:val="en-US"/>
        </w:rPr>
        <w:t>and other</w:t>
      </w:r>
      <w:r w:rsidR="00E85778">
        <w:rPr>
          <w:lang w:val="en-US"/>
        </w:rPr>
        <w:t xml:space="preserve"> outside </w:t>
      </w:r>
      <w:r w:rsidR="0024633E">
        <w:rPr>
          <w:lang w:val="en-US"/>
        </w:rPr>
        <w:t xml:space="preserve">of 3GPP </w:t>
      </w:r>
      <w:r w:rsidR="00831B9C">
        <w:rPr>
          <w:lang w:val="en-US"/>
        </w:rPr>
        <w:t xml:space="preserve">conditions such as </w:t>
      </w:r>
      <w:r w:rsidR="00682A76">
        <w:rPr>
          <w:lang w:val="en-US"/>
        </w:rPr>
        <w:t xml:space="preserve">the total exposure requirement for </w:t>
      </w:r>
      <w:r w:rsidR="00831B9C">
        <w:rPr>
          <w:lang w:val="en-US"/>
        </w:rPr>
        <w:t xml:space="preserve">simultaneous </w:t>
      </w:r>
      <w:r w:rsidR="00DA3268">
        <w:rPr>
          <w:lang w:val="en-US"/>
        </w:rPr>
        <w:t xml:space="preserve">multi-RAT </w:t>
      </w:r>
      <w:r w:rsidR="00831B9C">
        <w:rPr>
          <w:lang w:val="en-US"/>
        </w:rPr>
        <w:t>transmission</w:t>
      </w:r>
      <w:r w:rsidR="00DA3268">
        <w:rPr>
          <w:lang w:val="en-US"/>
        </w:rPr>
        <w:t>s</w:t>
      </w:r>
      <w:r w:rsidR="00A4677F">
        <w:rPr>
          <w:lang w:val="en-US"/>
        </w:rPr>
        <w:t xml:space="preserve">, </w:t>
      </w:r>
      <w:r w:rsidR="008B2DE2">
        <w:rPr>
          <w:lang w:val="en-US"/>
        </w:rPr>
        <w:t xml:space="preserve">10 percent </w:t>
      </w:r>
      <w:r w:rsidR="003F17A9">
        <w:rPr>
          <w:lang w:val="en-US"/>
        </w:rPr>
        <w:t>needs</w:t>
      </w:r>
      <w:r w:rsidR="008B2DE2">
        <w:rPr>
          <w:lang w:val="en-US"/>
        </w:rPr>
        <w:t xml:space="preserve"> be incorporated into the range of the </w:t>
      </w:r>
      <w:r w:rsidR="008B2DE2" w:rsidRPr="002F096F">
        <w:rPr>
          <w:i/>
          <w:lang w:val="en-US"/>
        </w:rPr>
        <w:t>maxUplinkDutyCycle</w:t>
      </w:r>
      <w:r w:rsidR="008B2DE2">
        <w:rPr>
          <w:lang w:val="en-US"/>
        </w:rPr>
        <w:t xml:space="preserve">. </w:t>
      </w:r>
      <w:r w:rsidR="007137C7">
        <w:rPr>
          <w:lang w:val="en-US"/>
        </w:rPr>
        <w:t xml:space="preserve">Moreover, other </w:t>
      </w:r>
      <w:r w:rsidR="00533DD9">
        <w:rPr>
          <w:lang w:val="en-US"/>
        </w:rPr>
        <w:t>values</w:t>
      </w:r>
      <w:r w:rsidR="007137C7">
        <w:rPr>
          <w:lang w:val="en-US"/>
        </w:rPr>
        <w:t xml:space="preserve"> included in the outcome of the plenary </w:t>
      </w:r>
      <w:r w:rsidR="00F91844">
        <w:rPr>
          <w:lang w:val="en-US"/>
        </w:rPr>
        <w:t>discussion</w:t>
      </w:r>
      <w:r w:rsidR="00F55B75">
        <w:rPr>
          <w:lang w:val="en-US"/>
        </w:rPr>
        <w:t xml:space="preserve"> </w:t>
      </w:r>
      <w:r w:rsidR="00533DD9">
        <w:rPr>
          <w:lang w:val="en-US"/>
        </w:rPr>
        <w:t>should</w:t>
      </w:r>
      <w:r w:rsidR="00CA162E">
        <w:rPr>
          <w:lang w:val="en-US"/>
        </w:rPr>
        <w:t xml:space="preserve"> </w:t>
      </w:r>
      <w:r w:rsidR="007137C7">
        <w:rPr>
          <w:lang w:val="en-US"/>
        </w:rPr>
        <w:t xml:space="preserve">be kept to allow flexibility to UE implementations by using </w:t>
      </w:r>
      <w:r w:rsidR="0098310E">
        <w:rPr>
          <w:lang w:val="en-US"/>
        </w:rPr>
        <w:t>a trade-</w:t>
      </w:r>
      <w:r w:rsidR="007137C7">
        <w:rPr>
          <w:lang w:val="en-US"/>
        </w:rPr>
        <w:t xml:space="preserve">off </w:t>
      </w:r>
      <w:r w:rsidR="00F55B75">
        <w:rPr>
          <w:lang w:val="en-US"/>
        </w:rPr>
        <w:t xml:space="preserve">relationship </w:t>
      </w:r>
      <w:r w:rsidR="007137C7">
        <w:rPr>
          <w:lang w:val="en-US"/>
        </w:rPr>
        <w:t xml:space="preserve">between power </w:t>
      </w:r>
      <w:r w:rsidR="00E905B8">
        <w:rPr>
          <w:lang w:val="en-US"/>
        </w:rPr>
        <w:t xml:space="preserve">back-off </w:t>
      </w:r>
      <w:r w:rsidR="007137C7">
        <w:rPr>
          <w:lang w:val="en-US"/>
        </w:rPr>
        <w:t xml:space="preserve">and </w:t>
      </w:r>
      <w:r w:rsidR="00E905B8">
        <w:rPr>
          <w:lang w:val="en-US"/>
        </w:rPr>
        <w:t xml:space="preserve">uplink </w:t>
      </w:r>
      <w:r w:rsidR="007137C7">
        <w:rPr>
          <w:lang w:val="en-US"/>
        </w:rPr>
        <w:t>duty cycle</w:t>
      </w:r>
      <w:r w:rsidR="00F55B75">
        <w:rPr>
          <w:lang w:val="en-US"/>
        </w:rPr>
        <w:t xml:space="preserve"> while maintaining </w:t>
      </w:r>
      <w:r w:rsidR="001E3DFF">
        <w:rPr>
          <w:lang w:val="en-US"/>
        </w:rPr>
        <w:t xml:space="preserve">the </w:t>
      </w:r>
      <w:r w:rsidR="00F55B75">
        <w:rPr>
          <w:lang w:val="en-US"/>
        </w:rPr>
        <w:t>compliance.</w:t>
      </w:r>
    </w:p>
    <w:p w14:paraId="07A3A955" w14:textId="786C2EBD" w:rsidR="00987431" w:rsidRDefault="004C6D25" w:rsidP="00545015">
      <w:pPr>
        <w:spacing w:before="180"/>
        <w:jc w:val="both"/>
        <w:rPr>
          <w:rFonts w:eastAsiaTheme="minorEastAsia"/>
          <w:b/>
          <w:i/>
        </w:rPr>
      </w:pPr>
      <w:r>
        <w:rPr>
          <w:rFonts w:eastAsiaTheme="minorEastAsia" w:hint="eastAsia"/>
          <w:b/>
          <w:i/>
          <w:u w:val="single"/>
        </w:rPr>
        <w:t>Observation</w:t>
      </w:r>
      <w:r w:rsidR="00876F4D" w:rsidRPr="00B41BD4">
        <w:rPr>
          <w:rFonts w:eastAsiaTheme="minorEastAsia" w:hint="eastAsia"/>
          <w:b/>
          <w:i/>
          <w:u w:val="single"/>
        </w:rPr>
        <w:t xml:space="preserve"> </w:t>
      </w:r>
      <w:r w:rsidR="00526925">
        <w:rPr>
          <w:rFonts w:eastAsiaTheme="minorEastAsia" w:hint="eastAsia"/>
          <w:b/>
          <w:i/>
          <w:u w:val="single"/>
        </w:rPr>
        <w:t>2</w:t>
      </w:r>
      <w:r w:rsidR="00876F4D" w:rsidRPr="007D289E">
        <w:rPr>
          <w:rFonts w:eastAsiaTheme="minorEastAsia" w:hint="eastAsia"/>
          <w:b/>
          <w:i/>
          <w:u w:val="single"/>
        </w:rPr>
        <w:t>:</w:t>
      </w:r>
      <w:r w:rsidR="00876F4D" w:rsidRPr="007D289E">
        <w:rPr>
          <w:rFonts w:eastAsiaTheme="minorEastAsia" w:hint="eastAsia"/>
          <w:b/>
          <w:i/>
        </w:rPr>
        <w:t xml:space="preserve"> </w:t>
      </w:r>
      <w:r w:rsidR="00533DD9">
        <w:rPr>
          <w:rFonts w:eastAsiaTheme="minorEastAsia"/>
          <w:b/>
          <w:i/>
        </w:rPr>
        <w:t>All</w:t>
      </w:r>
      <w:r w:rsidR="00533DD9" w:rsidRPr="00F55B75">
        <w:rPr>
          <w:rFonts w:eastAsiaTheme="minorEastAsia"/>
          <w:b/>
          <w:i/>
        </w:rPr>
        <w:t xml:space="preserve"> </w:t>
      </w:r>
      <w:r w:rsidR="00533DD9">
        <w:rPr>
          <w:rFonts w:eastAsiaTheme="minorEastAsia"/>
          <w:b/>
          <w:i/>
        </w:rPr>
        <w:t>the capability value</w:t>
      </w:r>
      <w:r w:rsidR="00533DD9" w:rsidRPr="00F55B75">
        <w:rPr>
          <w:rFonts w:eastAsiaTheme="minorEastAsia"/>
          <w:b/>
          <w:i/>
        </w:rPr>
        <w:t>s</w:t>
      </w:r>
      <w:r w:rsidR="00533DD9">
        <w:rPr>
          <w:rFonts w:eastAsiaTheme="minorEastAsia"/>
          <w:b/>
          <w:i/>
        </w:rPr>
        <w:t xml:space="preserve"> included </w:t>
      </w:r>
      <w:r w:rsidR="00533DD9" w:rsidRPr="00F55B75">
        <w:rPr>
          <w:rFonts w:eastAsiaTheme="minorEastAsia"/>
          <w:b/>
          <w:i/>
        </w:rPr>
        <w:t xml:space="preserve">in the outcome of the plenary </w:t>
      </w:r>
      <w:r w:rsidR="00533DD9">
        <w:rPr>
          <w:rFonts w:eastAsiaTheme="minorEastAsia"/>
          <w:b/>
          <w:i/>
        </w:rPr>
        <w:t>discussion</w:t>
      </w:r>
      <w:r w:rsidR="00533DD9" w:rsidRPr="00F55B75">
        <w:rPr>
          <w:rFonts w:eastAsiaTheme="minorEastAsia"/>
          <w:b/>
          <w:i/>
        </w:rPr>
        <w:t xml:space="preserve"> </w:t>
      </w:r>
      <w:r w:rsidR="00533DD9">
        <w:rPr>
          <w:rFonts w:eastAsiaTheme="minorEastAsia"/>
          <w:b/>
          <w:i/>
        </w:rPr>
        <w:t>from 10 percent</w:t>
      </w:r>
      <w:r w:rsidR="00533DD9" w:rsidRPr="00F55B75">
        <w:rPr>
          <w:rFonts w:eastAsiaTheme="minorEastAsia"/>
          <w:b/>
          <w:i/>
        </w:rPr>
        <w:t xml:space="preserve"> </w:t>
      </w:r>
      <w:r w:rsidR="00533DD9">
        <w:rPr>
          <w:rFonts w:eastAsiaTheme="minorEastAsia"/>
          <w:b/>
          <w:i/>
        </w:rPr>
        <w:t>need to</w:t>
      </w:r>
      <w:r w:rsidR="00533DD9" w:rsidRPr="00F55B75">
        <w:rPr>
          <w:rFonts w:eastAsiaTheme="minorEastAsia"/>
          <w:b/>
          <w:i/>
        </w:rPr>
        <w:t xml:space="preserve"> be kept to allow flexibility </w:t>
      </w:r>
      <w:r w:rsidR="00E85778">
        <w:rPr>
          <w:rFonts w:eastAsiaTheme="minorEastAsia"/>
          <w:b/>
          <w:i/>
        </w:rPr>
        <w:t>for</w:t>
      </w:r>
      <w:r w:rsidR="00533DD9" w:rsidRPr="00F55B75">
        <w:rPr>
          <w:rFonts w:eastAsiaTheme="minorEastAsia"/>
          <w:b/>
          <w:i/>
        </w:rPr>
        <w:t xml:space="preserve"> UE implementations</w:t>
      </w:r>
      <w:r w:rsidR="00E85778">
        <w:rPr>
          <w:rFonts w:eastAsiaTheme="minorEastAsia"/>
          <w:b/>
          <w:i/>
        </w:rPr>
        <w:t>, and to con</w:t>
      </w:r>
      <w:r w:rsidR="00DF0A00">
        <w:rPr>
          <w:rFonts w:eastAsiaTheme="minorEastAsia"/>
          <w:b/>
          <w:i/>
        </w:rPr>
        <w:t>sid</w:t>
      </w:r>
      <w:r w:rsidR="00E85778">
        <w:rPr>
          <w:rFonts w:eastAsiaTheme="minorEastAsia"/>
          <w:b/>
          <w:i/>
        </w:rPr>
        <w:t xml:space="preserve">er </w:t>
      </w:r>
      <w:r w:rsidR="00DF0A00">
        <w:rPr>
          <w:rFonts w:eastAsiaTheme="minorEastAsia"/>
          <w:b/>
          <w:i/>
        </w:rPr>
        <w:t xml:space="preserve">other </w:t>
      </w:r>
      <w:r w:rsidR="00E85778">
        <w:rPr>
          <w:rFonts w:eastAsiaTheme="minorEastAsia"/>
          <w:b/>
          <w:i/>
        </w:rPr>
        <w:t xml:space="preserve">conditions such as </w:t>
      </w:r>
      <w:r w:rsidR="00E85778" w:rsidRPr="00E85778">
        <w:rPr>
          <w:rFonts w:eastAsiaTheme="minorEastAsia"/>
          <w:b/>
          <w:i/>
        </w:rPr>
        <w:t>multi-RAT transmissions</w:t>
      </w:r>
      <w:r w:rsidR="00533DD9">
        <w:rPr>
          <w:rFonts w:eastAsiaTheme="minorEastAsia"/>
          <w:b/>
          <w:i/>
        </w:rPr>
        <w:t>.</w:t>
      </w:r>
    </w:p>
    <w:p w14:paraId="71A553CE" w14:textId="7E5ADD01" w:rsidR="004C6D25" w:rsidRPr="00517836" w:rsidRDefault="004C6D25" w:rsidP="004C6D25">
      <w:pPr>
        <w:pStyle w:val="Heading4"/>
        <w:spacing w:before="240"/>
        <w:rPr>
          <w:lang w:val="en-US"/>
        </w:rPr>
      </w:pPr>
      <w:r>
        <w:rPr>
          <w:rFonts w:hint="eastAsia"/>
          <w:lang w:val="en-US"/>
        </w:rPr>
        <w:t>2.</w:t>
      </w:r>
      <w:r>
        <w:rPr>
          <w:lang w:val="en-US"/>
        </w:rPr>
        <w:t>3</w:t>
      </w:r>
      <w:r>
        <w:rPr>
          <w:rFonts w:hint="eastAsia"/>
          <w:lang w:val="en-US"/>
        </w:rPr>
        <w:t xml:space="preserve"> </w:t>
      </w:r>
      <w:r w:rsidR="00B033DF">
        <w:rPr>
          <w:lang w:val="en-US"/>
        </w:rPr>
        <w:t>NR</w:t>
      </w:r>
      <w:r w:rsidR="00526925">
        <w:rPr>
          <w:rFonts w:hint="eastAsia"/>
          <w:lang w:val="en-US"/>
        </w:rPr>
        <w:t xml:space="preserve"> </w:t>
      </w:r>
      <w:r w:rsidR="00DF7454">
        <w:rPr>
          <w:lang w:val="en-US"/>
        </w:rPr>
        <w:t>slot pattern</w:t>
      </w:r>
      <w:r w:rsidR="003C2E86">
        <w:rPr>
          <w:lang w:val="en-US"/>
        </w:rPr>
        <w:t>s and resources</w:t>
      </w:r>
    </w:p>
    <w:p w14:paraId="5CAF19FE" w14:textId="77777777" w:rsidR="003C2E86" w:rsidRDefault="003C2E86" w:rsidP="003C2E86">
      <w:pPr>
        <w:spacing w:before="180"/>
        <w:jc w:val="both"/>
      </w:pPr>
      <w:r>
        <w:rPr>
          <w:rFonts w:hint="eastAsia"/>
        </w:rPr>
        <w:t xml:space="preserve">Once there is a restriction on the maximum time for UL transmission, throughput performance and resource utilization for DL and UL must occur. </w:t>
      </w:r>
      <w:r>
        <w:t>More than that, with smaller UL transmission time, UL coverage for HARQ and CSI feedback could be significantly impacted due to higher code rate and due to lower available UL power.</w:t>
      </w:r>
    </w:p>
    <w:p w14:paraId="44851A03" w14:textId="77777777" w:rsidR="003C2E86" w:rsidRDefault="003C2E86" w:rsidP="003C2E86">
      <w:pPr>
        <w:spacing w:before="180"/>
        <w:jc w:val="both"/>
      </w:pPr>
      <w:r>
        <w:t>For example, let’s assume two cases of 10% and 20% UL portions among total time duration, e.g., 1 slot and 2 slots out of 10 slots. With ignoring UL-DL switching time, 9 slots and 8 slots can be used for DL transmission, respectively for 10% and 20% UL portions. That means, for 10% UL portion, HARQ-ACK feedback corresponding 9 DL slots should be sent by using 1 UL slot while, for 20% UL portion, HARQ-ACK feedback corresponding 8 DL slots should be sent by using 2 UL slots. This results in higher code rate of uplink control information (UCI) on PUCCH and also lower UL power to carry the UCI due to shorter time used for PUCCH, which significantly degrades UL coverage.</w:t>
      </w:r>
    </w:p>
    <w:p w14:paraId="4143BEC7" w14:textId="77777777" w:rsidR="003C2E86" w:rsidRDefault="003C2E86" w:rsidP="003C2E86">
      <w:pPr>
        <w:spacing w:before="180"/>
        <w:jc w:val="both"/>
      </w:pPr>
      <w:r>
        <w:t xml:space="preserve">Also, in real deployment scenario, NR slot pattern of DDDFU is likely to be used widely with periodicity of 5 slots, where this TDD slot pattern is not changed for a while. It means, the first three slots out of 5 slots are used for DL and the last slot is used for UL. The second last slot out of 5 slots can be used for both DL and UL dynamically. With 10% max UL duty cycle, one UL slot from 10 slots of DDDFU DDDFU cannot be allocated for a given UE. For the given UE, it will waste 10% of time resources. Because of that, latency is quite increased, especially, UL transmission. </w:t>
      </w:r>
    </w:p>
    <w:p w14:paraId="5EFAC264" w14:textId="77777777" w:rsidR="003C2E86" w:rsidRDefault="003C2E86" w:rsidP="003C2E86">
      <w:pPr>
        <w:spacing w:before="180"/>
        <w:jc w:val="both"/>
      </w:pPr>
      <w:r>
        <w:t xml:space="preserve">More than that, with below 10% max UL duty cycle, more than one UL slot from 15 slots of DDDFU DDDFU DDDFU cannot be allocated for a given UE. In this case, for the given UE, it will waste more than 10% of time resources. Because of that, latency is quite increased, especially, UL transmission.  </w:t>
      </w:r>
    </w:p>
    <w:p w14:paraId="550057F5" w14:textId="0BC566F5" w:rsidR="003C2E86" w:rsidRDefault="003C2E86" w:rsidP="003C2E86">
      <w:pPr>
        <w:spacing w:before="180"/>
        <w:jc w:val="both"/>
        <w:rPr>
          <w:rFonts w:eastAsiaTheme="minorEastAsia"/>
          <w:b/>
          <w:i/>
        </w:rPr>
      </w:pPr>
      <w:r w:rsidRPr="00B41BD4">
        <w:rPr>
          <w:rFonts w:eastAsiaTheme="minorEastAsia" w:hint="eastAsia"/>
          <w:b/>
          <w:i/>
          <w:u w:val="single"/>
        </w:rPr>
        <w:t xml:space="preserve">Observation </w:t>
      </w:r>
      <w:r>
        <w:rPr>
          <w:rFonts w:eastAsiaTheme="minorEastAsia"/>
          <w:b/>
          <w:i/>
          <w:u w:val="single"/>
        </w:rPr>
        <w:t>3</w:t>
      </w:r>
      <w:r w:rsidRPr="007D289E">
        <w:rPr>
          <w:rFonts w:eastAsiaTheme="minorEastAsia" w:hint="eastAsia"/>
          <w:b/>
          <w:i/>
          <w:u w:val="single"/>
        </w:rPr>
        <w:t>:</w:t>
      </w:r>
      <w:r w:rsidRPr="007D289E">
        <w:rPr>
          <w:rFonts w:eastAsiaTheme="minorEastAsia" w:hint="eastAsia"/>
          <w:b/>
          <w:i/>
        </w:rPr>
        <w:t xml:space="preserve"> </w:t>
      </w:r>
      <w:r w:rsidR="00533DD9">
        <w:rPr>
          <w:rFonts w:eastAsiaTheme="minorEastAsia"/>
          <w:b/>
          <w:i/>
        </w:rPr>
        <w:t xml:space="preserve">Below 10 percent of maxUplinkDutyCycle </w:t>
      </w:r>
      <w:r w:rsidR="00533DD9" w:rsidRPr="00533DD9">
        <w:rPr>
          <w:rFonts w:eastAsiaTheme="minorEastAsia"/>
          <w:b/>
          <w:i/>
        </w:rPr>
        <w:t>values</w:t>
      </w:r>
      <w:r w:rsidR="00533DD9">
        <w:rPr>
          <w:rFonts w:eastAsiaTheme="minorEastAsia"/>
          <w:b/>
          <w:i/>
        </w:rPr>
        <w:t xml:space="preserve"> results in significant waste of UL resources and</w:t>
      </w:r>
      <w:r w:rsidR="00533DD9">
        <w:rPr>
          <w:rFonts w:eastAsiaTheme="minorEastAsia" w:hint="eastAsia"/>
          <w:b/>
          <w:i/>
        </w:rPr>
        <w:t xml:space="preserve"> </w:t>
      </w:r>
      <w:r w:rsidR="00533DD9">
        <w:rPr>
          <w:rFonts w:eastAsiaTheme="minorEastAsia"/>
          <w:b/>
          <w:i/>
        </w:rPr>
        <w:t xml:space="preserve">it also </w:t>
      </w:r>
      <w:r w:rsidR="00533DD9" w:rsidRPr="004C6EC0">
        <w:rPr>
          <w:rFonts w:eastAsiaTheme="minorEastAsia"/>
          <w:b/>
          <w:i/>
        </w:rPr>
        <w:t>degrades UL coverage</w:t>
      </w:r>
      <w:r w:rsidR="00533DD9">
        <w:rPr>
          <w:rFonts w:eastAsiaTheme="minorEastAsia"/>
          <w:b/>
          <w:i/>
        </w:rPr>
        <w:t xml:space="preserve"> for HARQ-ACK feedback.</w:t>
      </w:r>
    </w:p>
    <w:p w14:paraId="7F859256" w14:textId="547852B0" w:rsidR="00BD4239" w:rsidRDefault="00BD4239" w:rsidP="00545015">
      <w:pPr>
        <w:spacing w:before="180"/>
        <w:jc w:val="both"/>
        <w:rPr>
          <w:rFonts w:eastAsiaTheme="minorEastAsia"/>
          <w:b/>
          <w:i/>
          <w:u w:val="single"/>
        </w:rPr>
      </w:pPr>
      <w:r>
        <w:rPr>
          <w:rFonts w:hint="eastAsia"/>
          <w:lang w:val="en-US"/>
        </w:rPr>
        <w:lastRenderedPageBreak/>
        <w:t xml:space="preserve">Therefore, </w:t>
      </w:r>
      <w:r w:rsidR="00805BAE">
        <w:rPr>
          <w:lang w:val="en-US"/>
        </w:rPr>
        <w:t>our proposals for finalizing the remaining requirements are:</w:t>
      </w:r>
    </w:p>
    <w:p w14:paraId="424BF5C3" w14:textId="105833FF" w:rsidR="00B419AC" w:rsidRDefault="00B419AC" w:rsidP="00545015">
      <w:pPr>
        <w:spacing w:before="180"/>
        <w:jc w:val="both"/>
        <w:rPr>
          <w:rFonts w:eastAsiaTheme="minorEastAsia"/>
          <w:b/>
          <w:i/>
        </w:rPr>
      </w:pPr>
      <w:r>
        <w:rPr>
          <w:rFonts w:eastAsiaTheme="minorEastAsia" w:hint="eastAsia"/>
          <w:b/>
          <w:i/>
          <w:u w:val="single"/>
        </w:rPr>
        <w:t>Proposal</w:t>
      </w:r>
      <w:r w:rsidRPr="007D289E">
        <w:rPr>
          <w:rFonts w:eastAsiaTheme="minorEastAsia" w:hint="eastAsia"/>
          <w:b/>
          <w:i/>
          <w:u w:val="single"/>
        </w:rPr>
        <w:t>:</w:t>
      </w:r>
      <w:r w:rsidRPr="007D289E">
        <w:rPr>
          <w:rFonts w:eastAsiaTheme="minorEastAsia" w:hint="eastAsia"/>
          <w:b/>
          <w:i/>
        </w:rPr>
        <w:t xml:space="preserve"> </w:t>
      </w:r>
      <w:r w:rsidR="00533DD9">
        <w:rPr>
          <w:rFonts w:eastAsiaTheme="minorEastAsia"/>
          <w:b/>
          <w:i/>
        </w:rPr>
        <w:t>Given the RAN plenary decision, it is proposed to use the capability values in the set of {10, 20, 25, 30, 40, 50, 60, 70, 80, 90, 100}</w:t>
      </w:r>
    </w:p>
    <w:p w14:paraId="245ACEFD" w14:textId="77777777" w:rsidR="00496F3A" w:rsidRPr="006C0AF4" w:rsidRDefault="00496F3A" w:rsidP="00496F3A">
      <w:pPr>
        <w:pStyle w:val="Heading1"/>
        <w:numPr>
          <w:ilvl w:val="0"/>
          <w:numId w:val="1"/>
        </w:numPr>
        <w:overflowPunct/>
        <w:autoSpaceDE/>
        <w:autoSpaceDN/>
        <w:adjustRightInd/>
        <w:textAlignment w:val="auto"/>
        <w:rPr>
          <w:rFonts w:eastAsia="Malgun Gothic" w:cs="Arial"/>
          <w:b/>
          <w:sz w:val="32"/>
        </w:rPr>
      </w:pPr>
      <w:r w:rsidRPr="006C0AF4">
        <w:rPr>
          <w:rFonts w:cs="Arial"/>
          <w:b/>
          <w:sz w:val="32"/>
          <w:lang w:eastAsia="zh-CN"/>
        </w:rPr>
        <w:t>Conclusion</w:t>
      </w:r>
    </w:p>
    <w:p w14:paraId="4AC38944" w14:textId="14DFC642" w:rsidR="00496F3A" w:rsidRPr="001E46C7" w:rsidRDefault="00444EB3" w:rsidP="00763476">
      <w:pPr>
        <w:jc w:val="both"/>
        <w:rPr>
          <w:rFonts w:eastAsia="Malgun Gothic"/>
          <w:i/>
        </w:rPr>
      </w:pPr>
      <w:r>
        <w:rPr>
          <w:rFonts w:eastAsia="Malgun Gothic" w:hint="eastAsia"/>
        </w:rPr>
        <w:t xml:space="preserve">In this contribution, </w:t>
      </w:r>
      <w:r w:rsidR="00004062" w:rsidRPr="0041777A">
        <w:rPr>
          <w:rFonts w:eastAsiaTheme="minorEastAsia" w:hint="eastAsia"/>
        </w:rPr>
        <w:t xml:space="preserve">we </w:t>
      </w:r>
      <w:r w:rsidR="00EA74E3">
        <w:rPr>
          <w:rFonts w:eastAsiaTheme="minorEastAsia" w:hint="eastAsia"/>
        </w:rPr>
        <w:t>provide our view on</w:t>
      </w:r>
      <w:r w:rsidR="00526925">
        <w:rPr>
          <w:rFonts w:eastAsiaTheme="minorEastAsia"/>
        </w:rPr>
        <w:t xml:space="preserve"> the </w:t>
      </w:r>
      <w:r w:rsidR="00533DD9" w:rsidRPr="00533DD9">
        <w:rPr>
          <w:rFonts w:eastAsiaTheme="minorEastAsia"/>
        </w:rPr>
        <w:t>capability values</w:t>
      </w:r>
      <w:r w:rsidR="00526925">
        <w:rPr>
          <w:rFonts w:eastAsiaTheme="minorEastAsia"/>
        </w:rPr>
        <w:t xml:space="preserve"> of</w:t>
      </w:r>
      <w:r w:rsidR="00EA74E3">
        <w:rPr>
          <w:rFonts w:eastAsiaTheme="minorEastAsia" w:hint="eastAsia"/>
        </w:rPr>
        <w:t xml:space="preserve"> </w:t>
      </w:r>
      <w:r w:rsidR="00526925" w:rsidRPr="002F096F">
        <w:rPr>
          <w:rFonts w:eastAsiaTheme="minorEastAsia"/>
          <w:i/>
        </w:rPr>
        <w:t>maxUplinkDutyCycle</w:t>
      </w:r>
      <w:r w:rsidR="00526925">
        <w:rPr>
          <w:rFonts w:eastAsiaTheme="minorEastAsia"/>
        </w:rPr>
        <w:t xml:space="preserve"> </w:t>
      </w:r>
      <w:r w:rsidR="00AE6DC9">
        <w:rPr>
          <w:rFonts w:eastAsiaTheme="minorEastAsia"/>
        </w:rPr>
        <w:t xml:space="preserve">updated in </w:t>
      </w:r>
      <w:r w:rsidR="00902410">
        <w:rPr>
          <w:rFonts w:eastAsiaTheme="minorEastAsia"/>
        </w:rPr>
        <w:t>RAN #83</w:t>
      </w:r>
      <w:r w:rsidR="00AE6DC9">
        <w:rPr>
          <w:rFonts w:eastAsiaTheme="minorEastAsia"/>
        </w:rPr>
        <w:t xml:space="preserve"> [3]</w:t>
      </w:r>
      <w:r w:rsidR="00EA74E3" w:rsidRPr="00EA74E3">
        <w:t>.</w:t>
      </w:r>
      <w:r w:rsidR="007D0B67">
        <w:rPr>
          <w:rFonts w:hint="eastAsia"/>
        </w:rPr>
        <w:t xml:space="preserve"> </w:t>
      </w:r>
      <w:r w:rsidR="00AE6DC9">
        <w:t xml:space="preserve">All the </w:t>
      </w:r>
      <w:r w:rsidR="00CC0D20">
        <w:t>observation</w:t>
      </w:r>
      <w:r w:rsidR="00AE6DC9">
        <w:t>s</w:t>
      </w:r>
      <w:r w:rsidR="00902410">
        <w:t xml:space="preserve"> </w:t>
      </w:r>
      <w:r w:rsidR="00622F9B">
        <w:t xml:space="preserve">in section 2 </w:t>
      </w:r>
      <w:r w:rsidR="00DB0743">
        <w:rPr>
          <w:rFonts w:hint="eastAsia"/>
        </w:rPr>
        <w:t>are</w:t>
      </w:r>
      <w:r w:rsidR="002C178A">
        <w:rPr>
          <w:rFonts w:hint="eastAsia"/>
        </w:rPr>
        <w:t xml:space="preserve"> </w:t>
      </w:r>
      <w:r w:rsidR="0034560F">
        <w:rPr>
          <w:rFonts w:hint="eastAsia"/>
        </w:rPr>
        <w:t xml:space="preserve">summarized </w:t>
      </w:r>
      <w:r>
        <w:rPr>
          <w:rFonts w:eastAsia="Malgun Gothic" w:hint="eastAsia"/>
        </w:rPr>
        <w:t xml:space="preserve">as below. </w:t>
      </w:r>
    </w:p>
    <w:p w14:paraId="4A75C8E0" w14:textId="00227739" w:rsidR="009C1693" w:rsidRPr="00876F4D" w:rsidRDefault="0059095F" w:rsidP="009C1693">
      <w:pPr>
        <w:spacing w:before="180"/>
        <w:jc w:val="both"/>
      </w:pPr>
      <w:r>
        <w:rPr>
          <w:rFonts w:eastAsiaTheme="minorEastAsia" w:hint="eastAsia"/>
          <w:b/>
          <w:i/>
          <w:u w:val="single"/>
        </w:rPr>
        <w:t>Observation</w:t>
      </w:r>
      <w:r w:rsidRPr="00B41BD4">
        <w:rPr>
          <w:rFonts w:eastAsiaTheme="minorEastAsia" w:hint="eastAsia"/>
          <w:b/>
          <w:i/>
          <w:u w:val="single"/>
        </w:rPr>
        <w:t xml:space="preserve"> </w:t>
      </w:r>
      <w:r w:rsidRPr="007D289E">
        <w:rPr>
          <w:rFonts w:eastAsiaTheme="minorEastAsia" w:hint="eastAsia"/>
          <w:b/>
          <w:i/>
          <w:u w:val="single"/>
        </w:rPr>
        <w:t>1:</w:t>
      </w:r>
      <w:r w:rsidRPr="007D289E">
        <w:rPr>
          <w:rFonts w:eastAsiaTheme="minorEastAsia" w:hint="eastAsia"/>
          <w:b/>
          <w:i/>
        </w:rPr>
        <w:t xml:space="preserve"> </w:t>
      </w:r>
      <w:r>
        <w:rPr>
          <w:rFonts w:eastAsiaTheme="minorEastAsia"/>
          <w:b/>
          <w:i/>
        </w:rPr>
        <w:t>For test separation condition, zero distance should be considered for the MPE discussion on RF exposure levels.</w:t>
      </w:r>
    </w:p>
    <w:p w14:paraId="74995A8A" w14:textId="5FAA78EC" w:rsidR="00F91D6D" w:rsidRPr="00F91D6D" w:rsidRDefault="00E85778" w:rsidP="00377F46">
      <w:pPr>
        <w:spacing w:before="180"/>
        <w:jc w:val="both"/>
        <w:rPr>
          <w:rFonts w:eastAsia="宋体" w:hint="eastAsia"/>
          <w:b/>
          <w:i/>
          <w:lang w:eastAsia="zh-CN"/>
        </w:rPr>
      </w:pPr>
      <w:r>
        <w:rPr>
          <w:rFonts w:eastAsiaTheme="minorEastAsia" w:hint="eastAsia"/>
          <w:b/>
          <w:i/>
          <w:u w:val="single"/>
        </w:rPr>
        <w:t>Observation</w:t>
      </w:r>
      <w:r w:rsidRPr="00B41BD4">
        <w:rPr>
          <w:rFonts w:eastAsiaTheme="minorEastAsia" w:hint="eastAsia"/>
          <w:b/>
          <w:i/>
          <w:u w:val="single"/>
        </w:rPr>
        <w:t xml:space="preserve"> </w:t>
      </w:r>
      <w:r>
        <w:rPr>
          <w:rFonts w:eastAsiaTheme="minorEastAsia" w:hint="eastAsia"/>
          <w:b/>
          <w:i/>
          <w:u w:val="single"/>
        </w:rPr>
        <w:t>2</w:t>
      </w:r>
      <w:r w:rsidRPr="007D289E">
        <w:rPr>
          <w:rFonts w:eastAsiaTheme="minorEastAsia" w:hint="eastAsia"/>
          <w:b/>
          <w:i/>
          <w:u w:val="single"/>
        </w:rPr>
        <w:t>:</w:t>
      </w:r>
      <w:r w:rsidRPr="007D289E">
        <w:rPr>
          <w:rFonts w:eastAsiaTheme="minorEastAsia" w:hint="eastAsia"/>
          <w:b/>
          <w:i/>
        </w:rPr>
        <w:t xml:space="preserve"> </w:t>
      </w:r>
      <w:r>
        <w:rPr>
          <w:rFonts w:eastAsiaTheme="minorEastAsia"/>
          <w:b/>
          <w:i/>
        </w:rPr>
        <w:t>All</w:t>
      </w:r>
      <w:r w:rsidRPr="00F55B75">
        <w:rPr>
          <w:rFonts w:eastAsiaTheme="minorEastAsia"/>
          <w:b/>
          <w:i/>
        </w:rPr>
        <w:t xml:space="preserve"> </w:t>
      </w:r>
      <w:r>
        <w:rPr>
          <w:rFonts w:eastAsiaTheme="minorEastAsia"/>
          <w:b/>
          <w:i/>
        </w:rPr>
        <w:t>the capability value</w:t>
      </w:r>
      <w:r w:rsidRPr="00F55B75">
        <w:rPr>
          <w:rFonts w:eastAsiaTheme="minorEastAsia"/>
          <w:b/>
          <w:i/>
        </w:rPr>
        <w:t>s</w:t>
      </w:r>
      <w:r>
        <w:rPr>
          <w:rFonts w:eastAsiaTheme="minorEastAsia"/>
          <w:b/>
          <w:i/>
        </w:rPr>
        <w:t xml:space="preserve"> included </w:t>
      </w:r>
      <w:r w:rsidRPr="00F55B75">
        <w:rPr>
          <w:rFonts w:eastAsiaTheme="minorEastAsia"/>
          <w:b/>
          <w:i/>
        </w:rPr>
        <w:t xml:space="preserve">in the outcome of the plenary </w:t>
      </w:r>
      <w:r>
        <w:rPr>
          <w:rFonts w:eastAsiaTheme="minorEastAsia"/>
          <w:b/>
          <w:i/>
        </w:rPr>
        <w:t>discussion</w:t>
      </w:r>
      <w:r w:rsidRPr="00F55B75">
        <w:rPr>
          <w:rFonts w:eastAsiaTheme="minorEastAsia"/>
          <w:b/>
          <w:i/>
        </w:rPr>
        <w:t xml:space="preserve"> </w:t>
      </w:r>
      <w:r>
        <w:rPr>
          <w:rFonts w:eastAsiaTheme="minorEastAsia"/>
          <w:b/>
          <w:i/>
        </w:rPr>
        <w:t>from 10 percent</w:t>
      </w:r>
      <w:r w:rsidRPr="00F55B75">
        <w:rPr>
          <w:rFonts w:eastAsiaTheme="minorEastAsia"/>
          <w:b/>
          <w:i/>
        </w:rPr>
        <w:t xml:space="preserve"> </w:t>
      </w:r>
      <w:r>
        <w:rPr>
          <w:rFonts w:eastAsiaTheme="minorEastAsia"/>
          <w:b/>
          <w:i/>
        </w:rPr>
        <w:t>need to</w:t>
      </w:r>
      <w:r w:rsidRPr="00F55B75">
        <w:rPr>
          <w:rFonts w:eastAsiaTheme="minorEastAsia"/>
          <w:b/>
          <w:i/>
        </w:rPr>
        <w:t xml:space="preserve"> be kept to allow flexibility </w:t>
      </w:r>
      <w:r>
        <w:rPr>
          <w:rFonts w:eastAsiaTheme="minorEastAsia"/>
          <w:b/>
          <w:i/>
        </w:rPr>
        <w:t>for</w:t>
      </w:r>
      <w:r w:rsidRPr="00F55B75">
        <w:rPr>
          <w:rFonts w:eastAsiaTheme="minorEastAsia"/>
          <w:b/>
          <w:i/>
        </w:rPr>
        <w:t xml:space="preserve"> UE implementations</w:t>
      </w:r>
      <w:r>
        <w:rPr>
          <w:rFonts w:eastAsiaTheme="minorEastAsia"/>
          <w:b/>
          <w:i/>
        </w:rPr>
        <w:t xml:space="preserve">, and other conditions like </w:t>
      </w:r>
      <w:r w:rsidRPr="00E85778">
        <w:rPr>
          <w:rFonts w:eastAsiaTheme="minorEastAsia"/>
          <w:b/>
          <w:i/>
        </w:rPr>
        <w:t>multi-RAT transmissions</w:t>
      </w:r>
      <w:r>
        <w:rPr>
          <w:rFonts w:eastAsiaTheme="minorEastAsia"/>
          <w:b/>
          <w:i/>
        </w:rPr>
        <w:t>.</w:t>
      </w:r>
      <w:bookmarkStart w:id="0" w:name="_GoBack"/>
      <w:bookmarkEnd w:id="0"/>
    </w:p>
    <w:p w14:paraId="6AE82AD7" w14:textId="622CC1F9" w:rsidR="002501DF" w:rsidRPr="004D21C5" w:rsidRDefault="002501DF" w:rsidP="009C1693">
      <w:pPr>
        <w:spacing w:before="180"/>
        <w:jc w:val="both"/>
        <w:rPr>
          <w:rFonts w:eastAsiaTheme="minorEastAsia"/>
          <w:b/>
          <w:i/>
        </w:rPr>
      </w:pPr>
      <w:r w:rsidRPr="00B41BD4">
        <w:rPr>
          <w:rFonts w:eastAsiaTheme="minorEastAsia" w:hint="eastAsia"/>
          <w:b/>
          <w:i/>
          <w:u w:val="single"/>
        </w:rPr>
        <w:t xml:space="preserve">Observation </w:t>
      </w:r>
      <w:r>
        <w:rPr>
          <w:rFonts w:eastAsiaTheme="minorEastAsia" w:hint="eastAsia"/>
          <w:b/>
          <w:i/>
          <w:u w:val="single"/>
        </w:rPr>
        <w:t>3</w:t>
      </w:r>
      <w:r w:rsidRPr="007D289E">
        <w:rPr>
          <w:rFonts w:eastAsiaTheme="minorEastAsia" w:hint="eastAsia"/>
          <w:b/>
          <w:i/>
          <w:u w:val="single"/>
        </w:rPr>
        <w:t>:</w:t>
      </w:r>
      <w:r w:rsidRPr="007D289E">
        <w:rPr>
          <w:rFonts w:eastAsiaTheme="minorEastAsia" w:hint="eastAsia"/>
          <w:b/>
          <w:i/>
        </w:rPr>
        <w:t xml:space="preserve"> </w:t>
      </w:r>
      <w:r w:rsidR="00930FBA">
        <w:rPr>
          <w:rFonts w:eastAsiaTheme="minorEastAsia"/>
          <w:b/>
          <w:i/>
        </w:rPr>
        <w:t xml:space="preserve">Below 10 percent of </w:t>
      </w:r>
      <w:r w:rsidR="00902410">
        <w:rPr>
          <w:rFonts w:eastAsiaTheme="minorEastAsia"/>
          <w:b/>
          <w:i/>
        </w:rPr>
        <w:t xml:space="preserve">maxUplinkDutyCycle </w:t>
      </w:r>
      <w:r w:rsidR="00533DD9" w:rsidRPr="00533DD9">
        <w:rPr>
          <w:rFonts w:eastAsiaTheme="minorEastAsia"/>
          <w:b/>
          <w:i/>
        </w:rPr>
        <w:t>values</w:t>
      </w:r>
      <w:r w:rsidR="00533DD9">
        <w:rPr>
          <w:rFonts w:eastAsiaTheme="minorEastAsia"/>
          <w:b/>
          <w:i/>
        </w:rPr>
        <w:t xml:space="preserve"> </w:t>
      </w:r>
      <w:r w:rsidR="00902410">
        <w:rPr>
          <w:rFonts w:eastAsiaTheme="minorEastAsia"/>
          <w:b/>
          <w:i/>
        </w:rPr>
        <w:t>results in significant waste of UL resources and</w:t>
      </w:r>
      <w:r w:rsidR="00902410">
        <w:rPr>
          <w:rFonts w:eastAsiaTheme="minorEastAsia" w:hint="eastAsia"/>
          <w:b/>
          <w:i/>
        </w:rPr>
        <w:t xml:space="preserve"> </w:t>
      </w:r>
      <w:r w:rsidR="00902410">
        <w:rPr>
          <w:rFonts w:eastAsiaTheme="minorEastAsia"/>
          <w:b/>
          <w:i/>
        </w:rPr>
        <w:t xml:space="preserve">it also </w:t>
      </w:r>
      <w:r w:rsidR="00902410" w:rsidRPr="004C6EC0">
        <w:rPr>
          <w:rFonts w:eastAsiaTheme="minorEastAsia"/>
          <w:b/>
          <w:i/>
        </w:rPr>
        <w:t>degrades UL coverage</w:t>
      </w:r>
      <w:r w:rsidR="00902410">
        <w:rPr>
          <w:rFonts w:eastAsiaTheme="minorEastAsia"/>
          <w:b/>
          <w:i/>
        </w:rPr>
        <w:t xml:space="preserve"> for HARQ-ACK feedback.</w:t>
      </w:r>
    </w:p>
    <w:p w14:paraId="42A7FF45" w14:textId="698536E1" w:rsidR="009C1693" w:rsidRPr="009C1693" w:rsidRDefault="009C1693" w:rsidP="009C1693">
      <w:pPr>
        <w:jc w:val="both"/>
        <w:rPr>
          <w:rFonts w:eastAsiaTheme="minorEastAsia"/>
        </w:rPr>
      </w:pPr>
      <w:r w:rsidRPr="009C1693">
        <w:rPr>
          <w:rFonts w:eastAsiaTheme="minorEastAsia" w:hint="eastAsia"/>
        </w:rPr>
        <w:t xml:space="preserve">Based on </w:t>
      </w:r>
      <w:r w:rsidR="00743A6D">
        <w:rPr>
          <w:rFonts w:eastAsiaTheme="minorEastAsia"/>
        </w:rPr>
        <w:t>the above</w:t>
      </w:r>
      <w:r w:rsidR="00743A6D">
        <w:rPr>
          <w:rFonts w:eastAsiaTheme="minorEastAsia" w:hint="eastAsia"/>
        </w:rPr>
        <w:t xml:space="preserve"> </w:t>
      </w:r>
      <w:r>
        <w:rPr>
          <w:rFonts w:eastAsiaTheme="minorEastAsia" w:hint="eastAsia"/>
        </w:rPr>
        <w:t xml:space="preserve">observations, we would like to propose: </w:t>
      </w:r>
    </w:p>
    <w:p w14:paraId="41F8CC6A" w14:textId="4B9D0745" w:rsidR="00377F46" w:rsidRDefault="00377F46" w:rsidP="00377F46">
      <w:pPr>
        <w:spacing w:before="180"/>
        <w:jc w:val="both"/>
        <w:rPr>
          <w:lang w:val="en-US"/>
        </w:rPr>
      </w:pPr>
      <w:r>
        <w:rPr>
          <w:rFonts w:eastAsiaTheme="minorEastAsia" w:hint="eastAsia"/>
          <w:b/>
          <w:i/>
          <w:u w:val="single"/>
        </w:rPr>
        <w:t>Proposal</w:t>
      </w:r>
      <w:r w:rsidRPr="007D289E">
        <w:rPr>
          <w:rFonts w:eastAsiaTheme="minorEastAsia" w:hint="eastAsia"/>
          <w:b/>
          <w:i/>
          <w:u w:val="single"/>
        </w:rPr>
        <w:t>:</w:t>
      </w:r>
      <w:r w:rsidRPr="007D289E">
        <w:rPr>
          <w:rFonts w:eastAsiaTheme="minorEastAsia" w:hint="eastAsia"/>
          <w:b/>
          <w:i/>
        </w:rPr>
        <w:t xml:space="preserve"> </w:t>
      </w:r>
      <w:r w:rsidR="00902410">
        <w:rPr>
          <w:rFonts w:eastAsiaTheme="minorEastAsia"/>
          <w:b/>
          <w:i/>
        </w:rPr>
        <w:t xml:space="preserve">Given the RAN plenary decision, it is proposed to use the </w:t>
      </w:r>
      <w:r w:rsidR="00533DD9">
        <w:rPr>
          <w:rFonts w:eastAsiaTheme="minorEastAsia"/>
          <w:b/>
          <w:i/>
        </w:rPr>
        <w:t>capability</w:t>
      </w:r>
      <w:r w:rsidR="00902410">
        <w:rPr>
          <w:rFonts w:eastAsiaTheme="minorEastAsia"/>
          <w:b/>
          <w:i/>
        </w:rPr>
        <w:t xml:space="preserve"> values in the set of {10, 20, 25, 30, 40, 50, 60, 70, 80, 90, 100}</w:t>
      </w:r>
    </w:p>
    <w:p w14:paraId="653BD8F6" w14:textId="77777777" w:rsidR="00496F3A" w:rsidRPr="006C0AF4" w:rsidRDefault="00496F3A" w:rsidP="00496F3A">
      <w:pPr>
        <w:pStyle w:val="Heading1"/>
        <w:numPr>
          <w:ilvl w:val="0"/>
          <w:numId w:val="1"/>
        </w:numPr>
        <w:overflowPunct/>
        <w:autoSpaceDE/>
        <w:autoSpaceDN/>
        <w:adjustRightInd/>
        <w:textAlignment w:val="auto"/>
        <w:rPr>
          <w:rFonts w:cs="Arial"/>
          <w:b/>
          <w:sz w:val="32"/>
          <w:lang w:eastAsia="zh-CN"/>
        </w:rPr>
      </w:pPr>
      <w:r w:rsidRPr="006C0AF4">
        <w:rPr>
          <w:rFonts w:cs="Arial"/>
          <w:b/>
          <w:sz w:val="32"/>
          <w:lang w:eastAsia="zh-CN"/>
        </w:rPr>
        <w:t>Reference</w:t>
      </w:r>
    </w:p>
    <w:p w14:paraId="43FF4ADB" w14:textId="5611E9F9" w:rsidR="00754017" w:rsidRPr="00B76BB8" w:rsidRDefault="008C2847" w:rsidP="00AE6DC9">
      <w:pPr>
        <w:spacing w:after="0"/>
        <w:ind w:left="300" w:hangingChars="150" w:hanging="300"/>
        <w:rPr>
          <w:color w:val="000000" w:themeColor="text1"/>
        </w:rPr>
      </w:pPr>
      <w:r w:rsidRPr="00B76BB8">
        <w:rPr>
          <w:color w:val="000000" w:themeColor="text1"/>
          <w:lang w:eastAsia="zh-CN"/>
        </w:rPr>
        <w:t xml:space="preserve">[1] </w:t>
      </w:r>
      <w:r w:rsidR="00754017" w:rsidRPr="00B76BB8">
        <w:rPr>
          <w:color w:val="000000" w:themeColor="text1"/>
        </w:rPr>
        <w:tab/>
      </w:r>
      <w:r w:rsidR="00D55CAD">
        <w:rPr>
          <w:color w:val="000000" w:themeColor="text1"/>
        </w:rPr>
        <w:t>R4-1900254</w:t>
      </w:r>
      <w:r w:rsidR="00D55CAD">
        <w:rPr>
          <w:rFonts w:hint="eastAsia"/>
          <w:color w:val="000000" w:themeColor="text1"/>
        </w:rPr>
        <w:t xml:space="preserve">, </w:t>
      </w:r>
      <w:r w:rsidR="00D55CAD" w:rsidRPr="00B76BB8">
        <w:rPr>
          <w:color w:val="000000" w:themeColor="text1"/>
        </w:rPr>
        <w:t>“</w:t>
      </w:r>
      <w:r w:rsidR="00D55CAD" w:rsidRPr="00D55CAD">
        <w:rPr>
          <w:color w:val="000000" w:themeColor="text1"/>
        </w:rPr>
        <w:t>Draft CR on clarification of maxUplinkDutyCycle in FR2</w:t>
      </w:r>
      <w:r w:rsidR="00D55CAD" w:rsidRPr="00B76BB8">
        <w:rPr>
          <w:rFonts w:hint="eastAsia"/>
          <w:color w:val="000000" w:themeColor="text1"/>
        </w:rPr>
        <w:t>,</w:t>
      </w:r>
      <w:r w:rsidR="00D55CAD" w:rsidRPr="00B76BB8">
        <w:rPr>
          <w:color w:val="000000" w:themeColor="text1"/>
        </w:rPr>
        <w:t>”</w:t>
      </w:r>
      <w:r w:rsidR="00D55CAD" w:rsidRPr="00B76BB8">
        <w:rPr>
          <w:rFonts w:hint="eastAsia"/>
          <w:color w:val="000000" w:themeColor="text1"/>
        </w:rPr>
        <w:t xml:space="preserve"> </w:t>
      </w:r>
      <w:r w:rsidR="00D55CAD">
        <w:rPr>
          <w:color w:val="000000" w:themeColor="text1"/>
        </w:rPr>
        <w:t>OPPO</w:t>
      </w:r>
      <w:r w:rsidR="00D55CAD">
        <w:rPr>
          <w:rFonts w:hint="eastAsia"/>
          <w:color w:val="000000" w:themeColor="text1"/>
        </w:rPr>
        <w:t>, RAN4 #</w:t>
      </w:r>
      <w:r w:rsidR="00D55CAD">
        <w:rPr>
          <w:color w:val="000000" w:themeColor="text1"/>
        </w:rPr>
        <w:t>90</w:t>
      </w:r>
      <w:r w:rsidR="00D55CAD">
        <w:rPr>
          <w:rFonts w:hint="eastAsia"/>
          <w:color w:val="000000" w:themeColor="text1"/>
        </w:rPr>
        <w:t xml:space="preserve">, </w:t>
      </w:r>
      <w:r w:rsidR="00D55CAD">
        <w:rPr>
          <w:color w:val="000000" w:themeColor="text1"/>
        </w:rPr>
        <w:t>Feb</w:t>
      </w:r>
      <w:r w:rsidR="00D55CAD">
        <w:rPr>
          <w:rFonts w:hint="eastAsia"/>
          <w:color w:val="000000" w:themeColor="text1"/>
        </w:rPr>
        <w:t xml:space="preserve"> 201</w:t>
      </w:r>
      <w:r w:rsidR="00D55CAD">
        <w:rPr>
          <w:color w:val="000000" w:themeColor="text1"/>
        </w:rPr>
        <w:t>9</w:t>
      </w:r>
    </w:p>
    <w:p w14:paraId="33E791AB" w14:textId="7E405DF6" w:rsidR="00EB1AB8" w:rsidRPr="00B76BB8" w:rsidRDefault="00EB1AB8" w:rsidP="00AE6DC9">
      <w:pPr>
        <w:spacing w:after="0"/>
        <w:ind w:left="300" w:hangingChars="150" w:hanging="300"/>
        <w:rPr>
          <w:color w:val="000000" w:themeColor="text1"/>
        </w:rPr>
      </w:pPr>
      <w:r w:rsidRPr="00B76BB8">
        <w:rPr>
          <w:rFonts w:hint="eastAsia"/>
          <w:color w:val="000000" w:themeColor="text1"/>
        </w:rPr>
        <w:t xml:space="preserve">[2] </w:t>
      </w:r>
      <w:r w:rsidR="00D55CAD">
        <w:rPr>
          <w:color w:val="000000" w:themeColor="text1"/>
        </w:rPr>
        <w:t>R4-1902489, “</w:t>
      </w:r>
      <w:r w:rsidR="00D55CAD" w:rsidRPr="00D55CAD">
        <w:rPr>
          <w:color w:val="000000" w:themeColor="text1"/>
        </w:rPr>
        <w:t>LS on FR2 maxUplinkDutyCycle capability values</w:t>
      </w:r>
      <w:r w:rsidR="00D55CAD">
        <w:rPr>
          <w:color w:val="000000" w:themeColor="text1"/>
        </w:rPr>
        <w:t xml:space="preserve">,” OPPO, </w:t>
      </w:r>
      <w:r w:rsidR="00D55CAD">
        <w:rPr>
          <w:rFonts w:hint="eastAsia"/>
          <w:color w:val="000000" w:themeColor="text1"/>
        </w:rPr>
        <w:t>RAN4 #</w:t>
      </w:r>
      <w:r w:rsidR="00D55CAD">
        <w:rPr>
          <w:color w:val="000000" w:themeColor="text1"/>
        </w:rPr>
        <w:t>90</w:t>
      </w:r>
      <w:r w:rsidR="00D55CAD">
        <w:rPr>
          <w:rFonts w:hint="eastAsia"/>
          <w:color w:val="000000" w:themeColor="text1"/>
        </w:rPr>
        <w:t xml:space="preserve">, </w:t>
      </w:r>
      <w:r w:rsidR="00D55CAD">
        <w:rPr>
          <w:color w:val="000000" w:themeColor="text1"/>
        </w:rPr>
        <w:t>Feb</w:t>
      </w:r>
      <w:r w:rsidR="00D55CAD">
        <w:rPr>
          <w:rFonts w:hint="eastAsia"/>
          <w:color w:val="000000" w:themeColor="text1"/>
        </w:rPr>
        <w:t xml:space="preserve"> 201</w:t>
      </w:r>
      <w:r w:rsidR="00D55CAD">
        <w:rPr>
          <w:color w:val="000000" w:themeColor="text1"/>
        </w:rPr>
        <w:t>9</w:t>
      </w:r>
    </w:p>
    <w:p w14:paraId="55CC2C5B" w14:textId="743745FC" w:rsidR="00EB1AB8" w:rsidRPr="00B76BB8" w:rsidRDefault="00EB1AB8" w:rsidP="00AE6DC9">
      <w:pPr>
        <w:spacing w:after="0"/>
        <w:ind w:left="300" w:hangingChars="150" w:hanging="300"/>
        <w:rPr>
          <w:color w:val="000000" w:themeColor="text1"/>
        </w:rPr>
      </w:pPr>
      <w:r w:rsidRPr="00B76BB8">
        <w:rPr>
          <w:rFonts w:hint="eastAsia"/>
          <w:color w:val="000000" w:themeColor="text1"/>
        </w:rPr>
        <w:t xml:space="preserve">[3] </w:t>
      </w:r>
      <w:r w:rsidR="00D55CAD">
        <w:rPr>
          <w:color w:val="000000" w:themeColor="text1"/>
        </w:rPr>
        <w:t>RP-190755, “</w:t>
      </w:r>
      <w:r w:rsidR="00D55CAD" w:rsidRPr="00D55CAD">
        <w:rPr>
          <w:color w:val="000000" w:themeColor="text1"/>
        </w:rPr>
        <w:t>WF on FR2 maximum UL duty cycle</w:t>
      </w:r>
      <w:r w:rsidR="00D55CAD">
        <w:rPr>
          <w:color w:val="000000" w:themeColor="text1"/>
        </w:rPr>
        <w:t>,” Nokia, RAN #83, Mar 2019</w:t>
      </w:r>
    </w:p>
    <w:p w14:paraId="14CE73BB" w14:textId="3511826E" w:rsidR="00362A55" w:rsidRPr="00B76BB8" w:rsidRDefault="00535019" w:rsidP="00AE6DC9">
      <w:pPr>
        <w:spacing w:after="0"/>
        <w:ind w:left="300" w:hangingChars="150" w:hanging="300"/>
        <w:rPr>
          <w:rFonts w:eastAsiaTheme="minorEastAsia"/>
          <w:color w:val="000000" w:themeColor="text1"/>
        </w:rPr>
      </w:pPr>
      <w:r w:rsidRPr="00B76BB8">
        <w:rPr>
          <w:rFonts w:hint="eastAsia"/>
          <w:color w:val="000000" w:themeColor="text1"/>
        </w:rPr>
        <w:t xml:space="preserve">[4] </w:t>
      </w:r>
      <w:r w:rsidR="00092739">
        <w:rPr>
          <w:color w:val="000000" w:themeColor="text1"/>
        </w:rPr>
        <w:t>R4-1814719, “</w:t>
      </w:r>
      <w:r w:rsidR="00092739" w:rsidRPr="00092739">
        <w:rPr>
          <w:color w:val="000000" w:themeColor="text1"/>
        </w:rPr>
        <w:t>Update on RF EMF regulations of relevance for handheld devices operating in the FR2 bands</w:t>
      </w:r>
      <w:r w:rsidR="00092739">
        <w:rPr>
          <w:color w:val="000000" w:themeColor="text1"/>
        </w:rPr>
        <w:t>,” Ericsson, RAN4 #89, Nov 2018</w:t>
      </w:r>
    </w:p>
    <w:sectPr w:rsidR="00362A55" w:rsidRPr="00B76BB8">
      <w:headerReference w:type="even" r:id="rId9"/>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2FA335" w14:textId="77777777" w:rsidR="004754FB" w:rsidRDefault="004754FB">
      <w:pPr>
        <w:spacing w:after="0"/>
      </w:pPr>
      <w:r>
        <w:separator/>
      </w:r>
    </w:p>
  </w:endnote>
  <w:endnote w:type="continuationSeparator" w:id="0">
    <w:p w14:paraId="70421E20" w14:textId="77777777" w:rsidR="004754FB" w:rsidRDefault="00475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4916C7" w14:textId="77777777" w:rsidR="004754FB" w:rsidRDefault="004754FB">
      <w:pPr>
        <w:spacing w:after="0"/>
      </w:pPr>
      <w:r>
        <w:separator/>
      </w:r>
    </w:p>
  </w:footnote>
  <w:footnote w:type="continuationSeparator" w:id="0">
    <w:p w14:paraId="6DFFA8EB" w14:textId="77777777" w:rsidR="004754FB" w:rsidRDefault="004754F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6B3AC" w14:textId="77777777" w:rsidR="00B22669" w:rsidRDefault="00B22669">
    <w:r>
      <w:t xml:space="preserve">Page </w:t>
    </w:r>
    <w:r>
      <w:fldChar w:fldCharType="begin"/>
    </w:r>
    <w:r>
      <w:instrText>PAGE</w:instrText>
    </w:r>
    <w:r>
      <w:fldChar w:fldCharType="separate"/>
    </w:r>
    <w:r>
      <w:rPr>
        <w:noProof/>
      </w:rPr>
      <w:t>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3">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5">
    <w:nsid w:val="257113E4"/>
    <w:multiLevelType w:val="hybridMultilevel"/>
    <w:tmpl w:val="A36E39C2"/>
    <w:lvl w:ilvl="0" w:tplc="86E43F74">
      <w:start w:val="1"/>
      <w:numFmt w:val="decimal"/>
      <w:lvlText w:val="%1."/>
      <w:lvlJc w:val="left"/>
      <w:pPr>
        <w:ind w:left="760" w:hanging="360"/>
      </w:pPr>
      <w:rPr>
        <w:rFonts w:ascii="Times New Roman" w:eastAsiaTheme="minorEastAsia"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8C4CE3"/>
    <w:multiLevelType w:val="hybridMultilevel"/>
    <w:tmpl w:val="C2EC71CA"/>
    <w:lvl w:ilvl="0" w:tplc="7EF03C0A">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7831DC"/>
    <w:multiLevelType w:val="hybridMultilevel"/>
    <w:tmpl w:val="0BF0468A"/>
    <w:lvl w:ilvl="0" w:tplc="041D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25C118A"/>
    <w:multiLevelType w:val="hybridMultilevel"/>
    <w:tmpl w:val="FF12F586"/>
    <w:lvl w:ilvl="0" w:tplc="BADE8586">
      <w:start w:val="1"/>
      <w:numFmt w:val="bullet"/>
      <w:lvlText w:val="•"/>
      <w:lvlJc w:val="left"/>
      <w:pPr>
        <w:tabs>
          <w:tab w:val="num" w:pos="720"/>
        </w:tabs>
        <w:ind w:left="720" w:hanging="360"/>
      </w:pPr>
      <w:rPr>
        <w:rFonts w:ascii="Arial" w:hAnsi="Arial" w:hint="default"/>
      </w:rPr>
    </w:lvl>
    <w:lvl w:ilvl="1" w:tplc="E61A0BB2">
      <w:start w:val="1"/>
      <w:numFmt w:val="bullet"/>
      <w:lvlText w:val="•"/>
      <w:lvlJc w:val="left"/>
      <w:pPr>
        <w:tabs>
          <w:tab w:val="num" w:pos="1440"/>
        </w:tabs>
        <w:ind w:left="1440" w:hanging="360"/>
      </w:pPr>
      <w:rPr>
        <w:rFonts w:ascii="Arial" w:hAnsi="Arial" w:hint="default"/>
      </w:rPr>
    </w:lvl>
    <w:lvl w:ilvl="2" w:tplc="EC3C38A8" w:tentative="1">
      <w:start w:val="1"/>
      <w:numFmt w:val="bullet"/>
      <w:lvlText w:val="•"/>
      <w:lvlJc w:val="left"/>
      <w:pPr>
        <w:tabs>
          <w:tab w:val="num" w:pos="2160"/>
        </w:tabs>
        <w:ind w:left="2160" w:hanging="360"/>
      </w:pPr>
      <w:rPr>
        <w:rFonts w:ascii="Arial" w:hAnsi="Arial" w:hint="default"/>
      </w:rPr>
    </w:lvl>
    <w:lvl w:ilvl="3" w:tplc="FF96B3C2" w:tentative="1">
      <w:start w:val="1"/>
      <w:numFmt w:val="bullet"/>
      <w:lvlText w:val="•"/>
      <w:lvlJc w:val="left"/>
      <w:pPr>
        <w:tabs>
          <w:tab w:val="num" w:pos="2880"/>
        </w:tabs>
        <w:ind w:left="2880" w:hanging="360"/>
      </w:pPr>
      <w:rPr>
        <w:rFonts w:ascii="Arial" w:hAnsi="Arial" w:hint="default"/>
      </w:rPr>
    </w:lvl>
    <w:lvl w:ilvl="4" w:tplc="8B4EBB3C" w:tentative="1">
      <w:start w:val="1"/>
      <w:numFmt w:val="bullet"/>
      <w:lvlText w:val="•"/>
      <w:lvlJc w:val="left"/>
      <w:pPr>
        <w:tabs>
          <w:tab w:val="num" w:pos="3600"/>
        </w:tabs>
        <w:ind w:left="3600" w:hanging="360"/>
      </w:pPr>
      <w:rPr>
        <w:rFonts w:ascii="Arial" w:hAnsi="Arial" w:hint="default"/>
      </w:rPr>
    </w:lvl>
    <w:lvl w:ilvl="5" w:tplc="9206680E" w:tentative="1">
      <w:start w:val="1"/>
      <w:numFmt w:val="bullet"/>
      <w:lvlText w:val="•"/>
      <w:lvlJc w:val="left"/>
      <w:pPr>
        <w:tabs>
          <w:tab w:val="num" w:pos="4320"/>
        </w:tabs>
        <w:ind w:left="4320" w:hanging="360"/>
      </w:pPr>
      <w:rPr>
        <w:rFonts w:ascii="Arial" w:hAnsi="Arial" w:hint="default"/>
      </w:rPr>
    </w:lvl>
    <w:lvl w:ilvl="6" w:tplc="7CE6E37A" w:tentative="1">
      <w:start w:val="1"/>
      <w:numFmt w:val="bullet"/>
      <w:lvlText w:val="•"/>
      <w:lvlJc w:val="left"/>
      <w:pPr>
        <w:tabs>
          <w:tab w:val="num" w:pos="5040"/>
        </w:tabs>
        <w:ind w:left="5040" w:hanging="360"/>
      </w:pPr>
      <w:rPr>
        <w:rFonts w:ascii="Arial" w:hAnsi="Arial" w:hint="default"/>
      </w:rPr>
    </w:lvl>
    <w:lvl w:ilvl="7" w:tplc="63D0A580" w:tentative="1">
      <w:start w:val="1"/>
      <w:numFmt w:val="bullet"/>
      <w:lvlText w:val="•"/>
      <w:lvlJc w:val="left"/>
      <w:pPr>
        <w:tabs>
          <w:tab w:val="num" w:pos="5760"/>
        </w:tabs>
        <w:ind w:left="5760" w:hanging="360"/>
      </w:pPr>
      <w:rPr>
        <w:rFonts w:ascii="Arial" w:hAnsi="Arial" w:hint="default"/>
      </w:rPr>
    </w:lvl>
    <w:lvl w:ilvl="8" w:tplc="9492172A" w:tentative="1">
      <w:start w:val="1"/>
      <w:numFmt w:val="bullet"/>
      <w:lvlText w:val="•"/>
      <w:lvlJc w:val="left"/>
      <w:pPr>
        <w:tabs>
          <w:tab w:val="num" w:pos="6480"/>
        </w:tabs>
        <w:ind w:left="6480" w:hanging="360"/>
      </w:pPr>
      <w:rPr>
        <w:rFonts w:ascii="Arial" w:hAnsi="Arial" w:hint="default"/>
      </w:rPr>
    </w:lvl>
  </w:abstractNum>
  <w:abstractNum w:abstractNumId="10">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28C7D84"/>
    <w:multiLevelType w:val="hybridMultilevel"/>
    <w:tmpl w:val="C2967ECA"/>
    <w:lvl w:ilvl="0" w:tplc="4CFA78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1390F48"/>
    <w:multiLevelType w:val="hybridMultilevel"/>
    <w:tmpl w:val="23526120"/>
    <w:lvl w:ilvl="0" w:tplc="8B8CEFD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EF84854"/>
    <w:multiLevelType w:val="hybridMultilevel"/>
    <w:tmpl w:val="6284EBBC"/>
    <w:lvl w:ilvl="0" w:tplc="955429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5"/>
  </w:num>
  <w:num w:numId="2">
    <w:abstractNumId w:val="4"/>
  </w:num>
  <w:num w:numId="3">
    <w:abstractNumId w:val="2"/>
  </w:num>
  <w:num w:numId="4">
    <w:abstractNumId w:val="10"/>
  </w:num>
  <w:num w:numId="5">
    <w:abstractNumId w:val="3"/>
  </w:num>
  <w:num w:numId="6">
    <w:abstractNumId w:val="11"/>
  </w:num>
  <w:num w:numId="7">
    <w:abstractNumId w:val="6"/>
  </w:num>
  <w:num w:numId="8">
    <w:abstractNumId w:val="1"/>
  </w:num>
  <w:num w:numId="9">
    <w:abstractNumId w:val="14"/>
  </w:num>
  <w:num w:numId="10">
    <w:abstractNumId w:val="0"/>
  </w:num>
  <w:num w:numId="11">
    <w:abstractNumId w:val="8"/>
  </w:num>
  <w:num w:numId="12">
    <w:abstractNumId w:val="13"/>
  </w:num>
  <w:num w:numId="13">
    <w:abstractNumId w:val="12"/>
  </w:num>
  <w:num w:numId="14">
    <w:abstractNumId w:val="5"/>
  </w:num>
  <w:num w:numId="15">
    <w:abstractNumId w:val="16"/>
  </w:num>
  <w:num w:numId="16">
    <w:abstractNumId w:val="9"/>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04062"/>
    <w:rsid w:val="00010E87"/>
    <w:rsid w:val="00014DC2"/>
    <w:rsid w:val="0001544F"/>
    <w:rsid w:val="00017B7F"/>
    <w:rsid w:val="00021987"/>
    <w:rsid w:val="00023C53"/>
    <w:rsid w:val="000246B5"/>
    <w:rsid w:val="000248D6"/>
    <w:rsid w:val="0003409E"/>
    <w:rsid w:val="00041781"/>
    <w:rsid w:val="000422DC"/>
    <w:rsid w:val="00046215"/>
    <w:rsid w:val="0004725B"/>
    <w:rsid w:val="000578B4"/>
    <w:rsid w:val="00072415"/>
    <w:rsid w:val="00074337"/>
    <w:rsid w:val="00076108"/>
    <w:rsid w:val="0008014B"/>
    <w:rsid w:val="00081D02"/>
    <w:rsid w:val="00082D57"/>
    <w:rsid w:val="0008444B"/>
    <w:rsid w:val="00086FB0"/>
    <w:rsid w:val="000925B4"/>
    <w:rsid w:val="00092739"/>
    <w:rsid w:val="0009345E"/>
    <w:rsid w:val="00096503"/>
    <w:rsid w:val="000A06EA"/>
    <w:rsid w:val="000B67E3"/>
    <w:rsid w:val="000B6C7E"/>
    <w:rsid w:val="000C0248"/>
    <w:rsid w:val="000C66C8"/>
    <w:rsid w:val="000D61B8"/>
    <w:rsid w:val="000E09C8"/>
    <w:rsid w:val="000E64B8"/>
    <w:rsid w:val="000F728E"/>
    <w:rsid w:val="00104938"/>
    <w:rsid w:val="001063AF"/>
    <w:rsid w:val="00106A35"/>
    <w:rsid w:val="001130B8"/>
    <w:rsid w:val="0011714C"/>
    <w:rsid w:val="001264F4"/>
    <w:rsid w:val="0013115E"/>
    <w:rsid w:val="00133865"/>
    <w:rsid w:val="001452B6"/>
    <w:rsid w:val="00152B6B"/>
    <w:rsid w:val="001634D6"/>
    <w:rsid w:val="00163822"/>
    <w:rsid w:val="00164D22"/>
    <w:rsid w:val="00165012"/>
    <w:rsid w:val="00171F70"/>
    <w:rsid w:val="00191915"/>
    <w:rsid w:val="00195A11"/>
    <w:rsid w:val="001A0C49"/>
    <w:rsid w:val="001A73D3"/>
    <w:rsid w:val="001B08DE"/>
    <w:rsid w:val="001B6D65"/>
    <w:rsid w:val="001B7654"/>
    <w:rsid w:val="001D254B"/>
    <w:rsid w:val="001D4472"/>
    <w:rsid w:val="001E1D3C"/>
    <w:rsid w:val="001E3B69"/>
    <w:rsid w:val="001E3DFF"/>
    <w:rsid w:val="001E46C7"/>
    <w:rsid w:val="001E5135"/>
    <w:rsid w:val="001F56D4"/>
    <w:rsid w:val="001F6988"/>
    <w:rsid w:val="00204A95"/>
    <w:rsid w:val="00215E86"/>
    <w:rsid w:val="00220130"/>
    <w:rsid w:val="00231192"/>
    <w:rsid w:val="00231668"/>
    <w:rsid w:val="00234B08"/>
    <w:rsid w:val="0023557E"/>
    <w:rsid w:val="00235B6F"/>
    <w:rsid w:val="00236DF9"/>
    <w:rsid w:val="0024633E"/>
    <w:rsid w:val="00246DC8"/>
    <w:rsid w:val="00247E61"/>
    <w:rsid w:val="002501DF"/>
    <w:rsid w:val="00253B02"/>
    <w:rsid w:val="00254DDA"/>
    <w:rsid w:val="00261C50"/>
    <w:rsid w:val="002810AA"/>
    <w:rsid w:val="002871D3"/>
    <w:rsid w:val="002B29BD"/>
    <w:rsid w:val="002B7852"/>
    <w:rsid w:val="002C178A"/>
    <w:rsid w:val="002D1614"/>
    <w:rsid w:val="002D2864"/>
    <w:rsid w:val="002D5624"/>
    <w:rsid w:val="002D7C09"/>
    <w:rsid w:val="002E09EE"/>
    <w:rsid w:val="002E1DDA"/>
    <w:rsid w:val="002E4E7A"/>
    <w:rsid w:val="002E5A3C"/>
    <w:rsid w:val="002F096F"/>
    <w:rsid w:val="00302378"/>
    <w:rsid w:val="003038E4"/>
    <w:rsid w:val="00304C33"/>
    <w:rsid w:val="00304D28"/>
    <w:rsid w:val="003102D4"/>
    <w:rsid w:val="003126B9"/>
    <w:rsid w:val="00326297"/>
    <w:rsid w:val="00332FAF"/>
    <w:rsid w:val="0033557D"/>
    <w:rsid w:val="00337C8E"/>
    <w:rsid w:val="0034560F"/>
    <w:rsid w:val="0034684A"/>
    <w:rsid w:val="00362A55"/>
    <w:rsid w:val="00363B09"/>
    <w:rsid w:val="0036695C"/>
    <w:rsid w:val="00377F46"/>
    <w:rsid w:val="0038313B"/>
    <w:rsid w:val="00384695"/>
    <w:rsid w:val="003939C1"/>
    <w:rsid w:val="00397C7D"/>
    <w:rsid w:val="003A25CD"/>
    <w:rsid w:val="003A4C45"/>
    <w:rsid w:val="003A54B0"/>
    <w:rsid w:val="003B780E"/>
    <w:rsid w:val="003C2E86"/>
    <w:rsid w:val="003C4415"/>
    <w:rsid w:val="003C5633"/>
    <w:rsid w:val="003C75E4"/>
    <w:rsid w:val="003E4BB4"/>
    <w:rsid w:val="003E4D5F"/>
    <w:rsid w:val="003E67C6"/>
    <w:rsid w:val="003F17A9"/>
    <w:rsid w:val="003F32EA"/>
    <w:rsid w:val="003F62F7"/>
    <w:rsid w:val="0040060A"/>
    <w:rsid w:val="00403F52"/>
    <w:rsid w:val="00406ACF"/>
    <w:rsid w:val="00415198"/>
    <w:rsid w:val="0041777A"/>
    <w:rsid w:val="004178A3"/>
    <w:rsid w:val="004221C5"/>
    <w:rsid w:val="00422A6E"/>
    <w:rsid w:val="00423648"/>
    <w:rsid w:val="00423AC7"/>
    <w:rsid w:val="0042709E"/>
    <w:rsid w:val="00434D0C"/>
    <w:rsid w:val="00444EB3"/>
    <w:rsid w:val="00451639"/>
    <w:rsid w:val="00461F71"/>
    <w:rsid w:val="00465EC1"/>
    <w:rsid w:val="004754FB"/>
    <w:rsid w:val="004846D6"/>
    <w:rsid w:val="00487F11"/>
    <w:rsid w:val="00494513"/>
    <w:rsid w:val="00495BA6"/>
    <w:rsid w:val="00496F3A"/>
    <w:rsid w:val="004A01A2"/>
    <w:rsid w:val="004A1EDF"/>
    <w:rsid w:val="004A27DA"/>
    <w:rsid w:val="004A57F6"/>
    <w:rsid w:val="004C6D25"/>
    <w:rsid w:val="004D21C5"/>
    <w:rsid w:val="004E1B87"/>
    <w:rsid w:val="004E236D"/>
    <w:rsid w:val="004F0E1D"/>
    <w:rsid w:val="005002A3"/>
    <w:rsid w:val="005006D8"/>
    <w:rsid w:val="00503ECD"/>
    <w:rsid w:val="0050669F"/>
    <w:rsid w:val="00507D0B"/>
    <w:rsid w:val="00511300"/>
    <w:rsid w:val="005134FC"/>
    <w:rsid w:val="005247FD"/>
    <w:rsid w:val="005255CA"/>
    <w:rsid w:val="005255D7"/>
    <w:rsid w:val="00526925"/>
    <w:rsid w:val="005326A1"/>
    <w:rsid w:val="00533DD9"/>
    <w:rsid w:val="00533EDC"/>
    <w:rsid w:val="00534063"/>
    <w:rsid w:val="00535019"/>
    <w:rsid w:val="0054059A"/>
    <w:rsid w:val="00545015"/>
    <w:rsid w:val="005459C1"/>
    <w:rsid w:val="00551AC5"/>
    <w:rsid w:val="005525D8"/>
    <w:rsid w:val="00563610"/>
    <w:rsid w:val="0056478C"/>
    <w:rsid w:val="00572576"/>
    <w:rsid w:val="005753CE"/>
    <w:rsid w:val="005825D3"/>
    <w:rsid w:val="00584DE0"/>
    <w:rsid w:val="00586CDC"/>
    <w:rsid w:val="0059095F"/>
    <w:rsid w:val="0059480A"/>
    <w:rsid w:val="005A0F98"/>
    <w:rsid w:val="005A2686"/>
    <w:rsid w:val="005A68A4"/>
    <w:rsid w:val="005B4ACD"/>
    <w:rsid w:val="005B4C2D"/>
    <w:rsid w:val="005B5F4E"/>
    <w:rsid w:val="005B6048"/>
    <w:rsid w:val="005C4381"/>
    <w:rsid w:val="005C4634"/>
    <w:rsid w:val="005C55EF"/>
    <w:rsid w:val="005C6924"/>
    <w:rsid w:val="005D317B"/>
    <w:rsid w:val="005D747A"/>
    <w:rsid w:val="005E4984"/>
    <w:rsid w:val="005E4B2F"/>
    <w:rsid w:val="005E5943"/>
    <w:rsid w:val="005E750D"/>
    <w:rsid w:val="005E79AB"/>
    <w:rsid w:val="0060009C"/>
    <w:rsid w:val="00600E3C"/>
    <w:rsid w:val="00607475"/>
    <w:rsid w:val="00607D15"/>
    <w:rsid w:val="00611C91"/>
    <w:rsid w:val="00622F9B"/>
    <w:rsid w:val="00632877"/>
    <w:rsid w:val="00633B07"/>
    <w:rsid w:val="00641004"/>
    <w:rsid w:val="006413FF"/>
    <w:rsid w:val="00645253"/>
    <w:rsid w:val="0064707F"/>
    <w:rsid w:val="00647BF1"/>
    <w:rsid w:val="006549B9"/>
    <w:rsid w:val="006575D5"/>
    <w:rsid w:val="0066120D"/>
    <w:rsid w:val="006633B6"/>
    <w:rsid w:val="00665A4D"/>
    <w:rsid w:val="00680416"/>
    <w:rsid w:val="00682A76"/>
    <w:rsid w:val="0069382A"/>
    <w:rsid w:val="006A205D"/>
    <w:rsid w:val="006A7C69"/>
    <w:rsid w:val="006B164C"/>
    <w:rsid w:val="006B3CAC"/>
    <w:rsid w:val="006B76ED"/>
    <w:rsid w:val="006C0AF4"/>
    <w:rsid w:val="006C426D"/>
    <w:rsid w:val="006C4D42"/>
    <w:rsid w:val="006D033D"/>
    <w:rsid w:val="006D0CA1"/>
    <w:rsid w:val="006D1978"/>
    <w:rsid w:val="006E4B19"/>
    <w:rsid w:val="006E6F49"/>
    <w:rsid w:val="006E726B"/>
    <w:rsid w:val="006F1418"/>
    <w:rsid w:val="006F6915"/>
    <w:rsid w:val="006F7E6A"/>
    <w:rsid w:val="007008CF"/>
    <w:rsid w:val="00702A84"/>
    <w:rsid w:val="007042BE"/>
    <w:rsid w:val="007137C7"/>
    <w:rsid w:val="00714AA6"/>
    <w:rsid w:val="007164F5"/>
    <w:rsid w:val="00722BCC"/>
    <w:rsid w:val="00733719"/>
    <w:rsid w:val="00735207"/>
    <w:rsid w:val="00740025"/>
    <w:rsid w:val="00743A6D"/>
    <w:rsid w:val="00746DCE"/>
    <w:rsid w:val="00747343"/>
    <w:rsid w:val="00751672"/>
    <w:rsid w:val="00752C78"/>
    <w:rsid w:val="00753F41"/>
    <w:rsid w:val="00754017"/>
    <w:rsid w:val="00763476"/>
    <w:rsid w:val="00771E26"/>
    <w:rsid w:val="007728B1"/>
    <w:rsid w:val="00773D4E"/>
    <w:rsid w:val="007779B7"/>
    <w:rsid w:val="00781B1B"/>
    <w:rsid w:val="00785732"/>
    <w:rsid w:val="0078789A"/>
    <w:rsid w:val="00793A9D"/>
    <w:rsid w:val="007945D4"/>
    <w:rsid w:val="007B03EC"/>
    <w:rsid w:val="007C0799"/>
    <w:rsid w:val="007C2266"/>
    <w:rsid w:val="007C2F2B"/>
    <w:rsid w:val="007C2F39"/>
    <w:rsid w:val="007C5A6F"/>
    <w:rsid w:val="007C7675"/>
    <w:rsid w:val="007D0B67"/>
    <w:rsid w:val="007D289E"/>
    <w:rsid w:val="007D536B"/>
    <w:rsid w:val="007F0F93"/>
    <w:rsid w:val="008025F1"/>
    <w:rsid w:val="0080574A"/>
    <w:rsid w:val="00805BAE"/>
    <w:rsid w:val="0080608F"/>
    <w:rsid w:val="00810B86"/>
    <w:rsid w:val="00816E0C"/>
    <w:rsid w:val="008231DA"/>
    <w:rsid w:val="0082611B"/>
    <w:rsid w:val="008277D0"/>
    <w:rsid w:val="00831B9C"/>
    <w:rsid w:val="00843EEE"/>
    <w:rsid w:val="00852B87"/>
    <w:rsid w:val="00852D2A"/>
    <w:rsid w:val="0085394F"/>
    <w:rsid w:val="00857AED"/>
    <w:rsid w:val="008732FD"/>
    <w:rsid w:val="00873F9E"/>
    <w:rsid w:val="00876F4D"/>
    <w:rsid w:val="00883C82"/>
    <w:rsid w:val="008908C5"/>
    <w:rsid w:val="00890FCE"/>
    <w:rsid w:val="00897EF7"/>
    <w:rsid w:val="008A02E1"/>
    <w:rsid w:val="008A07AD"/>
    <w:rsid w:val="008A2644"/>
    <w:rsid w:val="008A6783"/>
    <w:rsid w:val="008B2816"/>
    <w:rsid w:val="008B2DE2"/>
    <w:rsid w:val="008B6826"/>
    <w:rsid w:val="008B7D04"/>
    <w:rsid w:val="008C2847"/>
    <w:rsid w:val="008C2A2F"/>
    <w:rsid w:val="008D34A2"/>
    <w:rsid w:val="008D7831"/>
    <w:rsid w:val="008E57A9"/>
    <w:rsid w:val="008E7D07"/>
    <w:rsid w:val="008F0359"/>
    <w:rsid w:val="008F1D1A"/>
    <w:rsid w:val="008F46B2"/>
    <w:rsid w:val="008F4FCE"/>
    <w:rsid w:val="00902410"/>
    <w:rsid w:val="00902E42"/>
    <w:rsid w:val="009033F5"/>
    <w:rsid w:val="009105EF"/>
    <w:rsid w:val="00922239"/>
    <w:rsid w:val="00922836"/>
    <w:rsid w:val="00924914"/>
    <w:rsid w:val="00924BB5"/>
    <w:rsid w:val="00925F0E"/>
    <w:rsid w:val="00930FBA"/>
    <w:rsid w:val="00931DBF"/>
    <w:rsid w:val="0093496F"/>
    <w:rsid w:val="00935768"/>
    <w:rsid w:val="00936B07"/>
    <w:rsid w:val="00937DCA"/>
    <w:rsid w:val="0094500F"/>
    <w:rsid w:val="00954240"/>
    <w:rsid w:val="00956E25"/>
    <w:rsid w:val="00957086"/>
    <w:rsid w:val="009600E9"/>
    <w:rsid w:val="00963922"/>
    <w:rsid w:val="00964EA1"/>
    <w:rsid w:val="00967F19"/>
    <w:rsid w:val="009755A4"/>
    <w:rsid w:val="00982A28"/>
    <w:rsid w:val="0098310E"/>
    <w:rsid w:val="009831A2"/>
    <w:rsid w:val="00983B99"/>
    <w:rsid w:val="00987431"/>
    <w:rsid w:val="009875A2"/>
    <w:rsid w:val="0099052D"/>
    <w:rsid w:val="00993635"/>
    <w:rsid w:val="00994AEB"/>
    <w:rsid w:val="00994F82"/>
    <w:rsid w:val="009A1E55"/>
    <w:rsid w:val="009A555C"/>
    <w:rsid w:val="009B26DF"/>
    <w:rsid w:val="009B3003"/>
    <w:rsid w:val="009B5801"/>
    <w:rsid w:val="009C0332"/>
    <w:rsid w:val="009C0B48"/>
    <w:rsid w:val="009C1693"/>
    <w:rsid w:val="009C17E4"/>
    <w:rsid w:val="009D226C"/>
    <w:rsid w:val="009D3FAF"/>
    <w:rsid w:val="009E321D"/>
    <w:rsid w:val="009E5664"/>
    <w:rsid w:val="009E6D1A"/>
    <w:rsid w:val="009F0911"/>
    <w:rsid w:val="009F1629"/>
    <w:rsid w:val="009F1F6C"/>
    <w:rsid w:val="009F3533"/>
    <w:rsid w:val="009F5F63"/>
    <w:rsid w:val="009F6517"/>
    <w:rsid w:val="009F6805"/>
    <w:rsid w:val="009F7B05"/>
    <w:rsid w:val="00A016C6"/>
    <w:rsid w:val="00A0565D"/>
    <w:rsid w:val="00A27BDF"/>
    <w:rsid w:val="00A30C6F"/>
    <w:rsid w:val="00A4390A"/>
    <w:rsid w:val="00A45E59"/>
    <w:rsid w:val="00A4677F"/>
    <w:rsid w:val="00A51E32"/>
    <w:rsid w:val="00A54BFD"/>
    <w:rsid w:val="00A57EC6"/>
    <w:rsid w:val="00A60F64"/>
    <w:rsid w:val="00A629C8"/>
    <w:rsid w:val="00A63DC2"/>
    <w:rsid w:val="00A656AB"/>
    <w:rsid w:val="00A7425A"/>
    <w:rsid w:val="00A762D5"/>
    <w:rsid w:val="00A77966"/>
    <w:rsid w:val="00A8082D"/>
    <w:rsid w:val="00A83E08"/>
    <w:rsid w:val="00A862D0"/>
    <w:rsid w:val="00A93420"/>
    <w:rsid w:val="00A94BA2"/>
    <w:rsid w:val="00A95FF6"/>
    <w:rsid w:val="00A979EA"/>
    <w:rsid w:val="00AA0DC2"/>
    <w:rsid w:val="00AA1262"/>
    <w:rsid w:val="00AA27DF"/>
    <w:rsid w:val="00AB094F"/>
    <w:rsid w:val="00AB10A3"/>
    <w:rsid w:val="00AB44A3"/>
    <w:rsid w:val="00AC4CC0"/>
    <w:rsid w:val="00AC65EA"/>
    <w:rsid w:val="00AD249B"/>
    <w:rsid w:val="00AD32CF"/>
    <w:rsid w:val="00AD7C55"/>
    <w:rsid w:val="00AE6DC9"/>
    <w:rsid w:val="00AE7ACF"/>
    <w:rsid w:val="00B033DF"/>
    <w:rsid w:val="00B11D03"/>
    <w:rsid w:val="00B11FD2"/>
    <w:rsid w:val="00B15215"/>
    <w:rsid w:val="00B15B71"/>
    <w:rsid w:val="00B17603"/>
    <w:rsid w:val="00B22669"/>
    <w:rsid w:val="00B23B78"/>
    <w:rsid w:val="00B23B7C"/>
    <w:rsid w:val="00B24CCE"/>
    <w:rsid w:val="00B34034"/>
    <w:rsid w:val="00B3561B"/>
    <w:rsid w:val="00B35854"/>
    <w:rsid w:val="00B37A59"/>
    <w:rsid w:val="00B419AC"/>
    <w:rsid w:val="00B41BD4"/>
    <w:rsid w:val="00B42FF5"/>
    <w:rsid w:val="00B43B9F"/>
    <w:rsid w:val="00B44CD7"/>
    <w:rsid w:val="00B45735"/>
    <w:rsid w:val="00B616D1"/>
    <w:rsid w:val="00B63356"/>
    <w:rsid w:val="00B639DB"/>
    <w:rsid w:val="00B71CAF"/>
    <w:rsid w:val="00B73AAD"/>
    <w:rsid w:val="00B76BB8"/>
    <w:rsid w:val="00B84E91"/>
    <w:rsid w:val="00B9069D"/>
    <w:rsid w:val="00B95ECE"/>
    <w:rsid w:val="00BA4621"/>
    <w:rsid w:val="00BB2A12"/>
    <w:rsid w:val="00BB3FEB"/>
    <w:rsid w:val="00BB5946"/>
    <w:rsid w:val="00BB6C9C"/>
    <w:rsid w:val="00BC2E15"/>
    <w:rsid w:val="00BD4239"/>
    <w:rsid w:val="00BE589C"/>
    <w:rsid w:val="00BE5F23"/>
    <w:rsid w:val="00BF28EC"/>
    <w:rsid w:val="00BF4E8A"/>
    <w:rsid w:val="00BF52D4"/>
    <w:rsid w:val="00BF5EB1"/>
    <w:rsid w:val="00BF67D9"/>
    <w:rsid w:val="00C032CF"/>
    <w:rsid w:val="00C03CFA"/>
    <w:rsid w:val="00C05177"/>
    <w:rsid w:val="00C05F52"/>
    <w:rsid w:val="00C06BC0"/>
    <w:rsid w:val="00C1061C"/>
    <w:rsid w:val="00C2022D"/>
    <w:rsid w:val="00C25BF9"/>
    <w:rsid w:val="00C31506"/>
    <w:rsid w:val="00C367B2"/>
    <w:rsid w:val="00C36ED8"/>
    <w:rsid w:val="00C37CEE"/>
    <w:rsid w:val="00C43FAE"/>
    <w:rsid w:val="00C46A45"/>
    <w:rsid w:val="00C47C3A"/>
    <w:rsid w:val="00C8308E"/>
    <w:rsid w:val="00C926BE"/>
    <w:rsid w:val="00CA162E"/>
    <w:rsid w:val="00CB4C87"/>
    <w:rsid w:val="00CC0D20"/>
    <w:rsid w:val="00CC397E"/>
    <w:rsid w:val="00CD313E"/>
    <w:rsid w:val="00CD6C0A"/>
    <w:rsid w:val="00CE271B"/>
    <w:rsid w:val="00CE2CEE"/>
    <w:rsid w:val="00CE5B18"/>
    <w:rsid w:val="00D00B48"/>
    <w:rsid w:val="00D019E3"/>
    <w:rsid w:val="00D04BC0"/>
    <w:rsid w:val="00D14DED"/>
    <w:rsid w:val="00D15F47"/>
    <w:rsid w:val="00D20895"/>
    <w:rsid w:val="00D21929"/>
    <w:rsid w:val="00D2288A"/>
    <w:rsid w:val="00D258D9"/>
    <w:rsid w:val="00D374EE"/>
    <w:rsid w:val="00D50A20"/>
    <w:rsid w:val="00D513B1"/>
    <w:rsid w:val="00D51E63"/>
    <w:rsid w:val="00D55CAD"/>
    <w:rsid w:val="00D63394"/>
    <w:rsid w:val="00D6369E"/>
    <w:rsid w:val="00D721FD"/>
    <w:rsid w:val="00D72855"/>
    <w:rsid w:val="00D7647F"/>
    <w:rsid w:val="00D76C24"/>
    <w:rsid w:val="00D77D7F"/>
    <w:rsid w:val="00D83559"/>
    <w:rsid w:val="00D85994"/>
    <w:rsid w:val="00D93A5D"/>
    <w:rsid w:val="00D94DC3"/>
    <w:rsid w:val="00DA3268"/>
    <w:rsid w:val="00DA4C7F"/>
    <w:rsid w:val="00DB0743"/>
    <w:rsid w:val="00DB13D1"/>
    <w:rsid w:val="00DB2159"/>
    <w:rsid w:val="00DB30BD"/>
    <w:rsid w:val="00DC2E3D"/>
    <w:rsid w:val="00DD41C6"/>
    <w:rsid w:val="00DD710F"/>
    <w:rsid w:val="00DE2C99"/>
    <w:rsid w:val="00DE47C7"/>
    <w:rsid w:val="00DE591D"/>
    <w:rsid w:val="00DE73C9"/>
    <w:rsid w:val="00DF0A00"/>
    <w:rsid w:val="00DF66E7"/>
    <w:rsid w:val="00DF7454"/>
    <w:rsid w:val="00E004DD"/>
    <w:rsid w:val="00E1039C"/>
    <w:rsid w:val="00E11575"/>
    <w:rsid w:val="00E16D59"/>
    <w:rsid w:val="00E312F5"/>
    <w:rsid w:val="00E33222"/>
    <w:rsid w:val="00E33DC2"/>
    <w:rsid w:val="00E35B7E"/>
    <w:rsid w:val="00E45771"/>
    <w:rsid w:val="00E50D19"/>
    <w:rsid w:val="00E551C5"/>
    <w:rsid w:val="00E7559C"/>
    <w:rsid w:val="00E75629"/>
    <w:rsid w:val="00E76ED0"/>
    <w:rsid w:val="00E77351"/>
    <w:rsid w:val="00E804FF"/>
    <w:rsid w:val="00E85778"/>
    <w:rsid w:val="00E8757E"/>
    <w:rsid w:val="00E905B8"/>
    <w:rsid w:val="00E906FB"/>
    <w:rsid w:val="00E914F1"/>
    <w:rsid w:val="00E915DE"/>
    <w:rsid w:val="00E92DAA"/>
    <w:rsid w:val="00EA1683"/>
    <w:rsid w:val="00EA1F43"/>
    <w:rsid w:val="00EA74E3"/>
    <w:rsid w:val="00EB0B9A"/>
    <w:rsid w:val="00EB1AB8"/>
    <w:rsid w:val="00EB2B88"/>
    <w:rsid w:val="00EB43DB"/>
    <w:rsid w:val="00EC0C7E"/>
    <w:rsid w:val="00EC62D3"/>
    <w:rsid w:val="00EC6306"/>
    <w:rsid w:val="00ED036B"/>
    <w:rsid w:val="00ED6302"/>
    <w:rsid w:val="00ED7C4A"/>
    <w:rsid w:val="00EE3DA8"/>
    <w:rsid w:val="00EF206D"/>
    <w:rsid w:val="00EF2B15"/>
    <w:rsid w:val="00EF3AAE"/>
    <w:rsid w:val="00F044E0"/>
    <w:rsid w:val="00F07E54"/>
    <w:rsid w:val="00F10BD7"/>
    <w:rsid w:val="00F15735"/>
    <w:rsid w:val="00F22742"/>
    <w:rsid w:val="00F246B6"/>
    <w:rsid w:val="00F24B4C"/>
    <w:rsid w:val="00F31354"/>
    <w:rsid w:val="00F33999"/>
    <w:rsid w:val="00F34230"/>
    <w:rsid w:val="00F40BF4"/>
    <w:rsid w:val="00F41627"/>
    <w:rsid w:val="00F4269E"/>
    <w:rsid w:val="00F466F1"/>
    <w:rsid w:val="00F52C70"/>
    <w:rsid w:val="00F55B75"/>
    <w:rsid w:val="00F55E24"/>
    <w:rsid w:val="00F623ED"/>
    <w:rsid w:val="00F64181"/>
    <w:rsid w:val="00F64675"/>
    <w:rsid w:val="00F66B7F"/>
    <w:rsid w:val="00F70B68"/>
    <w:rsid w:val="00F70D4C"/>
    <w:rsid w:val="00F769F4"/>
    <w:rsid w:val="00F800EA"/>
    <w:rsid w:val="00F814EA"/>
    <w:rsid w:val="00F82187"/>
    <w:rsid w:val="00F85D7C"/>
    <w:rsid w:val="00F91844"/>
    <w:rsid w:val="00F91D6D"/>
    <w:rsid w:val="00FA207D"/>
    <w:rsid w:val="00FA61F2"/>
    <w:rsid w:val="00FB36B4"/>
    <w:rsid w:val="00FB4116"/>
    <w:rsid w:val="00FB67C1"/>
    <w:rsid w:val="00FC08FA"/>
    <w:rsid w:val="00FC0C77"/>
    <w:rsid w:val="00FC4C15"/>
    <w:rsid w:val="00FD2D93"/>
    <w:rsid w:val="00FD4794"/>
    <w:rsid w:val="00FE5EDD"/>
    <w:rsid w:val="00FE7913"/>
    <w:rsid w:val="00FF163E"/>
    <w:rsid w:val="00FF3B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CE0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Heading1">
    <w:name w:val="heading 1"/>
    <w:aliases w:val="H1,Memo Heading 1,h1 + 11 pt,Before:  6 pt,After:  0 pt"/>
    <w:next w:val="Normal"/>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Heading2">
    <w:name w:val="heading 2"/>
    <w:basedOn w:val="Heading1"/>
    <w:next w:val="Normal"/>
    <w:qFormat/>
    <w:rsid w:val="005E4984"/>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5E49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5E4984"/>
    <w:pPr>
      <w:ind w:left="1418" w:hanging="1418"/>
      <w:outlineLvl w:val="3"/>
    </w:pPr>
    <w:rPr>
      <w:sz w:val="24"/>
    </w:rPr>
  </w:style>
  <w:style w:type="paragraph" w:styleId="Heading5">
    <w:name w:val="heading 5"/>
    <w:basedOn w:val="Heading4"/>
    <w:next w:val="Normal"/>
    <w:qFormat/>
    <w:rsid w:val="005E4984"/>
    <w:pPr>
      <w:ind w:left="1701" w:hanging="1701"/>
      <w:outlineLvl w:val="4"/>
    </w:pPr>
    <w:rPr>
      <w:sz w:val="22"/>
    </w:rPr>
  </w:style>
  <w:style w:type="paragraph" w:styleId="Heading6">
    <w:name w:val="heading 6"/>
    <w:basedOn w:val="H6"/>
    <w:next w:val="Normal"/>
    <w:qFormat/>
    <w:rsid w:val="005E4984"/>
    <w:pPr>
      <w:outlineLvl w:val="5"/>
    </w:pPr>
  </w:style>
  <w:style w:type="paragraph" w:styleId="Heading7">
    <w:name w:val="heading 7"/>
    <w:basedOn w:val="H6"/>
    <w:next w:val="Normal"/>
    <w:qFormat/>
    <w:rsid w:val="005E4984"/>
    <w:pPr>
      <w:outlineLvl w:val="6"/>
    </w:pPr>
  </w:style>
  <w:style w:type="paragraph" w:styleId="Heading8">
    <w:name w:val="heading 8"/>
    <w:basedOn w:val="Heading1"/>
    <w:next w:val="Normal"/>
    <w:qFormat/>
    <w:rsid w:val="005E4984"/>
    <w:pPr>
      <w:ind w:left="0" w:firstLine="0"/>
      <w:outlineLvl w:val="7"/>
    </w:pPr>
  </w:style>
  <w:style w:type="paragraph" w:styleId="Heading9">
    <w:name w:val="heading 9"/>
    <w:basedOn w:val="Heading8"/>
    <w:next w:val="Normal"/>
    <w:qFormat/>
    <w:rsid w:val="005E4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E4984"/>
    <w:pPr>
      <w:spacing w:before="180"/>
      <w:ind w:left="2693" w:hanging="2693"/>
    </w:pPr>
    <w:rPr>
      <w:b/>
    </w:rPr>
  </w:style>
  <w:style w:type="paragraph" w:styleId="TOC1">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TOC5">
    <w:name w:val="toc 5"/>
    <w:basedOn w:val="TOC4"/>
    <w:semiHidden/>
    <w:rsid w:val="005E4984"/>
    <w:pPr>
      <w:ind w:left="1701" w:hanging="1701"/>
    </w:pPr>
  </w:style>
  <w:style w:type="paragraph" w:styleId="TOC4">
    <w:name w:val="toc 4"/>
    <w:basedOn w:val="TOC3"/>
    <w:semiHidden/>
    <w:rsid w:val="005E4984"/>
    <w:pPr>
      <w:ind w:left="1418" w:hanging="1418"/>
    </w:pPr>
  </w:style>
  <w:style w:type="paragraph" w:styleId="TOC3">
    <w:name w:val="toc 3"/>
    <w:basedOn w:val="TOC2"/>
    <w:semiHidden/>
    <w:rsid w:val="005E4984"/>
    <w:pPr>
      <w:ind w:left="1134" w:hanging="1134"/>
    </w:pPr>
  </w:style>
  <w:style w:type="paragraph" w:styleId="TOC2">
    <w:name w:val="toc 2"/>
    <w:basedOn w:val="TOC1"/>
    <w:semiHidden/>
    <w:rsid w:val="005E4984"/>
    <w:pPr>
      <w:keepNext w:val="0"/>
      <w:spacing w:before="0"/>
      <w:ind w:left="851" w:hanging="851"/>
    </w:pPr>
    <w:rPr>
      <w:sz w:val="20"/>
    </w:rPr>
  </w:style>
  <w:style w:type="paragraph" w:styleId="Index2">
    <w:name w:val="index 2"/>
    <w:basedOn w:val="Index1"/>
    <w:semiHidden/>
    <w:rsid w:val="005E4984"/>
    <w:pPr>
      <w:ind w:left="284"/>
    </w:pPr>
  </w:style>
  <w:style w:type="paragraph" w:styleId="Index1">
    <w:name w:val="index 1"/>
    <w:basedOn w:val="Normal"/>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Heading1"/>
    <w:next w:val="Normal"/>
    <w:rsid w:val="005E4984"/>
    <w:pPr>
      <w:outlineLvl w:val="9"/>
    </w:pPr>
  </w:style>
  <w:style w:type="paragraph" w:styleId="ListNumber2">
    <w:name w:val="List Number 2"/>
    <w:basedOn w:val="ListNumber"/>
    <w:semiHidden/>
    <w:rsid w:val="005E498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FootnoteReference">
    <w:name w:val="footnote reference"/>
    <w:basedOn w:val="DefaultParagraphFont"/>
    <w:semiHidden/>
    <w:rsid w:val="005E4984"/>
    <w:rPr>
      <w:b/>
      <w:position w:val="6"/>
      <w:sz w:val="16"/>
    </w:rPr>
  </w:style>
  <w:style w:type="paragraph" w:styleId="FootnoteText">
    <w:name w:val="footnote text"/>
    <w:basedOn w:val="Normal"/>
    <w:semiHidden/>
    <w:rsid w:val="005E4984"/>
    <w:pPr>
      <w:keepLines/>
      <w:spacing w:after="0"/>
      <w:ind w:left="454" w:hanging="454"/>
    </w:pPr>
    <w:rPr>
      <w:sz w:val="16"/>
    </w:rPr>
  </w:style>
  <w:style w:type="paragraph" w:customStyle="1" w:styleId="TAH">
    <w:name w:val="TAH"/>
    <w:basedOn w:val="TAC"/>
    <w:rsid w:val="005E4984"/>
    <w:rPr>
      <w:b/>
    </w:rPr>
  </w:style>
  <w:style w:type="paragraph" w:customStyle="1" w:styleId="TAC">
    <w:name w:val="TAC"/>
    <w:basedOn w:val="TAL"/>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Normal"/>
    <w:rsid w:val="005E4984"/>
    <w:pPr>
      <w:keepLines/>
      <w:ind w:left="1135" w:hanging="851"/>
    </w:pPr>
  </w:style>
  <w:style w:type="paragraph" w:styleId="TOC9">
    <w:name w:val="toc 9"/>
    <w:basedOn w:val="TOC8"/>
    <w:semiHidden/>
    <w:rsid w:val="005E4984"/>
    <w:pPr>
      <w:ind w:left="1418" w:hanging="1418"/>
    </w:pPr>
  </w:style>
  <w:style w:type="paragraph" w:customStyle="1" w:styleId="EX">
    <w:name w:val="EX"/>
    <w:basedOn w:val="Normal"/>
    <w:rsid w:val="005E4984"/>
    <w:pPr>
      <w:keepLines/>
      <w:ind w:left="1702" w:hanging="1418"/>
    </w:pPr>
  </w:style>
  <w:style w:type="paragraph" w:customStyle="1" w:styleId="FP">
    <w:name w:val="FP"/>
    <w:basedOn w:val="Normal"/>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TOC6">
    <w:name w:val="toc 6"/>
    <w:basedOn w:val="TOC5"/>
    <w:next w:val="Normal"/>
    <w:semiHidden/>
    <w:rsid w:val="005E4984"/>
    <w:pPr>
      <w:ind w:left="1985" w:hanging="1985"/>
    </w:pPr>
  </w:style>
  <w:style w:type="paragraph" w:styleId="TOC7">
    <w:name w:val="toc 7"/>
    <w:basedOn w:val="TOC6"/>
    <w:next w:val="Normal"/>
    <w:semiHidden/>
    <w:rsid w:val="005E4984"/>
    <w:pPr>
      <w:ind w:left="2268" w:hanging="2268"/>
    </w:pPr>
  </w:style>
  <w:style w:type="paragraph" w:styleId="ListBullet2">
    <w:name w:val="List Bullet 2"/>
    <w:basedOn w:val="ListBullet"/>
    <w:semiHidden/>
    <w:rsid w:val="005E4984"/>
    <w:pPr>
      <w:ind w:left="851"/>
    </w:pPr>
  </w:style>
  <w:style w:type="paragraph" w:styleId="ListBullet3">
    <w:name w:val="List Bullet 3"/>
    <w:basedOn w:val="ListBullet2"/>
    <w:semiHidden/>
    <w:rsid w:val="005E4984"/>
    <w:pPr>
      <w:ind w:left="1135"/>
    </w:pPr>
  </w:style>
  <w:style w:type="paragraph" w:styleId="ListNumber">
    <w:name w:val="List Number"/>
    <w:basedOn w:val="List"/>
    <w:semiHidden/>
    <w:rsid w:val="005E4984"/>
  </w:style>
  <w:style w:type="paragraph" w:customStyle="1" w:styleId="EQ">
    <w:name w:val="EQ"/>
    <w:basedOn w:val="Normal"/>
    <w:next w:val="Normal"/>
    <w:rsid w:val="005E4984"/>
    <w:pPr>
      <w:keepLines/>
      <w:tabs>
        <w:tab w:val="center" w:pos="4536"/>
        <w:tab w:val="right" w:pos="9072"/>
      </w:tabs>
    </w:pPr>
    <w:rPr>
      <w:noProof/>
    </w:rPr>
  </w:style>
  <w:style w:type="paragraph" w:customStyle="1" w:styleId="TH">
    <w:name w:val="TH"/>
    <w:basedOn w:val="Normal"/>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Heading5"/>
    <w:next w:val="Normal"/>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Normal"/>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List2">
    <w:name w:val="List 2"/>
    <w:basedOn w:val="List"/>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List3">
    <w:name w:val="List 3"/>
    <w:basedOn w:val="List2"/>
    <w:semiHidden/>
    <w:rsid w:val="005E4984"/>
    <w:pPr>
      <w:ind w:left="1135"/>
    </w:pPr>
  </w:style>
  <w:style w:type="paragraph" w:styleId="List4">
    <w:name w:val="List 4"/>
    <w:basedOn w:val="List3"/>
    <w:semiHidden/>
    <w:rsid w:val="005E4984"/>
    <w:pPr>
      <w:ind w:left="1418"/>
    </w:pPr>
  </w:style>
  <w:style w:type="paragraph" w:styleId="List5">
    <w:name w:val="List 5"/>
    <w:basedOn w:val="List4"/>
    <w:semiHidden/>
    <w:rsid w:val="005E4984"/>
    <w:pPr>
      <w:ind w:left="1702"/>
    </w:pPr>
  </w:style>
  <w:style w:type="paragraph" w:customStyle="1" w:styleId="EditorsNote">
    <w:name w:val="Editor's Note"/>
    <w:basedOn w:val="NO"/>
    <w:rsid w:val="005E4984"/>
    <w:rPr>
      <w:color w:val="FF0000"/>
    </w:rPr>
  </w:style>
  <w:style w:type="paragraph" w:styleId="List">
    <w:name w:val="List"/>
    <w:basedOn w:val="Normal"/>
    <w:semiHidden/>
    <w:rsid w:val="005E4984"/>
    <w:pPr>
      <w:ind w:left="568" w:hanging="284"/>
    </w:pPr>
  </w:style>
  <w:style w:type="paragraph" w:styleId="ListBullet">
    <w:name w:val="List Bullet"/>
    <w:basedOn w:val="List"/>
    <w:semiHidden/>
    <w:rsid w:val="005E4984"/>
  </w:style>
  <w:style w:type="paragraph" w:styleId="ListBullet4">
    <w:name w:val="List Bullet 4"/>
    <w:basedOn w:val="ListBullet3"/>
    <w:semiHidden/>
    <w:rsid w:val="005E4984"/>
    <w:pPr>
      <w:ind w:left="1418"/>
    </w:pPr>
  </w:style>
  <w:style w:type="paragraph" w:styleId="ListBullet5">
    <w:name w:val="List Bullet 5"/>
    <w:basedOn w:val="ListBullet4"/>
    <w:semiHidden/>
    <w:rsid w:val="005E4984"/>
    <w:pPr>
      <w:ind w:left="1702"/>
    </w:pPr>
  </w:style>
  <w:style w:type="paragraph" w:customStyle="1" w:styleId="B1">
    <w:name w:val="B1"/>
    <w:basedOn w:val="List"/>
    <w:rsid w:val="005E4984"/>
  </w:style>
  <w:style w:type="paragraph" w:customStyle="1" w:styleId="B2">
    <w:name w:val="B2"/>
    <w:basedOn w:val="List2"/>
    <w:rsid w:val="005E4984"/>
  </w:style>
  <w:style w:type="paragraph" w:customStyle="1" w:styleId="B3">
    <w:name w:val="B3"/>
    <w:basedOn w:val="List3"/>
    <w:rsid w:val="005E4984"/>
  </w:style>
  <w:style w:type="paragraph" w:customStyle="1" w:styleId="B4">
    <w:name w:val="B4"/>
    <w:basedOn w:val="List4"/>
    <w:rsid w:val="005E4984"/>
  </w:style>
  <w:style w:type="paragraph" w:customStyle="1" w:styleId="B5">
    <w:name w:val="B5"/>
    <w:basedOn w:val="List5"/>
    <w:rsid w:val="005E4984"/>
  </w:style>
  <w:style w:type="paragraph" w:styleId="Footer">
    <w:name w:val="footer"/>
    <w:basedOn w:val="Header"/>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TableGrid">
    <w:name w:val="Table Grid"/>
    <w:basedOn w:val="TableNormal"/>
    <w:rsid w:val="00496F3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496F3A"/>
    <w:pPr>
      <w:spacing w:before="120" w:after="240"/>
    </w:pPr>
    <w:rPr>
      <w:rFonts w:eastAsia="MS Mincho"/>
      <w:b/>
      <w:bCs/>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96F3A"/>
    <w:rPr>
      <w:rFonts w:ascii="Arial" w:eastAsia="Batang" w:hAnsi="Arial"/>
      <w:b/>
      <w:noProof/>
      <w:sz w:val="18"/>
    </w:rPr>
  </w:style>
  <w:style w:type="paragraph" w:styleId="ListParagraph">
    <w:name w:val="List Paragraph"/>
    <w:basedOn w:val="Normal"/>
    <w:uiPriority w:val="34"/>
    <w:qFormat/>
    <w:rsid w:val="00496F3A"/>
    <w:pPr>
      <w:spacing w:after="0"/>
      <w:ind w:firstLineChars="200" w:firstLine="420"/>
    </w:pPr>
    <w:rPr>
      <w:rFonts w:ascii="宋体" w:hAnsi="宋体" w:cs="宋体"/>
      <w:sz w:val="24"/>
      <w:szCs w:val="24"/>
      <w:lang w:val="en-US" w:eastAsia="zh-CN"/>
    </w:rPr>
  </w:style>
  <w:style w:type="paragraph" w:styleId="NormalWeb">
    <w:name w:val="Normal (Web)"/>
    <w:basedOn w:val="Normal"/>
    <w:uiPriority w:val="99"/>
    <w:unhideWhenUsed/>
    <w:rsid w:val="00496F3A"/>
    <w:pPr>
      <w:spacing w:before="100" w:beforeAutospacing="1" w:after="100" w:afterAutospacing="1"/>
    </w:pPr>
    <w:rPr>
      <w:rFonts w:ascii="宋体" w:hAnsi="宋体" w:cs="宋体"/>
      <w:sz w:val="24"/>
      <w:szCs w:val="24"/>
      <w:lang w:val="en-US" w:eastAsia="zh-CN"/>
    </w:rPr>
  </w:style>
  <w:style w:type="character" w:styleId="Strong">
    <w:name w:val="Strong"/>
    <w:uiPriority w:val="22"/>
    <w:qFormat/>
    <w:rsid w:val="00496F3A"/>
    <w:rPr>
      <w:b/>
      <w:bCs/>
    </w:rPr>
  </w:style>
  <w:style w:type="paragraph" w:customStyle="1" w:styleId="maintext">
    <w:name w:val="main text"/>
    <w:basedOn w:val="Normal"/>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TableGrid1">
    <w:name w:val="Table Grid 1"/>
    <w:basedOn w:val="TableNormal"/>
    <w:rsid w:val="00496F3A"/>
    <w:pPr>
      <w:spacing w:after="180"/>
    </w:pPr>
    <w:rPr>
      <w:rFonts w:eastAsia="宋体"/>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496F3A"/>
    <w:pPr>
      <w:spacing w:after="180"/>
    </w:pPr>
    <w:rPr>
      <w:rFonts w:eastAsia="宋体"/>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BalloonText">
    <w:name w:val="Balloon Text"/>
    <w:basedOn w:val="Normal"/>
    <w:link w:val="BalloonTextChar"/>
    <w:uiPriority w:val="99"/>
    <w:semiHidden/>
    <w:unhideWhenUsed/>
    <w:rsid w:val="00496F3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96F3A"/>
    <w:rPr>
      <w:rFonts w:asciiTheme="majorHAnsi" w:eastAsiaTheme="majorEastAsia" w:hAnsiTheme="majorHAnsi" w:cstheme="majorBidi"/>
      <w:sz w:val="18"/>
      <w:szCs w:val="18"/>
      <w:lang w:val="en-GB" w:eastAsia="en-US"/>
    </w:rPr>
  </w:style>
  <w:style w:type="character" w:styleId="Hyperlink">
    <w:name w:val="Hyperlink"/>
    <w:basedOn w:val="DefaultParagraphFont"/>
    <w:uiPriority w:val="99"/>
    <w:unhideWhenUsed/>
    <w:rsid w:val="008C2847"/>
    <w:rPr>
      <w:color w:val="0000FF" w:themeColor="hyperlink"/>
      <w:u w:val="single"/>
    </w:rPr>
  </w:style>
  <w:style w:type="character" w:styleId="CommentReference">
    <w:name w:val="annotation reference"/>
    <w:basedOn w:val="DefaultParagraphFont"/>
    <w:uiPriority w:val="99"/>
    <w:semiHidden/>
    <w:unhideWhenUsed/>
    <w:rsid w:val="00D76C24"/>
    <w:rPr>
      <w:sz w:val="21"/>
      <w:szCs w:val="21"/>
    </w:rPr>
  </w:style>
  <w:style w:type="paragraph" w:styleId="CommentText">
    <w:name w:val="annotation text"/>
    <w:basedOn w:val="Normal"/>
    <w:link w:val="CommentTextChar"/>
    <w:uiPriority w:val="99"/>
    <w:semiHidden/>
    <w:unhideWhenUsed/>
    <w:rsid w:val="00D76C24"/>
  </w:style>
  <w:style w:type="character" w:customStyle="1" w:styleId="CommentTextChar">
    <w:name w:val="Comment Text Char"/>
    <w:basedOn w:val="DefaultParagraphFont"/>
    <w:link w:val="CommentText"/>
    <w:uiPriority w:val="99"/>
    <w:semiHidden/>
    <w:rsid w:val="00D76C24"/>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76C24"/>
    <w:rPr>
      <w:b/>
      <w:bCs/>
    </w:rPr>
  </w:style>
  <w:style w:type="character" w:customStyle="1" w:styleId="CommentSubjectChar">
    <w:name w:val="Comment Subject Char"/>
    <w:basedOn w:val="CommentTextChar"/>
    <w:link w:val="CommentSubject"/>
    <w:uiPriority w:val="99"/>
    <w:semiHidden/>
    <w:rsid w:val="00D76C24"/>
    <w:rPr>
      <w:rFonts w:ascii="Times New Roman" w:eastAsia="Batang" w:hAnsi="Times New Roman"/>
      <w:b/>
      <w:bCs/>
      <w:lang w:val="en-GB"/>
    </w:rPr>
  </w:style>
  <w:style w:type="table" w:customStyle="1" w:styleId="1">
    <w:name w:val="표 구분선1"/>
    <w:basedOn w:val="TableNormal"/>
    <w:next w:val="TableGrid"/>
    <w:rsid w:val="003F32E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3F32EA"/>
    <w:pPr>
      <w:snapToGrid w:val="0"/>
    </w:pPr>
  </w:style>
  <w:style w:type="character" w:customStyle="1" w:styleId="EndnoteTextChar">
    <w:name w:val="Endnote Text Char"/>
    <w:basedOn w:val="DefaultParagraphFont"/>
    <w:link w:val="EndnoteText"/>
    <w:uiPriority w:val="99"/>
    <w:semiHidden/>
    <w:rsid w:val="003F32EA"/>
    <w:rPr>
      <w:rFonts w:ascii="Times New Roman" w:eastAsia="Batang" w:hAnsi="Times New Roman"/>
      <w:lang w:val="en-GB"/>
    </w:rPr>
  </w:style>
  <w:style w:type="character" w:styleId="EndnoteReference">
    <w:name w:val="endnote reference"/>
    <w:basedOn w:val="DefaultParagraphFont"/>
    <w:uiPriority w:val="99"/>
    <w:semiHidden/>
    <w:unhideWhenUsed/>
    <w:rsid w:val="003F32EA"/>
    <w:rPr>
      <w:vertAlign w:val="superscript"/>
    </w:rPr>
  </w:style>
  <w:style w:type="table" w:styleId="LightList">
    <w:name w:val="Light List"/>
    <w:basedOn w:val="TableNormal"/>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Heading1">
    <w:name w:val="heading 1"/>
    <w:aliases w:val="H1,Memo Heading 1,h1 + 11 pt,Before:  6 pt,After:  0 pt"/>
    <w:next w:val="Normal"/>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Heading2">
    <w:name w:val="heading 2"/>
    <w:basedOn w:val="Heading1"/>
    <w:next w:val="Normal"/>
    <w:qFormat/>
    <w:rsid w:val="005E4984"/>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5E49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5E4984"/>
    <w:pPr>
      <w:ind w:left="1418" w:hanging="1418"/>
      <w:outlineLvl w:val="3"/>
    </w:pPr>
    <w:rPr>
      <w:sz w:val="24"/>
    </w:rPr>
  </w:style>
  <w:style w:type="paragraph" w:styleId="Heading5">
    <w:name w:val="heading 5"/>
    <w:basedOn w:val="Heading4"/>
    <w:next w:val="Normal"/>
    <w:qFormat/>
    <w:rsid w:val="005E4984"/>
    <w:pPr>
      <w:ind w:left="1701" w:hanging="1701"/>
      <w:outlineLvl w:val="4"/>
    </w:pPr>
    <w:rPr>
      <w:sz w:val="22"/>
    </w:rPr>
  </w:style>
  <w:style w:type="paragraph" w:styleId="Heading6">
    <w:name w:val="heading 6"/>
    <w:basedOn w:val="H6"/>
    <w:next w:val="Normal"/>
    <w:qFormat/>
    <w:rsid w:val="005E4984"/>
    <w:pPr>
      <w:outlineLvl w:val="5"/>
    </w:pPr>
  </w:style>
  <w:style w:type="paragraph" w:styleId="Heading7">
    <w:name w:val="heading 7"/>
    <w:basedOn w:val="H6"/>
    <w:next w:val="Normal"/>
    <w:qFormat/>
    <w:rsid w:val="005E4984"/>
    <w:pPr>
      <w:outlineLvl w:val="6"/>
    </w:pPr>
  </w:style>
  <w:style w:type="paragraph" w:styleId="Heading8">
    <w:name w:val="heading 8"/>
    <w:basedOn w:val="Heading1"/>
    <w:next w:val="Normal"/>
    <w:qFormat/>
    <w:rsid w:val="005E4984"/>
    <w:pPr>
      <w:ind w:left="0" w:firstLine="0"/>
      <w:outlineLvl w:val="7"/>
    </w:pPr>
  </w:style>
  <w:style w:type="paragraph" w:styleId="Heading9">
    <w:name w:val="heading 9"/>
    <w:basedOn w:val="Heading8"/>
    <w:next w:val="Normal"/>
    <w:qFormat/>
    <w:rsid w:val="005E4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E4984"/>
    <w:pPr>
      <w:spacing w:before="180"/>
      <w:ind w:left="2693" w:hanging="2693"/>
    </w:pPr>
    <w:rPr>
      <w:b/>
    </w:rPr>
  </w:style>
  <w:style w:type="paragraph" w:styleId="TOC1">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TOC5">
    <w:name w:val="toc 5"/>
    <w:basedOn w:val="TOC4"/>
    <w:semiHidden/>
    <w:rsid w:val="005E4984"/>
    <w:pPr>
      <w:ind w:left="1701" w:hanging="1701"/>
    </w:pPr>
  </w:style>
  <w:style w:type="paragraph" w:styleId="TOC4">
    <w:name w:val="toc 4"/>
    <w:basedOn w:val="TOC3"/>
    <w:semiHidden/>
    <w:rsid w:val="005E4984"/>
    <w:pPr>
      <w:ind w:left="1418" w:hanging="1418"/>
    </w:pPr>
  </w:style>
  <w:style w:type="paragraph" w:styleId="TOC3">
    <w:name w:val="toc 3"/>
    <w:basedOn w:val="TOC2"/>
    <w:semiHidden/>
    <w:rsid w:val="005E4984"/>
    <w:pPr>
      <w:ind w:left="1134" w:hanging="1134"/>
    </w:pPr>
  </w:style>
  <w:style w:type="paragraph" w:styleId="TOC2">
    <w:name w:val="toc 2"/>
    <w:basedOn w:val="TOC1"/>
    <w:semiHidden/>
    <w:rsid w:val="005E4984"/>
    <w:pPr>
      <w:keepNext w:val="0"/>
      <w:spacing w:before="0"/>
      <w:ind w:left="851" w:hanging="851"/>
    </w:pPr>
    <w:rPr>
      <w:sz w:val="20"/>
    </w:rPr>
  </w:style>
  <w:style w:type="paragraph" w:styleId="Index2">
    <w:name w:val="index 2"/>
    <w:basedOn w:val="Index1"/>
    <w:semiHidden/>
    <w:rsid w:val="005E4984"/>
    <w:pPr>
      <w:ind w:left="284"/>
    </w:pPr>
  </w:style>
  <w:style w:type="paragraph" w:styleId="Index1">
    <w:name w:val="index 1"/>
    <w:basedOn w:val="Normal"/>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Heading1"/>
    <w:next w:val="Normal"/>
    <w:rsid w:val="005E4984"/>
    <w:pPr>
      <w:outlineLvl w:val="9"/>
    </w:pPr>
  </w:style>
  <w:style w:type="paragraph" w:styleId="ListNumber2">
    <w:name w:val="List Number 2"/>
    <w:basedOn w:val="ListNumber"/>
    <w:semiHidden/>
    <w:rsid w:val="005E498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FootnoteReference">
    <w:name w:val="footnote reference"/>
    <w:basedOn w:val="DefaultParagraphFont"/>
    <w:semiHidden/>
    <w:rsid w:val="005E4984"/>
    <w:rPr>
      <w:b/>
      <w:position w:val="6"/>
      <w:sz w:val="16"/>
    </w:rPr>
  </w:style>
  <w:style w:type="paragraph" w:styleId="FootnoteText">
    <w:name w:val="footnote text"/>
    <w:basedOn w:val="Normal"/>
    <w:semiHidden/>
    <w:rsid w:val="005E4984"/>
    <w:pPr>
      <w:keepLines/>
      <w:spacing w:after="0"/>
      <w:ind w:left="454" w:hanging="454"/>
    </w:pPr>
    <w:rPr>
      <w:sz w:val="16"/>
    </w:rPr>
  </w:style>
  <w:style w:type="paragraph" w:customStyle="1" w:styleId="TAH">
    <w:name w:val="TAH"/>
    <w:basedOn w:val="TAC"/>
    <w:rsid w:val="005E4984"/>
    <w:rPr>
      <w:b/>
    </w:rPr>
  </w:style>
  <w:style w:type="paragraph" w:customStyle="1" w:styleId="TAC">
    <w:name w:val="TAC"/>
    <w:basedOn w:val="TAL"/>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Normal"/>
    <w:rsid w:val="005E4984"/>
    <w:pPr>
      <w:keepLines/>
      <w:ind w:left="1135" w:hanging="851"/>
    </w:pPr>
  </w:style>
  <w:style w:type="paragraph" w:styleId="TOC9">
    <w:name w:val="toc 9"/>
    <w:basedOn w:val="TOC8"/>
    <w:semiHidden/>
    <w:rsid w:val="005E4984"/>
    <w:pPr>
      <w:ind w:left="1418" w:hanging="1418"/>
    </w:pPr>
  </w:style>
  <w:style w:type="paragraph" w:customStyle="1" w:styleId="EX">
    <w:name w:val="EX"/>
    <w:basedOn w:val="Normal"/>
    <w:rsid w:val="005E4984"/>
    <w:pPr>
      <w:keepLines/>
      <w:ind w:left="1702" w:hanging="1418"/>
    </w:pPr>
  </w:style>
  <w:style w:type="paragraph" w:customStyle="1" w:styleId="FP">
    <w:name w:val="FP"/>
    <w:basedOn w:val="Normal"/>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TOC6">
    <w:name w:val="toc 6"/>
    <w:basedOn w:val="TOC5"/>
    <w:next w:val="Normal"/>
    <w:semiHidden/>
    <w:rsid w:val="005E4984"/>
    <w:pPr>
      <w:ind w:left="1985" w:hanging="1985"/>
    </w:pPr>
  </w:style>
  <w:style w:type="paragraph" w:styleId="TOC7">
    <w:name w:val="toc 7"/>
    <w:basedOn w:val="TOC6"/>
    <w:next w:val="Normal"/>
    <w:semiHidden/>
    <w:rsid w:val="005E4984"/>
    <w:pPr>
      <w:ind w:left="2268" w:hanging="2268"/>
    </w:pPr>
  </w:style>
  <w:style w:type="paragraph" w:styleId="ListBullet2">
    <w:name w:val="List Bullet 2"/>
    <w:basedOn w:val="ListBullet"/>
    <w:semiHidden/>
    <w:rsid w:val="005E4984"/>
    <w:pPr>
      <w:ind w:left="851"/>
    </w:pPr>
  </w:style>
  <w:style w:type="paragraph" w:styleId="ListBullet3">
    <w:name w:val="List Bullet 3"/>
    <w:basedOn w:val="ListBullet2"/>
    <w:semiHidden/>
    <w:rsid w:val="005E4984"/>
    <w:pPr>
      <w:ind w:left="1135"/>
    </w:pPr>
  </w:style>
  <w:style w:type="paragraph" w:styleId="ListNumber">
    <w:name w:val="List Number"/>
    <w:basedOn w:val="List"/>
    <w:semiHidden/>
    <w:rsid w:val="005E4984"/>
  </w:style>
  <w:style w:type="paragraph" w:customStyle="1" w:styleId="EQ">
    <w:name w:val="EQ"/>
    <w:basedOn w:val="Normal"/>
    <w:next w:val="Normal"/>
    <w:rsid w:val="005E4984"/>
    <w:pPr>
      <w:keepLines/>
      <w:tabs>
        <w:tab w:val="center" w:pos="4536"/>
        <w:tab w:val="right" w:pos="9072"/>
      </w:tabs>
    </w:pPr>
    <w:rPr>
      <w:noProof/>
    </w:rPr>
  </w:style>
  <w:style w:type="paragraph" w:customStyle="1" w:styleId="TH">
    <w:name w:val="TH"/>
    <w:basedOn w:val="Normal"/>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Heading5"/>
    <w:next w:val="Normal"/>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Normal"/>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List2">
    <w:name w:val="List 2"/>
    <w:basedOn w:val="List"/>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List3">
    <w:name w:val="List 3"/>
    <w:basedOn w:val="List2"/>
    <w:semiHidden/>
    <w:rsid w:val="005E4984"/>
    <w:pPr>
      <w:ind w:left="1135"/>
    </w:pPr>
  </w:style>
  <w:style w:type="paragraph" w:styleId="List4">
    <w:name w:val="List 4"/>
    <w:basedOn w:val="List3"/>
    <w:semiHidden/>
    <w:rsid w:val="005E4984"/>
    <w:pPr>
      <w:ind w:left="1418"/>
    </w:pPr>
  </w:style>
  <w:style w:type="paragraph" w:styleId="List5">
    <w:name w:val="List 5"/>
    <w:basedOn w:val="List4"/>
    <w:semiHidden/>
    <w:rsid w:val="005E4984"/>
    <w:pPr>
      <w:ind w:left="1702"/>
    </w:pPr>
  </w:style>
  <w:style w:type="paragraph" w:customStyle="1" w:styleId="EditorsNote">
    <w:name w:val="Editor's Note"/>
    <w:basedOn w:val="NO"/>
    <w:rsid w:val="005E4984"/>
    <w:rPr>
      <w:color w:val="FF0000"/>
    </w:rPr>
  </w:style>
  <w:style w:type="paragraph" w:styleId="List">
    <w:name w:val="List"/>
    <w:basedOn w:val="Normal"/>
    <w:semiHidden/>
    <w:rsid w:val="005E4984"/>
    <w:pPr>
      <w:ind w:left="568" w:hanging="284"/>
    </w:pPr>
  </w:style>
  <w:style w:type="paragraph" w:styleId="ListBullet">
    <w:name w:val="List Bullet"/>
    <w:basedOn w:val="List"/>
    <w:semiHidden/>
    <w:rsid w:val="005E4984"/>
  </w:style>
  <w:style w:type="paragraph" w:styleId="ListBullet4">
    <w:name w:val="List Bullet 4"/>
    <w:basedOn w:val="ListBullet3"/>
    <w:semiHidden/>
    <w:rsid w:val="005E4984"/>
    <w:pPr>
      <w:ind w:left="1418"/>
    </w:pPr>
  </w:style>
  <w:style w:type="paragraph" w:styleId="ListBullet5">
    <w:name w:val="List Bullet 5"/>
    <w:basedOn w:val="ListBullet4"/>
    <w:semiHidden/>
    <w:rsid w:val="005E4984"/>
    <w:pPr>
      <w:ind w:left="1702"/>
    </w:pPr>
  </w:style>
  <w:style w:type="paragraph" w:customStyle="1" w:styleId="B1">
    <w:name w:val="B1"/>
    <w:basedOn w:val="List"/>
    <w:rsid w:val="005E4984"/>
  </w:style>
  <w:style w:type="paragraph" w:customStyle="1" w:styleId="B2">
    <w:name w:val="B2"/>
    <w:basedOn w:val="List2"/>
    <w:rsid w:val="005E4984"/>
  </w:style>
  <w:style w:type="paragraph" w:customStyle="1" w:styleId="B3">
    <w:name w:val="B3"/>
    <w:basedOn w:val="List3"/>
    <w:rsid w:val="005E4984"/>
  </w:style>
  <w:style w:type="paragraph" w:customStyle="1" w:styleId="B4">
    <w:name w:val="B4"/>
    <w:basedOn w:val="List4"/>
    <w:rsid w:val="005E4984"/>
  </w:style>
  <w:style w:type="paragraph" w:customStyle="1" w:styleId="B5">
    <w:name w:val="B5"/>
    <w:basedOn w:val="List5"/>
    <w:rsid w:val="005E4984"/>
  </w:style>
  <w:style w:type="paragraph" w:styleId="Footer">
    <w:name w:val="footer"/>
    <w:basedOn w:val="Header"/>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TableGrid">
    <w:name w:val="Table Grid"/>
    <w:basedOn w:val="TableNormal"/>
    <w:rsid w:val="00496F3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496F3A"/>
    <w:pPr>
      <w:spacing w:before="120" w:after="240"/>
    </w:pPr>
    <w:rPr>
      <w:rFonts w:eastAsia="MS Mincho"/>
      <w:b/>
      <w:bCs/>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96F3A"/>
    <w:rPr>
      <w:rFonts w:ascii="Arial" w:eastAsia="Batang" w:hAnsi="Arial"/>
      <w:b/>
      <w:noProof/>
      <w:sz w:val="18"/>
    </w:rPr>
  </w:style>
  <w:style w:type="paragraph" w:styleId="ListParagraph">
    <w:name w:val="List Paragraph"/>
    <w:basedOn w:val="Normal"/>
    <w:uiPriority w:val="34"/>
    <w:qFormat/>
    <w:rsid w:val="00496F3A"/>
    <w:pPr>
      <w:spacing w:after="0"/>
      <w:ind w:firstLineChars="200" w:firstLine="420"/>
    </w:pPr>
    <w:rPr>
      <w:rFonts w:ascii="宋体" w:hAnsi="宋体" w:cs="宋体"/>
      <w:sz w:val="24"/>
      <w:szCs w:val="24"/>
      <w:lang w:val="en-US" w:eastAsia="zh-CN"/>
    </w:rPr>
  </w:style>
  <w:style w:type="paragraph" w:styleId="NormalWeb">
    <w:name w:val="Normal (Web)"/>
    <w:basedOn w:val="Normal"/>
    <w:uiPriority w:val="99"/>
    <w:unhideWhenUsed/>
    <w:rsid w:val="00496F3A"/>
    <w:pPr>
      <w:spacing w:before="100" w:beforeAutospacing="1" w:after="100" w:afterAutospacing="1"/>
    </w:pPr>
    <w:rPr>
      <w:rFonts w:ascii="宋体" w:hAnsi="宋体" w:cs="宋体"/>
      <w:sz w:val="24"/>
      <w:szCs w:val="24"/>
      <w:lang w:val="en-US" w:eastAsia="zh-CN"/>
    </w:rPr>
  </w:style>
  <w:style w:type="character" w:styleId="Strong">
    <w:name w:val="Strong"/>
    <w:uiPriority w:val="22"/>
    <w:qFormat/>
    <w:rsid w:val="00496F3A"/>
    <w:rPr>
      <w:b/>
      <w:bCs/>
    </w:rPr>
  </w:style>
  <w:style w:type="paragraph" w:customStyle="1" w:styleId="maintext">
    <w:name w:val="main text"/>
    <w:basedOn w:val="Normal"/>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TableGrid1">
    <w:name w:val="Table Grid 1"/>
    <w:basedOn w:val="TableNormal"/>
    <w:rsid w:val="00496F3A"/>
    <w:pPr>
      <w:spacing w:after="180"/>
    </w:pPr>
    <w:rPr>
      <w:rFonts w:eastAsia="宋体"/>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496F3A"/>
    <w:pPr>
      <w:spacing w:after="180"/>
    </w:pPr>
    <w:rPr>
      <w:rFonts w:eastAsia="宋体"/>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BalloonText">
    <w:name w:val="Balloon Text"/>
    <w:basedOn w:val="Normal"/>
    <w:link w:val="BalloonTextChar"/>
    <w:uiPriority w:val="99"/>
    <w:semiHidden/>
    <w:unhideWhenUsed/>
    <w:rsid w:val="00496F3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96F3A"/>
    <w:rPr>
      <w:rFonts w:asciiTheme="majorHAnsi" w:eastAsiaTheme="majorEastAsia" w:hAnsiTheme="majorHAnsi" w:cstheme="majorBidi"/>
      <w:sz w:val="18"/>
      <w:szCs w:val="18"/>
      <w:lang w:val="en-GB" w:eastAsia="en-US"/>
    </w:rPr>
  </w:style>
  <w:style w:type="character" w:styleId="Hyperlink">
    <w:name w:val="Hyperlink"/>
    <w:basedOn w:val="DefaultParagraphFont"/>
    <w:uiPriority w:val="99"/>
    <w:unhideWhenUsed/>
    <w:rsid w:val="008C2847"/>
    <w:rPr>
      <w:color w:val="0000FF" w:themeColor="hyperlink"/>
      <w:u w:val="single"/>
    </w:rPr>
  </w:style>
  <w:style w:type="character" w:styleId="CommentReference">
    <w:name w:val="annotation reference"/>
    <w:basedOn w:val="DefaultParagraphFont"/>
    <w:uiPriority w:val="99"/>
    <w:semiHidden/>
    <w:unhideWhenUsed/>
    <w:rsid w:val="00D76C24"/>
    <w:rPr>
      <w:sz w:val="21"/>
      <w:szCs w:val="21"/>
    </w:rPr>
  </w:style>
  <w:style w:type="paragraph" w:styleId="CommentText">
    <w:name w:val="annotation text"/>
    <w:basedOn w:val="Normal"/>
    <w:link w:val="CommentTextChar"/>
    <w:uiPriority w:val="99"/>
    <w:semiHidden/>
    <w:unhideWhenUsed/>
    <w:rsid w:val="00D76C24"/>
  </w:style>
  <w:style w:type="character" w:customStyle="1" w:styleId="CommentTextChar">
    <w:name w:val="Comment Text Char"/>
    <w:basedOn w:val="DefaultParagraphFont"/>
    <w:link w:val="CommentText"/>
    <w:uiPriority w:val="99"/>
    <w:semiHidden/>
    <w:rsid w:val="00D76C24"/>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76C24"/>
    <w:rPr>
      <w:b/>
      <w:bCs/>
    </w:rPr>
  </w:style>
  <w:style w:type="character" w:customStyle="1" w:styleId="CommentSubjectChar">
    <w:name w:val="Comment Subject Char"/>
    <w:basedOn w:val="CommentTextChar"/>
    <w:link w:val="CommentSubject"/>
    <w:uiPriority w:val="99"/>
    <w:semiHidden/>
    <w:rsid w:val="00D76C24"/>
    <w:rPr>
      <w:rFonts w:ascii="Times New Roman" w:eastAsia="Batang" w:hAnsi="Times New Roman"/>
      <w:b/>
      <w:bCs/>
      <w:lang w:val="en-GB"/>
    </w:rPr>
  </w:style>
  <w:style w:type="table" w:customStyle="1" w:styleId="1">
    <w:name w:val="표 구분선1"/>
    <w:basedOn w:val="TableNormal"/>
    <w:next w:val="TableGrid"/>
    <w:rsid w:val="003F32E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3F32EA"/>
    <w:pPr>
      <w:snapToGrid w:val="0"/>
    </w:pPr>
  </w:style>
  <w:style w:type="character" w:customStyle="1" w:styleId="EndnoteTextChar">
    <w:name w:val="Endnote Text Char"/>
    <w:basedOn w:val="DefaultParagraphFont"/>
    <w:link w:val="EndnoteText"/>
    <w:uiPriority w:val="99"/>
    <w:semiHidden/>
    <w:rsid w:val="003F32EA"/>
    <w:rPr>
      <w:rFonts w:ascii="Times New Roman" w:eastAsia="Batang" w:hAnsi="Times New Roman"/>
      <w:lang w:val="en-GB"/>
    </w:rPr>
  </w:style>
  <w:style w:type="character" w:styleId="EndnoteReference">
    <w:name w:val="endnote reference"/>
    <w:basedOn w:val="DefaultParagraphFont"/>
    <w:uiPriority w:val="99"/>
    <w:semiHidden/>
    <w:unhideWhenUsed/>
    <w:rsid w:val="003F32EA"/>
    <w:rPr>
      <w:vertAlign w:val="superscript"/>
    </w:rPr>
  </w:style>
  <w:style w:type="table" w:styleId="LightList">
    <w:name w:val="Light List"/>
    <w:basedOn w:val="TableNormal"/>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7519">
      <w:bodyDiv w:val="1"/>
      <w:marLeft w:val="0"/>
      <w:marRight w:val="0"/>
      <w:marTop w:val="0"/>
      <w:marBottom w:val="0"/>
      <w:divBdr>
        <w:top w:val="none" w:sz="0" w:space="0" w:color="auto"/>
        <w:left w:val="none" w:sz="0" w:space="0" w:color="auto"/>
        <w:bottom w:val="none" w:sz="0" w:space="0" w:color="auto"/>
        <w:right w:val="none" w:sz="0" w:space="0" w:color="auto"/>
      </w:divBdr>
    </w:div>
    <w:div w:id="312150461">
      <w:bodyDiv w:val="1"/>
      <w:marLeft w:val="0"/>
      <w:marRight w:val="0"/>
      <w:marTop w:val="0"/>
      <w:marBottom w:val="0"/>
      <w:divBdr>
        <w:top w:val="none" w:sz="0" w:space="0" w:color="auto"/>
        <w:left w:val="none" w:sz="0" w:space="0" w:color="auto"/>
        <w:bottom w:val="none" w:sz="0" w:space="0" w:color="auto"/>
        <w:right w:val="none" w:sz="0" w:space="0" w:color="auto"/>
      </w:divBdr>
    </w:div>
    <w:div w:id="555090280">
      <w:bodyDiv w:val="1"/>
      <w:marLeft w:val="0"/>
      <w:marRight w:val="0"/>
      <w:marTop w:val="0"/>
      <w:marBottom w:val="0"/>
      <w:divBdr>
        <w:top w:val="none" w:sz="0" w:space="0" w:color="auto"/>
        <w:left w:val="none" w:sz="0" w:space="0" w:color="auto"/>
        <w:bottom w:val="none" w:sz="0" w:space="0" w:color="auto"/>
        <w:right w:val="none" w:sz="0" w:space="0" w:color="auto"/>
      </w:divBdr>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947660315">
      <w:bodyDiv w:val="1"/>
      <w:marLeft w:val="0"/>
      <w:marRight w:val="0"/>
      <w:marTop w:val="0"/>
      <w:marBottom w:val="0"/>
      <w:divBdr>
        <w:top w:val="none" w:sz="0" w:space="0" w:color="auto"/>
        <w:left w:val="none" w:sz="0" w:space="0" w:color="auto"/>
        <w:bottom w:val="none" w:sz="0" w:space="0" w:color="auto"/>
        <w:right w:val="none" w:sz="0" w:space="0" w:color="auto"/>
      </w:divBdr>
    </w:div>
    <w:div w:id="1135220549">
      <w:bodyDiv w:val="1"/>
      <w:marLeft w:val="0"/>
      <w:marRight w:val="0"/>
      <w:marTop w:val="0"/>
      <w:marBottom w:val="0"/>
      <w:divBdr>
        <w:top w:val="none" w:sz="0" w:space="0" w:color="auto"/>
        <w:left w:val="none" w:sz="0" w:space="0" w:color="auto"/>
        <w:bottom w:val="none" w:sz="0" w:space="0" w:color="auto"/>
        <w:right w:val="none" w:sz="0" w:space="0" w:color="auto"/>
      </w:divBdr>
    </w:div>
    <w:div w:id="1171018974">
      <w:bodyDiv w:val="1"/>
      <w:marLeft w:val="0"/>
      <w:marRight w:val="0"/>
      <w:marTop w:val="0"/>
      <w:marBottom w:val="0"/>
      <w:divBdr>
        <w:top w:val="none" w:sz="0" w:space="0" w:color="auto"/>
        <w:left w:val="none" w:sz="0" w:space="0" w:color="auto"/>
        <w:bottom w:val="none" w:sz="0" w:space="0" w:color="auto"/>
        <w:right w:val="none" w:sz="0" w:space="0" w:color="auto"/>
      </w:divBdr>
    </w:div>
    <w:div w:id="1370226707">
      <w:bodyDiv w:val="1"/>
      <w:marLeft w:val="0"/>
      <w:marRight w:val="0"/>
      <w:marTop w:val="0"/>
      <w:marBottom w:val="0"/>
      <w:divBdr>
        <w:top w:val="none" w:sz="0" w:space="0" w:color="auto"/>
        <w:left w:val="none" w:sz="0" w:space="0" w:color="auto"/>
        <w:bottom w:val="none" w:sz="0" w:space="0" w:color="auto"/>
        <w:right w:val="none" w:sz="0" w:space="0" w:color="auto"/>
      </w:divBdr>
    </w:div>
    <w:div w:id="1451851699">
      <w:bodyDiv w:val="1"/>
      <w:marLeft w:val="0"/>
      <w:marRight w:val="0"/>
      <w:marTop w:val="0"/>
      <w:marBottom w:val="0"/>
      <w:divBdr>
        <w:top w:val="none" w:sz="0" w:space="0" w:color="auto"/>
        <w:left w:val="none" w:sz="0" w:space="0" w:color="auto"/>
        <w:bottom w:val="none" w:sz="0" w:space="0" w:color="auto"/>
        <w:right w:val="none" w:sz="0" w:space="0" w:color="auto"/>
      </w:divBdr>
    </w:div>
    <w:div w:id="1537310142">
      <w:bodyDiv w:val="1"/>
      <w:marLeft w:val="0"/>
      <w:marRight w:val="0"/>
      <w:marTop w:val="0"/>
      <w:marBottom w:val="0"/>
      <w:divBdr>
        <w:top w:val="none" w:sz="0" w:space="0" w:color="auto"/>
        <w:left w:val="none" w:sz="0" w:space="0" w:color="auto"/>
        <w:bottom w:val="none" w:sz="0" w:space="0" w:color="auto"/>
        <w:right w:val="none" w:sz="0" w:space="0" w:color="auto"/>
      </w:divBdr>
    </w:div>
    <w:div w:id="1642466074">
      <w:bodyDiv w:val="1"/>
      <w:marLeft w:val="0"/>
      <w:marRight w:val="0"/>
      <w:marTop w:val="0"/>
      <w:marBottom w:val="0"/>
      <w:divBdr>
        <w:top w:val="none" w:sz="0" w:space="0" w:color="auto"/>
        <w:left w:val="none" w:sz="0" w:space="0" w:color="auto"/>
        <w:bottom w:val="none" w:sz="0" w:space="0" w:color="auto"/>
        <w:right w:val="none" w:sz="0" w:space="0" w:color="auto"/>
      </w:divBdr>
    </w:div>
    <w:div w:id="1650329241">
      <w:bodyDiv w:val="1"/>
      <w:marLeft w:val="0"/>
      <w:marRight w:val="0"/>
      <w:marTop w:val="0"/>
      <w:marBottom w:val="0"/>
      <w:divBdr>
        <w:top w:val="none" w:sz="0" w:space="0" w:color="auto"/>
        <w:left w:val="none" w:sz="0" w:space="0" w:color="auto"/>
        <w:bottom w:val="none" w:sz="0" w:space="0" w:color="auto"/>
        <w:right w:val="none" w:sz="0" w:space="0" w:color="auto"/>
      </w:divBdr>
    </w:div>
    <w:div w:id="1656178431">
      <w:bodyDiv w:val="1"/>
      <w:marLeft w:val="0"/>
      <w:marRight w:val="0"/>
      <w:marTop w:val="0"/>
      <w:marBottom w:val="0"/>
      <w:divBdr>
        <w:top w:val="none" w:sz="0" w:space="0" w:color="auto"/>
        <w:left w:val="none" w:sz="0" w:space="0" w:color="auto"/>
        <w:bottom w:val="none" w:sz="0" w:space="0" w:color="auto"/>
        <w:right w:val="none" w:sz="0" w:space="0" w:color="auto"/>
      </w:divBdr>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 w:id="1703283585">
      <w:bodyDiv w:val="1"/>
      <w:marLeft w:val="0"/>
      <w:marRight w:val="0"/>
      <w:marTop w:val="0"/>
      <w:marBottom w:val="0"/>
      <w:divBdr>
        <w:top w:val="none" w:sz="0" w:space="0" w:color="auto"/>
        <w:left w:val="none" w:sz="0" w:space="0" w:color="auto"/>
        <w:bottom w:val="none" w:sz="0" w:space="0" w:color="auto"/>
        <w:right w:val="none" w:sz="0" w:space="0" w:color="auto"/>
      </w:divBdr>
      <w:divsChild>
        <w:div w:id="1305159942">
          <w:marLeft w:val="360"/>
          <w:marRight w:val="0"/>
          <w:marTop w:val="200"/>
          <w:marBottom w:val="0"/>
          <w:divBdr>
            <w:top w:val="none" w:sz="0" w:space="0" w:color="auto"/>
            <w:left w:val="none" w:sz="0" w:space="0" w:color="auto"/>
            <w:bottom w:val="none" w:sz="0" w:space="0" w:color="auto"/>
            <w:right w:val="none" w:sz="0" w:space="0" w:color="auto"/>
          </w:divBdr>
        </w:div>
        <w:div w:id="1614438586">
          <w:marLeft w:val="360"/>
          <w:marRight w:val="0"/>
          <w:marTop w:val="200"/>
          <w:marBottom w:val="0"/>
          <w:divBdr>
            <w:top w:val="none" w:sz="0" w:space="0" w:color="auto"/>
            <w:left w:val="none" w:sz="0" w:space="0" w:color="auto"/>
            <w:bottom w:val="none" w:sz="0" w:space="0" w:color="auto"/>
            <w:right w:val="none" w:sz="0" w:space="0" w:color="auto"/>
          </w:divBdr>
        </w:div>
        <w:div w:id="761337812">
          <w:marLeft w:val="360"/>
          <w:marRight w:val="0"/>
          <w:marTop w:val="200"/>
          <w:marBottom w:val="0"/>
          <w:divBdr>
            <w:top w:val="none" w:sz="0" w:space="0" w:color="auto"/>
            <w:left w:val="none" w:sz="0" w:space="0" w:color="auto"/>
            <w:bottom w:val="none" w:sz="0" w:space="0" w:color="auto"/>
            <w:right w:val="none" w:sz="0" w:space="0" w:color="auto"/>
          </w:divBdr>
        </w:div>
        <w:div w:id="2127263696">
          <w:marLeft w:val="360"/>
          <w:marRight w:val="0"/>
          <w:marTop w:val="200"/>
          <w:marBottom w:val="0"/>
          <w:divBdr>
            <w:top w:val="none" w:sz="0" w:space="0" w:color="auto"/>
            <w:left w:val="none" w:sz="0" w:space="0" w:color="auto"/>
            <w:bottom w:val="none" w:sz="0" w:space="0" w:color="auto"/>
            <w:right w:val="none" w:sz="0" w:space="0" w:color="auto"/>
          </w:divBdr>
        </w:div>
        <w:div w:id="1556117297">
          <w:marLeft w:val="1080"/>
          <w:marRight w:val="0"/>
          <w:marTop w:val="100"/>
          <w:marBottom w:val="0"/>
          <w:divBdr>
            <w:top w:val="none" w:sz="0" w:space="0" w:color="auto"/>
            <w:left w:val="none" w:sz="0" w:space="0" w:color="auto"/>
            <w:bottom w:val="none" w:sz="0" w:space="0" w:color="auto"/>
            <w:right w:val="none" w:sz="0" w:space="0" w:color="auto"/>
          </w:divBdr>
        </w:div>
        <w:div w:id="270015169">
          <w:marLeft w:val="1080"/>
          <w:marRight w:val="0"/>
          <w:marTop w:val="100"/>
          <w:marBottom w:val="0"/>
          <w:divBdr>
            <w:top w:val="none" w:sz="0" w:space="0" w:color="auto"/>
            <w:left w:val="none" w:sz="0" w:space="0" w:color="auto"/>
            <w:bottom w:val="none" w:sz="0" w:space="0" w:color="auto"/>
            <w:right w:val="none" w:sz="0" w:space="0" w:color="auto"/>
          </w:divBdr>
        </w:div>
      </w:divsChild>
    </w:div>
    <w:div w:id="1711565596">
      <w:bodyDiv w:val="1"/>
      <w:marLeft w:val="0"/>
      <w:marRight w:val="0"/>
      <w:marTop w:val="0"/>
      <w:marBottom w:val="0"/>
      <w:divBdr>
        <w:top w:val="none" w:sz="0" w:space="0" w:color="auto"/>
        <w:left w:val="none" w:sz="0" w:space="0" w:color="auto"/>
        <w:bottom w:val="none" w:sz="0" w:space="0" w:color="auto"/>
        <w:right w:val="none" w:sz="0" w:space="0" w:color="auto"/>
      </w:divBdr>
    </w:div>
    <w:div w:id="1720011872">
      <w:bodyDiv w:val="1"/>
      <w:marLeft w:val="0"/>
      <w:marRight w:val="0"/>
      <w:marTop w:val="0"/>
      <w:marBottom w:val="0"/>
      <w:divBdr>
        <w:top w:val="none" w:sz="0" w:space="0" w:color="auto"/>
        <w:left w:val="none" w:sz="0" w:space="0" w:color="auto"/>
        <w:bottom w:val="none" w:sz="0" w:space="0" w:color="auto"/>
        <w:right w:val="none" w:sz="0" w:space="0" w:color="auto"/>
      </w:divBdr>
    </w:div>
    <w:div w:id="1991207546">
      <w:bodyDiv w:val="1"/>
      <w:marLeft w:val="0"/>
      <w:marRight w:val="0"/>
      <w:marTop w:val="0"/>
      <w:marBottom w:val="0"/>
      <w:divBdr>
        <w:top w:val="none" w:sz="0" w:space="0" w:color="auto"/>
        <w:left w:val="none" w:sz="0" w:space="0" w:color="auto"/>
        <w:bottom w:val="none" w:sz="0" w:space="0" w:color="auto"/>
        <w:right w:val="none" w:sz="0" w:space="0" w:color="auto"/>
      </w:divBdr>
    </w:div>
    <w:div w:id="204513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0875F-55A1-4E2D-8AF5-3EF0B8848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1691</Words>
  <Characters>9640</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After_RAN4#90</cp:lastModifiedBy>
  <cp:revision>3</cp:revision>
  <cp:lastPrinted>2018-05-14T02:35:00Z</cp:lastPrinted>
  <dcterms:created xsi:type="dcterms:W3CDTF">2019-04-01T08:57:00Z</dcterms:created>
  <dcterms:modified xsi:type="dcterms:W3CDTF">2019-04-01T12:02:00Z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7A782BA9CBA8090B6B80EC2D02D9B0171FA44B064862992E91E8CBE18BE2C6EC</vt:lpwstr>
  </property>
  <property fmtid="{D5CDD505-2E9C-101B-9397-08002B2CF9AE}" pid="2" name="NSCPROP">
    <vt:lpwstr>NSCCustomProperty</vt:lpwstr>
  </property>
  <property fmtid="{D5CDD505-2E9C-101B-9397-08002B2CF9AE}" pid="3" name="NSCPROP_SA">
    <vt:lpwstr>C:\Users\samsung\AppData\Roaming\Microsoft\Word\R4-1803810_Spherical%20coverage_v2306579110739722460\R4-1803810_Spherical%20coverage_v2((Autosaved-306580034083681731)).asd</vt:lpwstr>
  </property>
</Properties>
</file>