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7E29D617"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sidR="008B2A22">
        <w:rPr>
          <w:rFonts w:ascii="Arial" w:hAnsi="Arial" w:cs="Arial"/>
          <w:b/>
          <w:lang w:val="de-DE"/>
        </w:rPr>
        <w:t>bis</w:t>
      </w:r>
      <w:r>
        <w:rPr>
          <w:rFonts w:ascii="Arial" w:hAnsi="Arial" w:cs="Arial"/>
          <w:b/>
          <w:lang w:val="de-DE"/>
        </w:rPr>
        <w:tab/>
      </w:r>
      <w:r w:rsidR="003265C2" w:rsidRPr="003265C2">
        <w:rPr>
          <w:rFonts w:ascii="Arial" w:hAnsi="Arial" w:cs="Arial"/>
          <w:b/>
          <w:lang w:val="de-DE"/>
        </w:rPr>
        <w:t>R4-1903069</w:t>
      </w:r>
      <w:r>
        <w:rPr>
          <w:rFonts w:ascii="Arial" w:hAnsi="Arial" w:cs="Arial"/>
          <w:b/>
          <w:lang w:val="de-DE"/>
        </w:rPr>
        <w:br/>
      </w:r>
      <w:r w:rsidR="008B2A22">
        <w:rPr>
          <w:rFonts w:ascii="Arial" w:hAnsi="Arial" w:cs="Arial"/>
          <w:b/>
        </w:rPr>
        <w:t>Xi’an</w:t>
      </w:r>
      <w:r>
        <w:rPr>
          <w:rFonts w:ascii="Arial" w:hAnsi="Arial" w:cs="Arial"/>
          <w:b/>
        </w:rPr>
        <w:t xml:space="preserve">, </w:t>
      </w:r>
      <w:r w:rsidR="008B2A22">
        <w:rPr>
          <w:rFonts w:ascii="Arial" w:hAnsi="Arial" w:cs="Arial"/>
          <w:b/>
        </w:rPr>
        <w:t>China</w:t>
      </w:r>
      <w:r>
        <w:rPr>
          <w:rFonts w:ascii="Arial" w:hAnsi="Arial" w:cs="Arial"/>
          <w:b/>
        </w:rPr>
        <w:t xml:space="preserve">, </w:t>
      </w:r>
      <w:r w:rsidR="008B2A22">
        <w:rPr>
          <w:rFonts w:ascii="Arial" w:hAnsi="Arial" w:cs="Arial"/>
          <w:b/>
        </w:rPr>
        <w:t>April</w:t>
      </w:r>
      <w:r w:rsidR="006D0B66">
        <w:rPr>
          <w:rFonts w:ascii="Arial" w:hAnsi="Arial" w:cs="Arial"/>
          <w:b/>
        </w:rPr>
        <w:t xml:space="preserve"> </w:t>
      </w:r>
      <w:r w:rsidR="008B2A22">
        <w:rPr>
          <w:rFonts w:ascii="Arial" w:hAnsi="Arial" w:cs="Arial"/>
          <w:b/>
        </w:rPr>
        <w:t>8</w:t>
      </w:r>
      <w:r w:rsidR="006D0B66">
        <w:rPr>
          <w:rFonts w:ascii="Arial" w:hAnsi="Arial" w:cs="Arial"/>
          <w:b/>
        </w:rPr>
        <w:t xml:space="preserve"> – </w:t>
      </w:r>
      <w:r w:rsidR="008B2A22">
        <w:rPr>
          <w:rFonts w:ascii="Arial" w:hAnsi="Arial" w:cs="Arial"/>
          <w:b/>
        </w:rPr>
        <w:t>12</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4FA0DB85"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5A7EE0" w:rsidRPr="005A7EE0">
        <w:rPr>
          <w:rFonts w:ascii="Arial" w:hAnsi="Arial" w:cs="Arial"/>
          <w:b/>
        </w:rPr>
        <w:t>6.5.11.</w:t>
      </w:r>
      <w:r w:rsidR="006B2936">
        <w:rPr>
          <w:rFonts w:ascii="Arial" w:hAnsi="Arial" w:cs="Arial"/>
          <w:b/>
        </w:rPr>
        <w:t>5</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21355D43"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A7519C" w:rsidRPr="00A7519C">
        <w:rPr>
          <w:rFonts w:ascii="Arial" w:hAnsi="Arial" w:cs="Arial"/>
          <w:b/>
        </w:rPr>
        <w:t>On the relationship between maxUplinkDutyCycle and UL RMC slot patterns</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19446E8A" w14:textId="1E8C84D8" w:rsidR="00AB11CB" w:rsidRDefault="00AB11CB" w:rsidP="00AB11CB">
      <w:r>
        <w:t xml:space="preserve">Following the agreements reached in RAN #83 on the maxUplinkDutyCycle capability in </w:t>
      </w:r>
      <w:r>
        <w:fldChar w:fldCharType="begin"/>
      </w:r>
      <w:r>
        <w:instrText xml:space="preserve"> REF _Ref4681604 \r \h </w:instrText>
      </w:r>
      <w:r>
        <w:fldChar w:fldCharType="separate"/>
      </w:r>
      <w:r w:rsidR="0046473F">
        <w:t>[1]</w:t>
      </w:r>
      <w:r>
        <w:fldChar w:fldCharType="end"/>
      </w:r>
      <w:r>
        <w:t xml:space="preserve">, RAN further revised the corresponding (abbreviated) feature description to the following </w:t>
      </w:r>
      <w:r>
        <w:fldChar w:fldCharType="begin"/>
      </w:r>
      <w:r>
        <w:instrText xml:space="preserve"> REF _Ref4681870 \r \h </w:instrText>
      </w:r>
      <w:r>
        <w:fldChar w:fldCharType="separate"/>
      </w:r>
      <w:r w:rsidR="0046473F">
        <w:t>[2]</w:t>
      </w:r>
      <w:r>
        <w:fldChar w:fldCharType="end"/>
      </w:r>
      <w:r>
        <w:t>:</w:t>
      </w:r>
    </w:p>
    <w:p w14:paraId="715166F7" w14:textId="77777777" w:rsidR="00AB11CB" w:rsidRDefault="00AB11CB" w:rsidP="00AB11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6"/>
        <w:gridCol w:w="957"/>
        <w:gridCol w:w="3064"/>
        <w:gridCol w:w="1523"/>
        <w:gridCol w:w="573"/>
        <w:gridCol w:w="1982"/>
        <w:gridCol w:w="1304"/>
      </w:tblGrid>
      <w:tr w:rsidR="00AB11CB" w:rsidRPr="00502559" w14:paraId="05A1264F" w14:textId="77777777" w:rsidTr="0093516C">
        <w:trPr>
          <w:trHeight w:val="20"/>
        </w:trPr>
        <w:tc>
          <w:tcPr>
            <w:tcW w:w="0" w:type="auto"/>
            <w:shd w:val="clear" w:color="auto" w:fill="auto"/>
            <w:vAlign w:val="center"/>
          </w:tcPr>
          <w:p w14:paraId="5AE812D5" w14:textId="77777777" w:rsidR="00AB11CB" w:rsidRPr="006B2936" w:rsidRDefault="00AB11CB" w:rsidP="0093516C">
            <w:pPr>
              <w:snapToGrid w:val="0"/>
              <w:rPr>
                <w:rFonts w:ascii="Arial" w:eastAsia="MS PGothic" w:hAnsi="Arial" w:cs="Arial"/>
                <w:b/>
                <w:color w:val="000000"/>
                <w:sz w:val="14"/>
                <w:szCs w:val="16"/>
              </w:rPr>
            </w:pPr>
            <w:r w:rsidRPr="006B2936">
              <w:rPr>
                <w:rFonts w:ascii="Arial" w:eastAsia="MS PGothic" w:hAnsi="Arial" w:cs="Arial"/>
                <w:b/>
                <w:color w:val="000000"/>
                <w:sz w:val="14"/>
                <w:szCs w:val="16"/>
              </w:rPr>
              <w:t>#</w:t>
            </w:r>
          </w:p>
        </w:tc>
        <w:tc>
          <w:tcPr>
            <w:tcW w:w="0" w:type="auto"/>
            <w:shd w:val="clear" w:color="auto" w:fill="auto"/>
            <w:vAlign w:val="center"/>
          </w:tcPr>
          <w:p w14:paraId="14274E06" w14:textId="77777777" w:rsidR="00AB11CB" w:rsidRPr="006B2936" w:rsidRDefault="00AB11CB" w:rsidP="0093516C">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Feature group</w:t>
            </w:r>
          </w:p>
        </w:tc>
        <w:tc>
          <w:tcPr>
            <w:tcW w:w="0" w:type="auto"/>
            <w:shd w:val="clear" w:color="auto" w:fill="auto"/>
            <w:vAlign w:val="center"/>
          </w:tcPr>
          <w:p w14:paraId="42E8EB16" w14:textId="77777777" w:rsidR="00AB11CB" w:rsidRPr="006B2936" w:rsidRDefault="00AB11CB" w:rsidP="0093516C">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Components</w:t>
            </w:r>
          </w:p>
        </w:tc>
        <w:tc>
          <w:tcPr>
            <w:tcW w:w="0" w:type="auto"/>
            <w:shd w:val="clear" w:color="auto" w:fill="auto"/>
            <w:vAlign w:val="center"/>
          </w:tcPr>
          <w:p w14:paraId="7C8F7997" w14:textId="77777777" w:rsidR="00AB11CB" w:rsidRPr="006B2936" w:rsidRDefault="00AB11CB" w:rsidP="0093516C">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Consequences if the feature</w:t>
            </w:r>
          </w:p>
          <w:p w14:paraId="27388474" w14:textId="77777777" w:rsidR="00AB11CB" w:rsidRPr="006B2936" w:rsidRDefault="00AB11CB" w:rsidP="0093516C">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 xml:space="preserve"> is not supported by the UE</w:t>
            </w:r>
          </w:p>
        </w:tc>
        <w:tc>
          <w:tcPr>
            <w:tcW w:w="0" w:type="auto"/>
            <w:shd w:val="clear" w:color="auto" w:fill="auto"/>
            <w:vAlign w:val="center"/>
          </w:tcPr>
          <w:p w14:paraId="3E3E0D83" w14:textId="77777777" w:rsidR="00AB11CB" w:rsidRPr="006B2936" w:rsidRDefault="00AB11CB" w:rsidP="0093516C">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Type (See R4-17121 19)</w:t>
            </w:r>
          </w:p>
        </w:tc>
        <w:tc>
          <w:tcPr>
            <w:tcW w:w="0" w:type="auto"/>
            <w:shd w:val="clear" w:color="auto" w:fill="auto"/>
            <w:vAlign w:val="center"/>
          </w:tcPr>
          <w:p w14:paraId="6D993D58" w14:textId="77777777" w:rsidR="00AB11CB" w:rsidRPr="006B2936" w:rsidRDefault="00AB11CB" w:rsidP="0093516C">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Remarks</w:t>
            </w:r>
          </w:p>
        </w:tc>
        <w:tc>
          <w:tcPr>
            <w:tcW w:w="1304" w:type="dxa"/>
            <w:shd w:val="clear" w:color="auto" w:fill="auto"/>
            <w:vAlign w:val="center"/>
          </w:tcPr>
          <w:p w14:paraId="2AD3423F" w14:textId="77777777" w:rsidR="00AB11CB" w:rsidRPr="006B2936" w:rsidRDefault="00AB11CB" w:rsidP="0093516C">
            <w:pPr>
              <w:snapToGrid w:val="0"/>
              <w:rPr>
                <w:rFonts w:ascii="Arial" w:eastAsia="MS PGothic" w:hAnsi="Arial" w:cs="Arial"/>
                <w:b/>
                <w:color w:val="000000"/>
                <w:sz w:val="14"/>
                <w:szCs w:val="16"/>
                <w:lang w:eastAsia="ja-JP"/>
              </w:rPr>
            </w:pPr>
            <w:r w:rsidRPr="006B2936">
              <w:rPr>
                <w:rFonts w:ascii="Arial" w:eastAsia="MS PGothic" w:hAnsi="Arial" w:cs="Arial"/>
                <w:b/>
                <w:color w:val="000000"/>
                <w:sz w:val="14"/>
                <w:szCs w:val="16"/>
                <w:lang w:eastAsia="ja-JP"/>
              </w:rPr>
              <w:t>TSG-RAN decision</w:t>
            </w:r>
          </w:p>
        </w:tc>
      </w:tr>
      <w:tr w:rsidR="00AB11CB" w:rsidRPr="00502559" w14:paraId="2468AB44" w14:textId="77777777" w:rsidTr="0093516C">
        <w:trPr>
          <w:trHeight w:val="20"/>
        </w:trPr>
        <w:tc>
          <w:tcPr>
            <w:tcW w:w="0" w:type="auto"/>
            <w:shd w:val="clear" w:color="auto" w:fill="auto"/>
            <w:vAlign w:val="center"/>
          </w:tcPr>
          <w:p w14:paraId="124759C0" w14:textId="77777777" w:rsidR="00AB11CB" w:rsidRPr="00502559" w:rsidRDefault="00AB11CB" w:rsidP="0093516C">
            <w:pPr>
              <w:snapToGrid w:val="0"/>
              <w:rPr>
                <w:rFonts w:ascii="Arial" w:eastAsia="MS PGothic" w:hAnsi="Arial" w:cs="Arial"/>
                <w:color w:val="000000"/>
                <w:sz w:val="14"/>
                <w:szCs w:val="16"/>
                <w:lang w:eastAsia="ja-JP"/>
              </w:rPr>
            </w:pPr>
            <w:r w:rsidRPr="00502559">
              <w:rPr>
                <w:rFonts w:ascii="Arial" w:eastAsia="MS PGothic" w:hAnsi="Arial" w:cs="Arial"/>
                <w:color w:val="000000"/>
                <w:sz w:val="14"/>
                <w:szCs w:val="16"/>
              </w:rPr>
              <w:t>2-16</w:t>
            </w:r>
          </w:p>
        </w:tc>
        <w:tc>
          <w:tcPr>
            <w:tcW w:w="0" w:type="auto"/>
            <w:shd w:val="clear" w:color="auto" w:fill="auto"/>
            <w:vAlign w:val="center"/>
          </w:tcPr>
          <w:p w14:paraId="564AE54D" w14:textId="77777777" w:rsidR="00AB11CB" w:rsidRPr="00502559" w:rsidRDefault="00AB11CB" w:rsidP="0093516C">
            <w:pPr>
              <w:snapToGrid w:val="0"/>
              <w:rPr>
                <w:rFonts w:ascii="Arial" w:eastAsia="MS PGothic" w:hAnsi="Arial" w:cs="Arial"/>
                <w:color w:val="000000"/>
                <w:sz w:val="14"/>
                <w:szCs w:val="16"/>
                <w:lang w:eastAsia="ja-JP"/>
              </w:rPr>
            </w:pPr>
            <w:r w:rsidRPr="00502559">
              <w:rPr>
                <w:rFonts w:ascii="Arial" w:eastAsia="MS PGothic" w:hAnsi="Arial" w:cs="Arial" w:hint="eastAsia"/>
                <w:color w:val="000000"/>
                <w:sz w:val="14"/>
                <w:szCs w:val="16"/>
                <w:lang w:eastAsia="ja-JP"/>
              </w:rPr>
              <w:t>M</w:t>
            </w:r>
            <w:r w:rsidRPr="00502559">
              <w:rPr>
                <w:rFonts w:ascii="Arial" w:eastAsia="MS PGothic" w:hAnsi="Arial" w:cs="Arial"/>
                <w:color w:val="000000"/>
                <w:sz w:val="14"/>
                <w:szCs w:val="16"/>
                <w:lang w:eastAsia="ja-JP"/>
              </w:rPr>
              <w:t xml:space="preserve">aximum uplink duty cycle </w:t>
            </w:r>
            <w:r w:rsidRPr="00502559">
              <w:rPr>
                <w:rFonts w:ascii="Arial" w:eastAsia="MS PGothic" w:hAnsi="Arial" w:cs="Arial"/>
                <w:color w:val="000000"/>
                <w:sz w:val="14"/>
                <w:szCs w:val="16"/>
              </w:rPr>
              <w:t xml:space="preserve">for </w:t>
            </w:r>
            <w:r w:rsidRPr="00502559">
              <w:rPr>
                <w:rFonts w:ascii="Arial" w:eastAsia="MS PGothic" w:hAnsi="Arial" w:cs="Arial" w:hint="eastAsia"/>
                <w:color w:val="000000"/>
                <w:sz w:val="14"/>
                <w:szCs w:val="16"/>
              </w:rPr>
              <w:t xml:space="preserve">FR2 power class </w:t>
            </w:r>
            <w:r w:rsidRPr="00502559">
              <w:rPr>
                <w:rFonts w:ascii="Arial" w:eastAsia="MS PGothic" w:hAnsi="Arial" w:cs="Arial"/>
                <w:color w:val="000000"/>
                <w:sz w:val="14"/>
                <w:szCs w:val="16"/>
              </w:rPr>
              <w:t>3</w:t>
            </w:r>
            <w:r w:rsidRPr="00502559">
              <w:rPr>
                <w:rFonts w:ascii="Arial" w:eastAsia="MS PGothic" w:hAnsi="Arial" w:cs="Arial" w:hint="eastAsia"/>
                <w:color w:val="000000"/>
                <w:sz w:val="14"/>
                <w:szCs w:val="16"/>
              </w:rPr>
              <w:t xml:space="preserve"> UE</w:t>
            </w:r>
          </w:p>
        </w:tc>
        <w:tc>
          <w:tcPr>
            <w:tcW w:w="0" w:type="auto"/>
            <w:shd w:val="clear" w:color="auto" w:fill="auto"/>
            <w:vAlign w:val="center"/>
          </w:tcPr>
          <w:p w14:paraId="124BB0EA" w14:textId="77777777" w:rsidR="00AB11CB" w:rsidRPr="00502559" w:rsidRDefault="00AB11CB" w:rsidP="0093516C">
            <w:pPr>
              <w:snapToGrid w:val="0"/>
              <w:rPr>
                <w:rFonts w:ascii="Arial" w:eastAsia="MS PGothic" w:hAnsi="Arial" w:cs="Arial"/>
                <w:color w:val="000000"/>
                <w:sz w:val="14"/>
                <w:szCs w:val="16"/>
              </w:rPr>
            </w:pPr>
            <w:r w:rsidRPr="00502559">
              <w:rPr>
                <w:rFonts w:ascii="Arial" w:eastAsia="MS PGothic" w:hAnsi="Arial" w:cs="Arial" w:hint="eastAsia"/>
                <w:color w:val="000000"/>
                <w:sz w:val="14"/>
                <w:szCs w:val="16"/>
                <w:lang w:eastAsia="ja-JP"/>
              </w:rPr>
              <w:t>1</w:t>
            </w:r>
            <w:r w:rsidRPr="00502559">
              <w:rPr>
                <w:rFonts w:ascii="Arial" w:eastAsia="MS PGothic" w:hAnsi="Arial" w:cs="Arial"/>
                <w:color w:val="000000"/>
                <w:sz w:val="14"/>
                <w:szCs w:val="16"/>
                <w:lang w:eastAsia="ja-JP"/>
              </w:rPr>
              <w:t xml:space="preserve">) Maximum percentage of uplink transmission time that can be scheduled within 1s time window in order to ensure compliance with applicable electromagnetic energy absorption requirements provided by regulatory bodies. </w:t>
            </w:r>
            <w:r w:rsidRPr="00502559">
              <w:rPr>
                <w:rFonts w:ascii="Arial" w:eastAsia="MS PGothic" w:hAnsi="Arial" w:cs="Arial"/>
                <w:color w:val="000000"/>
                <w:sz w:val="14"/>
                <w:szCs w:val="16"/>
              </w:rPr>
              <w:t>The value range is {10%</w:t>
            </w:r>
            <w:r>
              <w:rPr>
                <w:rFonts w:ascii="Arial" w:eastAsia="MS PGothic" w:hAnsi="Arial" w:cs="Arial"/>
                <w:color w:val="000000"/>
                <w:sz w:val="14"/>
                <w:szCs w:val="16"/>
              </w:rPr>
              <w:t xml:space="preserve"> </w:t>
            </w:r>
            <w:r>
              <w:rPr>
                <w:rFonts w:ascii="Arial" w:eastAsia="MS PGothic" w:hAnsi="Arial" w:cs="Arial" w:hint="eastAsia"/>
                <w:color w:val="000000"/>
                <w:sz w:val="14"/>
                <w:szCs w:val="16"/>
                <w:lang w:eastAsia="ja-JP"/>
              </w:rPr>
              <w:t>(</w:t>
            </w:r>
            <w:r>
              <w:rPr>
                <w:rFonts w:ascii="Arial" w:eastAsia="MS PGothic" w:hAnsi="Arial" w:cs="Arial"/>
                <w:color w:val="000000"/>
                <w:sz w:val="14"/>
                <w:szCs w:val="16"/>
                <w:lang w:eastAsia="ja-JP"/>
              </w:rPr>
              <w:t>TBD</w:t>
            </w:r>
            <w:r>
              <w:rPr>
                <w:rFonts w:ascii="Arial" w:eastAsia="MS PGothic" w:hAnsi="Arial" w:cs="Arial" w:hint="eastAsia"/>
                <w:color w:val="000000"/>
                <w:sz w:val="14"/>
                <w:szCs w:val="16"/>
                <w:lang w:eastAsia="ja-JP"/>
              </w:rPr>
              <w:t>)</w:t>
            </w:r>
            <w:r w:rsidRPr="00502559">
              <w:rPr>
                <w:rFonts w:ascii="Arial" w:eastAsia="MS PGothic" w:hAnsi="Arial" w:cs="Arial"/>
                <w:color w:val="000000"/>
                <w:sz w:val="14"/>
                <w:szCs w:val="16"/>
              </w:rPr>
              <w:t xml:space="preserve">, 20%, </w:t>
            </w:r>
            <w:r>
              <w:rPr>
                <w:rFonts w:ascii="Arial" w:eastAsia="MS PGothic" w:hAnsi="Arial" w:cs="Arial"/>
                <w:color w:val="000000"/>
                <w:sz w:val="14"/>
                <w:szCs w:val="16"/>
              </w:rPr>
              <w:t xml:space="preserve">25%, </w:t>
            </w:r>
            <w:r w:rsidRPr="00502559">
              <w:rPr>
                <w:rFonts w:ascii="Arial" w:eastAsia="MS PGothic" w:hAnsi="Arial" w:cs="Arial"/>
                <w:color w:val="000000"/>
                <w:sz w:val="14"/>
                <w:szCs w:val="16"/>
              </w:rPr>
              <w:t>30%, 40%, 50%, 60%, 70%, 80%, 90%, 100%}.</w:t>
            </w:r>
            <w:r w:rsidRPr="00502559">
              <w:rPr>
                <w:rFonts w:ascii="Arial" w:eastAsia="MS PGothic" w:hAnsi="Arial" w:cs="Arial" w:hint="eastAsia"/>
                <w:color w:val="000000"/>
                <w:sz w:val="14"/>
                <w:szCs w:val="16"/>
              </w:rPr>
              <w:t xml:space="preserve"> </w:t>
            </w:r>
          </w:p>
        </w:tc>
        <w:tc>
          <w:tcPr>
            <w:tcW w:w="0" w:type="auto"/>
            <w:shd w:val="clear" w:color="auto" w:fill="auto"/>
            <w:vAlign w:val="center"/>
          </w:tcPr>
          <w:p w14:paraId="7CCEB0BC" w14:textId="77777777" w:rsidR="00AB11CB" w:rsidRPr="00502559" w:rsidRDefault="00AB11CB" w:rsidP="0093516C">
            <w:pPr>
              <w:snapToGrid w:val="0"/>
              <w:rPr>
                <w:rFonts w:ascii="Arial" w:eastAsia="MS PGothic" w:hAnsi="Arial" w:cs="Arial"/>
                <w:color w:val="000000"/>
                <w:sz w:val="14"/>
                <w:szCs w:val="16"/>
                <w:lang w:eastAsia="ja-JP"/>
              </w:rPr>
            </w:pPr>
            <w:r w:rsidRPr="00502559">
              <w:rPr>
                <w:rFonts w:ascii="Arial" w:eastAsia="MS PGothic" w:hAnsi="Arial" w:cs="Arial"/>
                <w:color w:val="000000"/>
                <w:sz w:val="14"/>
                <w:szCs w:val="16"/>
                <w:lang w:eastAsia="ja-JP"/>
              </w:rPr>
              <w:t>UE relies on the power back off as in TS38.101-2 to ensure the regulatory compliance</w:t>
            </w:r>
          </w:p>
        </w:tc>
        <w:tc>
          <w:tcPr>
            <w:tcW w:w="0" w:type="auto"/>
            <w:shd w:val="clear" w:color="auto" w:fill="auto"/>
            <w:vAlign w:val="center"/>
          </w:tcPr>
          <w:p w14:paraId="205F1130" w14:textId="77777777" w:rsidR="00AB11CB" w:rsidRPr="00502559" w:rsidRDefault="00AB11CB" w:rsidP="0093516C">
            <w:pPr>
              <w:snapToGrid w:val="0"/>
              <w:rPr>
                <w:rFonts w:ascii="Arial" w:eastAsia="MS PGothic" w:hAnsi="Arial" w:cs="Arial"/>
                <w:color w:val="000000"/>
                <w:sz w:val="14"/>
                <w:szCs w:val="16"/>
                <w:lang w:eastAsia="ja-JP"/>
              </w:rPr>
            </w:pPr>
            <w:r w:rsidRPr="00502559">
              <w:rPr>
                <w:rFonts w:ascii="Arial" w:eastAsia="MS PGothic" w:hAnsi="Arial" w:cs="Arial" w:hint="eastAsia"/>
                <w:color w:val="000000"/>
                <w:sz w:val="14"/>
                <w:szCs w:val="16"/>
                <w:lang w:eastAsia="ja-JP"/>
              </w:rPr>
              <w:t>T</w:t>
            </w:r>
            <w:r w:rsidRPr="00502559">
              <w:rPr>
                <w:rFonts w:ascii="Arial" w:eastAsia="MS PGothic" w:hAnsi="Arial" w:cs="Arial"/>
                <w:color w:val="000000"/>
                <w:sz w:val="14"/>
                <w:szCs w:val="16"/>
                <w:lang w:eastAsia="ja-JP"/>
              </w:rPr>
              <w:t>ype 1</w:t>
            </w:r>
          </w:p>
        </w:tc>
        <w:tc>
          <w:tcPr>
            <w:tcW w:w="0" w:type="auto"/>
            <w:shd w:val="clear" w:color="auto" w:fill="auto"/>
            <w:vAlign w:val="center"/>
          </w:tcPr>
          <w:p w14:paraId="7A231FB2" w14:textId="77777777" w:rsidR="00AB11CB" w:rsidRPr="00502559" w:rsidRDefault="00AB11CB" w:rsidP="0093516C">
            <w:pPr>
              <w:snapToGrid w:val="0"/>
              <w:rPr>
                <w:rFonts w:ascii="Arial" w:eastAsia="MS PGothic" w:hAnsi="Arial" w:cs="Arial"/>
                <w:color w:val="000000"/>
                <w:sz w:val="14"/>
                <w:szCs w:val="16"/>
                <w:lang w:eastAsia="ja-JP"/>
              </w:rPr>
            </w:pPr>
            <w:r w:rsidRPr="00502559">
              <w:rPr>
                <w:rFonts w:ascii="Arial" w:eastAsia="MS PGothic" w:hAnsi="Arial" w:cs="Arial" w:hint="eastAsia"/>
                <w:color w:val="000000"/>
                <w:sz w:val="14"/>
                <w:szCs w:val="16"/>
                <w:lang w:eastAsia="ja-JP"/>
              </w:rPr>
              <w:t>P</w:t>
            </w:r>
            <w:r w:rsidRPr="00502559">
              <w:rPr>
                <w:rFonts w:ascii="Arial" w:eastAsia="MS PGothic" w:hAnsi="Arial" w:cs="Arial"/>
                <w:color w:val="000000"/>
                <w:sz w:val="14"/>
                <w:szCs w:val="16"/>
                <w:lang w:eastAsia="ja-JP"/>
              </w:rPr>
              <w:t>er band capability.</w:t>
            </w:r>
          </w:p>
          <w:p w14:paraId="3083F7E3" w14:textId="77777777" w:rsidR="00AB11CB" w:rsidRPr="00502559" w:rsidRDefault="00AB11CB" w:rsidP="0093516C">
            <w:pPr>
              <w:snapToGrid w:val="0"/>
              <w:rPr>
                <w:rFonts w:ascii="Arial" w:eastAsia="MS PGothic" w:hAnsi="Arial" w:cs="Arial"/>
                <w:color w:val="000000"/>
                <w:sz w:val="14"/>
                <w:szCs w:val="16"/>
                <w:lang w:eastAsia="ja-JP"/>
              </w:rPr>
            </w:pPr>
            <w:r w:rsidRPr="00502559">
              <w:rPr>
                <w:rFonts w:ascii="Arial" w:eastAsia="MS PGothic" w:hAnsi="Arial" w:cs="Arial"/>
                <w:color w:val="000000"/>
                <w:sz w:val="14"/>
                <w:szCs w:val="16"/>
              </w:rPr>
              <w:t xml:space="preserve">Default value is </w:t>
            </w:r>
            <w:r w:rsidRPr="00502559">
              <w:rPr>
                <w:rFonts w:ascii="Arial" w:eastAsia="MS PGothic" w:hAnsi="Arial" w:cs="Arial" w:hint="eastAsia"/>
                <w:color w:val="000000"/>
                <w:sz w:val="14"/>
                <w:szCs w:val="16"/>
                <w:lang w:eastAsia="ja-JP"/>
              </w:rPr>
              <w:t>FFS</w:t>
            </w:r>
          </w:p>
          <w:p w14:paraId="51C97BA2" w14:textId="77777777" w:rsidR="00AB11CB" w:rsidRDefault="00AB11CB" w:rsidP="0093516C">
            <w:pPr>
              <w:snapToGrid w:val="0"/>
              <w:rPr>
                <w:rFonts w:ascii="Arial" w:eastAsia="MS PGothic" w:hAnsi="Arial" w:cs="Arial"/>
                <w:color w:val="000000"/>
                <w:sz w:val="14"/>
                <w:szCs w:val="16"/>
                <w:lang w:eastAsia="ja-JP"/>
              </w:rPr>
            </w:pPr>
            <w:r w:rsidRPr="00502559">
              <w:rPr>
                <w:rFonts w:ascii="Arial" w:eastAsia="MS PGothic" w:hAnsi="Arial" w:cs="Arial"/>
                <w:color w:val="000000"/>
                <w:sz w:val="14"/>
                <w:szCs w:val="16"/>
                <w:lang w:eastAsia="ja-JP"/>
              </w:rPr>
              <w:t>For a FR2 UE when the percentage of uplink transmission time scheduled within a certain evaluation period is larger than its capability, UE could do power back off as in TS38.101-2.</w:t>
            </w:r>
          </w:p>
          <w:p w14:paraId="3998CA39" w14:textId="77777777" w:rsidR="00AB11CB" w:rsidRDefault="00AB11CB" w:rsidP="0093516C">
            <w:pPr>
              <w:snapToGrid w:val="0"/>
              <w:rPr>
                <w:rFonts w:ascii="Arial" w:eastAsia="MS PGothic" w:hAnsi="Arial" w:cs="Arial"/>
                <w:color w:val="000000"/>
                <w:sz w:val="14"/>
                <w:szCs w:val="16"/>
                <w:lang w:eastAsia="ja-JP"/>
              </w:rPr>
            </w:pPr>
          </w:p>
          <w:p w14:paraId="3592B46A" w14:textId="77777777" w:rsidR="00AB11CB" w:rsidRPr="00502559" w:rsidRDefault="00AB11CB" w:rsidP="0093516C">
            <w:pPr>
              <w:snapToGrid w:val="0"/>
              <w:rPr>
                <w:rFonts w:ascii="Arial" w:eastAsia="MS PGothic" w:hAnsi="Arial" w:cs="Arial"/>
                <w:color w:val="000000"/>
                <w:sz w:val="14"/>
                <w:szCs w:val="16"/>
                <w:lang w:eastAsia="ja-JP"/>
              </w:rPr>
            </w:pPr>
            <w:r>
              <w:rPr>
                <w:rFonts w:ascii="Arial" w:eastAsia="MS PGothic" w:hAnsi="Arial" w:cs="Arial"/>
                <w:color w:val="000000"/>
                <w:sz w:val="14"/>
                <w:szCs w:val="16"/>
                <w:lang w:eastAsia="ja-JP"/>
              </w:rPr>
              <w:t>Note: RAN4 is asked whether any value &lt;=10% should be added.</w:t>
            </w:r>
          </w:p>
        </w:tc>
        <w:tc>
          <w:tcPr>
            <w:tcW w:w="1304" w:type="dxa"/>
            <w:shd w:val="clear" w:color="auto" w:fill="auto"/>
            <w:vAlign w:val="center"/>
          </w:tcPr>
          <w:p w14:paraId="582019D4" w14:textId="77777777" w:rsidR="00AB11CB" w:rsidRPr="00502559" w:rsidRDefault="00AB11CB" w:rsidP="0093516C">
            <w:pPr>
              <w:snapToGrid w:val="0"/>
              <w:rPr>
                <w:rFonts w:ascii="Arial" w:eastAsia="MS PGothic" w:hAnsi="Arial" w:cs="Arial"/>
                <w:color w:val="000000"/>
                <w:sz w:val="14"/>
                <w:szCs w:val="16"/>
                <w:lang w:eastAsia="ja-JP"/>
              </w:rPr>
            </w:pPr>
            <w:r w:rsidRPr="00502559">
              <w:rPr>
                <w:rFonts w:ascii="Arial" w:eastAsia="MS PGothic" w:hAnsi="Arial" w:cs="Arial"/>
                <w:color w:val="000000"/>
                <w:sz w:val="14"/>
                <w:szCs w:val="16"/>
                <w:lang w:eastAsia="ja-JP"/>
              </w:rPr>
              <w:t>Mandatory to report non-default uplink duty cycle if UE supports</w:t>
            </w:r>
          </w:p>
          <w:p w14:paraId="628BB341" w14:textId="77777777" w:rsidR="00AB11CB" w:rsidRPr="00502559" w:rsidRDefault="00AB11CB" w:rsidP="0093516C">
            <w:pPr>
              <w:snapToGrid w:val="0"/>
              <w:rPr>
                <w:rFonts w:ascii="Arial" w:eastAsia="MS PGothic" w:hAnsi="Arial" w:cs="Arial"/>
                <w:color w:val="000000"/>
                <w:sz w:val="14"/>
                <w:szCs w:val="16"/>
              </w:rPr>
            </w:pPr>
          </w:p>
        </w:tc>
      </w:tr>
    </w:tbl>
    <w:p w14:paraId="0B39BA30" w14:textId="40A88839" w:rsidR="006B2936" w:rsidRDefault="006B2936" w:rsidP="006B6A1A"/>
    <w:p w14:paraId="1C7ED9CD" w14:textId="3BB6D0E2" w:rsidR="006B2936" w:rsidRDefault="006B2936" w:rsidP="006B6A1A">
      <w:r>
        <w:t xml:space="preserve">This paper provides </w:t>
      </w:r>
      <w:r w:rsidR="005F6042">
        <w:t xml:space="preserve">our </w:t>
      </w:r>
      <w:r>
        <w:t xml:space="preserve">views on the </w:t>
      </w:r>
      <w:r w:rsidR="007475E0">
        <w:t>relationship between the maxUplinkDutyCycle capability and the UL RMC slot pattern configuration used in the conformance test.</w:t>
      </w:r>
    </w:p>
    <w:p w14:paraId="442DEB4F" w14:textId="666F3A3B" w:rsidR="006B6A1A" w:rsidRDefault="006B6A1A" w:rsidP="006B6A1A">
      <w:pPr>
        <w:pStyle w:val="Heading1"/>
        <w:rPr>
          <w:lang w:val="en-US"/>
        </w:rPr>
      </w:pPr>
      <w:r w:rsidRPr="00871EA3">
        <w:rPr>
          <w:lang w:val="en-US"/>
        </w:rPr>
        <w:t>Discussion</w:t>
      </w:r>
    </w:p>
    <w:p w14:paraId="41343D2E" w14:textId="6208D922" w:rsidR="00AB11CB" w:rsidRDefault="00AB11CB" w:rsidP="00AB11CB">
      <w:pPr>
        <w:rPr>
          <w:rFonts w:eastAsia="SimSun"/>
        </w:rPr>
      </w:pPr>
      <w:r>
        <w:rPr>
          <w:rFonts w:eastAsia="SimSun"/>
        </w:rPr>
        <w:t xml:space="preserve">The most recent agreement on the UL RMC configuration </w:t>
      </w:r>
      <w:r>
        <w:rPr>
          <w:rFonts w:eastAsia="SimSun"/>
        </w:rPr>
        <w:fldChar w:fldCharType="begin"/>
      </w:r>
      <w:r>
        <w:rPr>
          <w:rFonts w:eastAsia="SimSun"/>
        </w:rPr>
        <w:instrText xml:space="preserve"> REF _Ref642116 \r \h </w:instrText>
      </w:r>
      <w:r>
        <w:rPr>
          <w:rFonts w:eastAsia="SimSun"/>
        </w:rPr>
      </w:r>
      <w:r>
        <w:rPr>
          <w:rFonts w:eastAsia="SimSun"/>
        </w:rPr>
        <w:fldChar w:fldCharType="separate"/>
      </w:r>
      <w:r w:rsidR="0046473F">
        <w:rPr>
          <w:rFonts w:eastAsia="SimSun"/>
        </w:rPr>
        <w:t>[4]</w:t>
      </w:r>
      <w:r>
        <w:rPr>
          <w:rFonts w:eastAsia="SimSun"/>
        </w:rPr>
        <w:fldChar w:fldCharType="end"/>
      </w:r>
      <w:r>
        <w:rPr>
          <w:rFonts w:eastAsia="SimSun"/>
        </w:rPr>
        <w:t xml:space="preserve"> has aligned the uplink period of the RMC with the corresponding RF requirements so that it is set to 1 ms.  This RMC, which is periodic over 2 ms, results in an uplink duty cycle of 50%.  Under this RMC configuration, the behavior of UEs which signal the </w:t>
      </w:r>
      <w:r w:rsidRPr="00A86B1E">
        <w:rPr>
          <w:rFonts w:eastAsia="SimSun"/>
          <w:i/>
        </w:rPr>
        <w:t>maxUplinkDutyCycle</w:t>
      </w:r>
      <w:r>
        <w:rPr>
          <w:rFonts w:eastAsia="SimSun"/>
        </w:rPr>
        <w:t xml:space="preserve"> capability with a value other than 50% may not be well defined in the test:  some UEs may back off their output power, since the RMC configuration’s duty cycle exceeds the device capability.</w:t>
      </w:r>
    </w:p>
    <w:p w14:paraId="0C1BD951" w14:textId="77777777" w:rsidR="00AB11CB" w:rsidRDefault="00AB11CB" w:rsidP="00AB11CB">
      <w:pPr>
        <w:rPr>
          <w:rFonts w:eastAsia="SimSun"/>
        </w:rPr>
      </w:pPr>
    </w:p>
    <w:p w14:paraId="236CB678" w14:textId="75EDE8E4" w:rsidR="00AB11CB" w:rsidRDefault="00AB11CB" w:rsidP="00AB11CB">
      <w:pPr>
        <w:rPr>
          <w:rFonts w:eastAsia="SimSun"/>
        </w:rPr>
      </w:pPr>
      <w:r w:rsidRPr="00A86B1E">
        <w:rPr>
          <w:rFonts w:eastAsia="SimSun"/>
          <w:b/>
        </w:rPr>
        <w:t xml:space="preserve">Proposal </w:t>
      </w:r>
      <w:r w:rsidR="007475E0">
        <w:rPr>
          <w:rFonts w:eastAsia="SimSun"/>
          <w:b/>
        </w:rPr>
        <w:t>1</w:t>
      </w:r>
      <w:r>
        <w:rPr>
          <w:rFonts w:eastAsia="SimSun"/>
        </w:rPr>
        <w:t xml:space="preserve">: The slot patterns of the FR2 TDD reference measurement channel need to be extended to accommodate the </w:t>
      </w:r>
      <w:r w:rsidRPr="00A86B1E">
        <w:rPr>
          <w:rFonts w:eastAsia="SimSun"/>
          <w:i/>
        </w:rPr>
        <w:t>maxUplinkDutyCycle</w:t>
      </w:r>
      <w:r>
        <w:rPr>
          <w:rFonts w:eastAsia="SimSun"/>
        </w:rPr>
        <w:t xml:space="preserve"> capability of the UE during the conformance test.</w:t>
      </w:r>
    </w:p>
    <w:p w14:paraId="1CA0DC5B" w14:textId="77777777" w:rsidR="00AB11CB" w:rsidRDefault="00AB11CB" w:rsidP="00AB11CB">
      <w:pPr>
        <w:rPr>
          <w:rFonts w:eastAsia="SimSun"/>
        </w:rPr>
      </w:pPr>
    </w:p>
    <w:p w14:paraId="1C062628" w14:textId="77777777" w:rsidR="00194E22" w:rsidRDefault="00AB11CB" w:rsidP="00AB11CB">
      <w:pPr>
        <w:rPr>
          <w:rFonts w:eastAsia="SimSun"/>
        </w:rPr>
      </w:pPr>
      <w:r>
        <w:rPr>
          <w:rFonts w:eastAsia="SimSun"/>
        </w:rPr>
        <w:t xml:space="preserve">One approach to extend the slot the patterns of the FR2 TDD RMC is to maintain the uplink period </w:t>
      </w:r>
    </w:p>
    <w:p w14:paraId="44798A8D" w14:textId="77777777" w:rsidR="004C1448" w:rsidRDefault="00AB11CB" w:rsidP="00AB11CB">
      <w:pPr>
        <w:rPr>
          <w:rFonts w:eastAsia="SimSun"/>
        </w:rPr>
      </w:pPr>
      <w:r>
        <w:rPr>
          <w:rFonts w:eastAsia="SimSun"/>
        </w:rPr>
        <w:t>of 1 ms and to extend the downlink period so that the resulting duty cycle aligns with the capability.</w:t>
      </w:r>
    </w:p>
    <w:p w14:paraId="76409D40" w14:textId="77777777" w:rsidR="004C1448" w:rsidRDefault="004C1448" w:rsidP="00AB11CB">
      <w:pPr>
        <w:rPr>
          <w:rFonts w:eastAsia="SimSun"/>
        </w:rPr>
      </w:pPr>
    </w:p>
    <w:p w14:paraId="21AC3290" w14:textId="1CB2DC0C" w:rsidR="00194E22" w:rsidRDefault="004C1448" w:rsidP="00AB11CB">
      <w:pPr>
        <w:rPr>
          <w:rFonts w:eastAsia="SimSun"/>
        </w:rPr>
      </w:pPr>
      <w:r>
        <w:rPr>
          <w:rFonts w:eastAsia="SimSun"/>
        </w:rPr>
        <w:t>The number of possible maxUplinkDutyCycle values can lead to a large number of conformance test configurations, which is not desirable from the test setup complexity point of view.  In an effort to minimize the number of UL RMC slot pattern configurations, we select a subset, such that patterns corresponding to 50%, 25%, and 10% duty cycle are available.</w:t>
      </w:r>
    </w:p>
    <w:p w14:paraId="14B08A2F" w14:textId="53B1EE09" w:rsidR="00CF1E64" w:rsidRDefault="00CF1E64" w:rsidP="00AB11CB">
      <w:pPr>
        <w:rPr>
          <w:rFonts w:eastAsia="SimSun"/>
        </w:rPr>
      </w:pPr>
    </w:p>
    <w:p w14:paraId="6C05BB9D" w14:textId="34329B11" w:rsidR="00CF1E64" w:rsidRDefault="00CF1E64" w:rsidP="00AB11CB">
      <w:pPr>
        <w:rPr>
          <w:rFonts w:eastAsia="SimSun"/>
        </w:rPr>
      </w:pPr>
      <w:r w:rsidRPr="00CF1E64">
        <w:rPr>
          <w:rFonts w:eastAsia="SimSun"/>
          <w:b/>
        </w:rPr>
        <w:lastRenderedPageBreak/>
        <w:t>Proposal 2</w:t>
      </w:r>
      <w:r>
        <w:rPr>
          <w:rFonts w:eastAsia="SimSun"/>
        </w:rPr>
        <w:t>: UL RMC slot patterns can be defined according to the subset of duty cycle values consisting of {50%, 25%, 10% (TBC)}, and an OEM declaration can be used to select the slot pattern for the conformance test.</w:t>
      </w:r>
    </w:p>
    <w:p w14:paraId="6C5D2305" w14:textId="2811C047" w:rsidR="00194E22" w:rsidRDefault="00194E22" w:rsidP="00AB11CB">
      <w:pPr>
        <w:rPr>
          <w:rFonts w:eastAsia="SimSun"/>
        </w:rPr>
      </w:pPr>
    </w:p>
    <w:p w14:paraId="3D789DB8" w14:textId="348F99BD" w:rsidR="00194E22" w:rsidRDefault="00194E22" w:rsidP="00194E22">
      <w:pPr>
        <w:rPr>
          <w:rFonts w:eastAsia="SimSun"/>
        </w:rPr>
      </w:pPr>
      <w:r>
        <w:rPr>
          <w:rFonts w:eastAsia="SimSun"/>
        </w:rPr>
        <w:fldChar w:fldCharType="begin"/>
      </w:r>
      <w:r>
        <w:rPr>
          <w:rFonts w:eastAsia="SimSun"/>
        </w:rPr>
        <w:instrText xml:space="preserve"> REF _Ref643403 \h </w:instrText>
      </w:r>
      <w:r>
        <w:rPr>
          <w:rFonts w:eastAsia="SimSun"/>
        </w:rPr>
      </w:r>
      <w:r>
        <w:rPr>
          <w:rFonts w:eastAsia="SimSun"/>
        </w:rPr>
        <w:fldChar w:fldCharType="separate"/>
      </w:r>
      <w:r w:rsidR="0046473F">
        <w:t xml:space="preserve">Table </w:t>
      </w:r>
      <w:r w:rsidR="0046473F">
        <w:rPr>
          <w:noProof/>
        </w:rPr>
        <w:t>1</w:t>
      </w:r>
      <w:r>
        <w:rPr>
          <w:rFonts w:eastAsia="SimSun"/>
        </w:rPr>
        <w:fldChar w:fldCharType="end"/>
      </w:r>
      <w:r>
        <w:rPr>
          <w:rFonts w:eastAsia="SimSun"/>
        </w:rPr>
        <w:t xml:space="preserve"> below illustrates the slot patterns for 60 kHz SCS.</w:t>
      </w:r>
    </w:p>
    <w:p w14:paraId="57475EE7" w14:textId="77777777" w:rsidR="00194E22" w:rsidRDefault="00194E22" w:rsidP="00194E22">
      <w:pPr>
        <w:rPr>
          <w:rFonts w:eastAsia="SimSun"/>
        </w:rPr>
      </w:pPr>
    </w:p>
    <w:p w14:paraId="6810B38F" w14:textId="68435C50" w:rsidR="00194E22" w:rsidRDefault="00194E22" w:rsidP="00194E22">
      <w:pPr>
        <w:pStyle w:val="Caption"/>
        <w:jc w:val="center"/>
      </w:pPr>
      <w:bookmarkStart w:id="0" w:name="_Ref643403"/>
      <w:r>
        <w:t xml:space="preserve">Table </w:t>
      </w:r>
      <w:r>
        <w:rPr>
          <w:noProof/>
        </w:rPr>
        <w:fldChar w:fldCharType="begin"/>
      </w:r>
      <w:r>
        <w:rPr>
          <w:noProof/>
        </w:rPr>
        <w:instrText xml:space="preserve"> SEQ Table \* ARABIC </w:instrText>
      </w:r>
      <w:r>
        <w:rPr>
          <w:noProof/>
        </w:rPr>
        <w:fldChar w:fldCharType="separate"/>
      </w:r>
      <w:r w:rsidR="0046473F">
        <w:rPr>
          <w:noProof/>
        </w:rPr>
        <w:t>1</w:t>
      </w:r>
      <w:r>
        <w:rPr>
          <w:noProof/>
        </w:rPr>
        <w:fldChar w:fldCharType="end"/>
      </w:r>
      <w:bookmarkEnd w:id="0"/>
      <w:r>
        <w:t>: Slot patterns of the 60 kHz SCS RMC according to maxUplinkDutyCycle</w:t>
      </w:r>
    </w:p>
    <w:tbl>
      <w:tblPr>
        <w:tblW w:w="0" w:type="auto"/>
        <w:jc w:val="center"/>
        <w:tblCellMar>
          <w:left w:w="0" w:type="dxa"/>
          <w:right w:w="0" w:type="dxa"/>
        </w:tblCellMar>
        <w:tblLook w:val="04A0" w:firstRow="1" w:lastRow="0" w:firstColumn="1" w:lastColumn="0" w:noHBand="0" w:noVBand="1"/>
      </w:tblPr>
      <w:tblGrid>
        <w:gridCol w:w="2355"/>
        <w:gridCol w:w="1335"/>
        <w:gridCol w:w="1335"/>
        <w:gridCol w:w="1443"/>
      </w:tblGrid>
      <w:tr w:rsidR="007D1ADD" w:rsidRPr="008D639D" w14:paraId="49CD8CF1"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3C56783" w14:textId="77777777" w:rsidR="007D1ADD" w:rsidRPr="008D639D" w:rsidRDefault="007D1ADD" w:rsidP="0093516C">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7210261" w14:textId="77777777" w:rsidR="007D1ADD" w:rsidRPr="008D639D" w:rsidRDefault="007D1ADD" w:rsidP="0093516C">
            <w:r w:rsidRPr="008D639D">
              <w:rPr>
                <w:rFonts w:ascii="Helvetica Neue" w:hAnsi="Helvetica Neue"/>
                <w:b/>
                <w:bCs/>
                <w:color w:val="000000"/>
                <w:sz w:val="15"/>
                <w:szCs w:val="15"/>
              </w:rPr>
              <w:t>60 kHz, 50%</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0B28762" w14:textId="088E7335" w:rsidR="007D1ADD" w:rsidRPr="008D639D" w:rsidRDefault="007D1ADD" w:rsidP="0093516C">
            <w:r w:rsidRPr="008D639D">
              <w:rPr>
                <w:rFonts w:ascii="Helvetica Neue" w:hAnsi="Helvetica Neue"/>
                <w:b/>
                <w:bCs/>
                <w:color w:val="000000"/>
                <w:sz w:val="15"/>
                <w:szCs w:val="15"/>
              </w:rPr>
              <w:t>60 kHz, 2</w:t>
            </w:r>
            <w:r>
              <w:rPr>
                <w:rFonts w:ascii="Helvetica Neue" w:hAnsi="Helvetica Neue"/>
                <w:b/>
                <w:bCs/>
                <w:color w:val="000000"/>
                <w:sz w:val="15"/>
                <w:szCs w:val="15"/>
              </w:rPr>
              <w:t>5</w:t>
            </w:r>
            <w:r w:rsidRPr="008D639D">
              <w:rPr>
                <w:rFonts w:ascii="Helvetica Neue" w:hAnsi="Helvetica Neue"/>
                <w:b/>
                <w:bCs/>
                <w:color w:val="000000"/>
                <w:sz w:val="15"/>
                <w:szCs w:val="15"/>
              </w:rPr>
              <w:t>%</w:t>
            </w:r>
          </w:p>
        </w:tc>
        <w:tc>
          <w:tcPr>
            <w:tcW w:w="14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C007D23" w14:textId="614A9650" w:rsidR="007D1ADD" w:rsidRPr="008D639D" w:rsidRDefault="007D1ADD" w:rsidP="0093516C">
            <w:r w:rsidRPr="008D639D">
              <w:rPr>
                <w:rFonts w:ascii="Helvetica Neue" w:hAnsi="Helvetica Neue"/>
                <w:b/>
                <w:bCs/>
                <w:color w:val="000000"/>
                <w:sz w:val="15"/>
                <w:szCs w:val="15"/>
              </w:rPr>
              <w:t>60 kHz, 10%</w:t>
            </w:r>
            <w:r w:rsidR="003C731C">
              <w:rPr>
                <w:rFonts w:ascii="Helvetica Neue" w:hAnsi="Helvetica Neue"/>
                <w:b/>
                <w:bCs/>
                <w:color w:val="000000"/>
                <w:sz w:val="15"/>
                <w:szCs w:val="15"/>
              </w:rPr>
              <w:t xml:space="preserve"> (TBC)</w:t>
            </w:r>
          </w:p>
        </w:tc>
      </w:tr>
      <w:tr w:rsidR="007D1ADD" w:rsidRPr="008D639D" w14:paraId="6FB623BB" w14:textId="77777777" w:rsidTr="003C731C">
        <w:trPr>
          <w:trHeight w:val="180"/>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DA4E299" w14:textId="77777777" w:rsidR="007D1ADD" w:rsidRPr="008D639D" w:rsidRDefault="007D1ADD" w:rsidP="0093516C">
            <w:r w:rsidRPr="008D639D">
              <w:rPr>
                <w:rFonts w:ascii="Helvetica Neue" w:hAnsi="Helvetica Neue"/>
                <w:b/>
                <w:bCs/>
                <w:color w:val="000000"/>
                <w:sz w:val="15"/>
                <w:szCs w:val="15"/>
              </w:rPr>
              <w:t>dl-UL-TransmissionPeriodicity</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95FABF" w14:textId="77777777" w:rsidR="007D1ADD" w:rsidRPr="008D639D" w:rsidRDefault="007D1ADD" w:rsidP="0093516C">
            <w:r w:rsidRPr="008D639D">
              <w:rPr>
                <w:rFonts w:ascii="Helvetica Neue" w:hAnsi="Helvetica Neue"/>
                <w:color w:val="000000"/>
                <w:sz w:val="15"/>
                <w:szCs w:val="15"/>
              </w:rPr>
              <w:t>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435123" w14:textId="6FFF6FC0" w:rsidR="007D1ADD" w:rsidRPr="008D639D" w:rsidRDefault="00C43954" w:rsidP="0093516C">
            <w:r>
              <w:rPr>
                <w:rFonts w:ascii="Helvetica Neue" w:hAnsi="Helvetica Neue"/>
                <w:color w:val="000000"/>
                <w:sz w:val="15"/>
                <w:szCs w:val="15"/>
              </w:rPr>
              <w:t>4</w:t>
            </w:r>
          </w:p>
        </w:tc>
        <w:tc>
          <w:tcPr>
            <w:tcW w:w="14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C76CA" w14:textId="77777777" w:rsidR="007D1ADD" w:rsidRPr="008D639D" w:rsidRDefault="007D1ADD" w:rsidP="0093516C">
            <w:r w:rsidRPr="008D639D">
              <w:rPr>
                <w:rFonts w:ascii="Helvetica Neue" w:hAnsi="Helvetica Neue"/>
                <w:color w:val="000000"/>
                <w:sz w:val="15"/>
                <w:szCs w:val="15"/>
              </w:rPr>
              <w:t>10</w:t>
            </w:r>
          </w:p>
        </w:tc>
      </w:tr>
      <w:tr w:rsidR="007D1ADD" w:rsidRPr="008D639D" w14:paraId="1FFBBC8F"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985C2E8" w14:textId="77777777" w:rsidR="007D1ADD" w:rsidRPr="008D639D" w:rsidRDefault="007D1ADD" w:rsidP="0093516C">
            <w:r w:rsidRPr="008D639D">
              <w:rPr>
                <w:rFonts w:ascii="Helvetica Neue" w:hAnsi="Helvetica Neue"/>
                <w:b/>
                <w:bCs/>
                <w:color w:val="000000"/>
                <w:sz w:val="15"/>
                <w:szCs w:val="15"/>
              </w:rPr>
              <w:t>nrofDownlinkSlots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930F6D" w14:textId="77777777" w:rsidR="007D1ADD" w:rsidRPr="008D639D" w:rsidRDefault="007D1ADD" w:rsidP="0093516C">
            <w:r w:rsidRPr="008D639D">
              <w:rPr>
                <w:rFonts w:ascii="Helvetica Neue" w:hAnsi="Helvetica Neue"/>
                <w:color w:val="000000"/>
                <w:sz w:val="15"/>
                <w:szCs w:val="15"/>
              </w:rPr>
              <w:t>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DD94AF" w14:textId="3C05857F" w:rsidR="007D1ADD" w:rsidRPr="008D639D" w:rsidRDefault="00C43954" w:rsidP="0093516C">
            <w:r>
              <w:rPr>
                <w:rFonts w:ascii="Helvetica Neue" w:hAnsi="Helvetica Neue"/>
                <w:color w:val="000000"/>
                <w:sz w:val="15"/>
                <w:szCs w:val="15"/>
              </w:rPr>
              <w:t>11</w:t>
            </w:r>
          </w:p>
        </w:tc>
        <w:tc>
          <w:tcPr>
            <w:tcW w:w="14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9DE235" w14:textId="77777777" w:rsidR="007D1ADD" w:rsidRPr="008D639D" w:rsidRDefault="007D1ADD" w:rsidP="0093516C">
            <w:r w:rsidRPr="008D639D">
              <w:rPr>
                <w:rFonts w:ascii="Helvetica Neue" w:hAnsi="Helvetica Neue"/>
                <w:color w:val="000000"/>
                <w:sz w:val="15"/>
                <w:szCs w:val="15"/>
              </w:rPr>
              <w:t>35</w:t>
            </w:r>
          </w:p>
        </w:tc>
      </w:tr>
      <w:tr w:rsidR="007D1ADD" w:rsidRPr="008D639D" w14:paraId="792C07FA"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77D815C" w14:textId="77777777" w:rsidR="007D1ADD" w:rsidRPr="008D639D" w:rsidRDefault="007D1ADD" w:rsidP="0093516C">
            <w:r w:rsidRPr="008D639D">
              <w:rPr>
                <w:rFonts w:ascii="Helvetica Neue" w:hAnsi="Helvetica Neue"/>
                <w:b/>
                <w:bCs/>
                <w:color w:val="000000"/>
                <w:sz w:val="15"/>
                <w:szCs w:val="15"/>
              </w:rPr>
              <w:t>nrofDownlinkSymbols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85DDE" w14:textId="77777777" w:rsidR="007D1ADD" w:rsidRPr="008D639D" w:rsidRDefault="007D1ADD" w:rsidP="0093516C">
            <w:r w:rsidRPr="008D639D">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0147D7" w14:textId="77777777" w:rsidR="007D1ADD" w:rsidRPr="008D639D" w:rsidRDefault="007D1ADD" w:rsidP="0093516C">
            <w:r w:rsidRPr="008D639D">
              <w:rPr>
                <w:rFonts w:ascii="Helvetica Neue" w:hAnsi="Helvetica Neue"/>
                <w:color w:val="000000"/>
                <w:sz w:val="15"/>
                <w:szCs w:val="15"/>
              </w:rPr>
              <w:t>4</w:t>
            </w:r>
          </w:p>
        </w:tc>
        <w:tc>
          <w:tcPr>
            <w:tcW w:w="14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2DD409" w14:textId="77777777" w:rsidR="007D1ADD" w:rsidRPr="008D639D" w:rsidRDefault="007D1ADD" w:rsidP="0093516C">
            <w:r w:rsidRPr="008D639D">
              <w:rPr>
                <w:rFonts w:ascii="Helvetica Neue" w:hAnsi="Helvetica Neue"/>
                <w:color w:val="000000"/>
                <w:sz w:val="15"/>
                <w:szCs w:val="15"/>
              </w:rPr>
              <w:t>4</w:t>
            </w:r>
          </w:p>
        </w:tc>
      </w:tr>
      <w:tr w:rsidR="007D1ADD" w:rsidRPr="008D639D" w14:paraId="2126E704"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93AF031" w14:textId="77777777" w:rsidR="007D1ADD" w:rsidRPr="008D639D" w:rsidRDefault="007D1ADD" w:rsidP="0093516C">
            <w:r w:rsidRPr="008D639D">
              <w:rPr>
                <w:rFonts w:ascii="Helvetica Neue" w:hAnsi="Helvetica Neue"/>
                <w:b/>
                <w:bCs/>
                <w:color w:val="000000"/>
                <w:sz w:val="15"/>
                <w:szCs w:val="15"/>
              </w:rPr>
              <w:t>nrofUplinkSlot</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D5F17" w14:textId="77777777" w:rsidR="007D1ADD" w:rsidRPr="008D639D" w:rsidRDefault="007D1ADD" w:rsidP="0093516C">
            <w:r w:rsidRPr="008D639D">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119CE9" w14:textId="77777777" w:rsidR="007D1ADD" w:rsidRPr="008D639D" w:rsidRDefault="007D1ADD" w:rsidP="0093516C">
            <w:r w:rsidRPr="008D639D">
              <w:rPr>
                <w:rFonts w:ascii="Helvetica Neue" w:hAnsi="Helvetica Neue"/>
                <w:color w:val="000000"/>
                <w:sz w:val="15"/>
                <w:szCs w:val="15"/>
              </w:rPr>
              <w:t>4</w:t>
            </w:r>
          </w:p>
        </w:tc>
        <w:tc>
          <w:tcPr>
            <w:tcW w:w="14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BD670A" w14:textId="77777777" w:rsidR="007D1ADD" w:rsidRPr="008D639D" w:rsidRDefault="007D1ADD" w:rsidP="0093516C">
            <w:r w:rsidRPr="008D639D">
              <w:rPr>
                <w:rFonts w:ascii="Helvetica Neue" w:hAnsi="Helvetica Neue"/>
                <w:color w:val="000000"/>
                <w:sz w:val="15"/>
                <w:szCs w:val="15"/>
              </w:rPr>
              <w:t>4</w:t>
            </w:r>
          </w:p>
        </w:tc>
      </w:tr>
      <w:tr w:rsidR="007D1ADD" w:rsidRPr="008D639D" w14:paraId="5EBBB69E"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C794C02" w14:textId="77777777" w:rsidR="007D1ADD" w:rsidRPr="008D639D" w:rsidRDefault="007D1ADD" w:rsidP="0093516C">
            <w:r w:rsidRPr="008D639D">
              <w:rPr>
                <w:rFonts w:ascii="Helvetica Neue" w:hAnsi="Helvetica Neue"/>
                <w:b/>
                <w:bCs/>
                <w:color w:val="000000"/>
                <w:sz w:val="15"/>
                <w:szCs w:val="15"/>
              </w:rPr>
              <w:t>nrofUplinkSymbols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65D47A" w14:textId="77777777" w:rsidR="007D1ADD" w:rsidRPr="008D639D" w:rsidRDefault="007D1ADD" w:rsidP="0093516C">
            <w:r w:rsidRPr="008D639D">
              <w:rPr>
                <w:rFonts w:ascii="Helvetica Neue" w:hAnsi="Helvetica Neue"/>
                <w:color w:val="000000"/>
                <w:sz w:val="15"/>
                <w:szCs w:val="15"/>
              </w:rPr>
              <w:t>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A04AE" w14:textId="77777777" w:rsidR="007D1ADD" w:rsidRPr="008D639D" w:rsidRDefault="007D1ADD" w:rsidP="0093516C">
            <w:r w:rsidRPr="008D639D">
              <w:rPr>
                <w:rFonts w:ascii="Helvetica Neue" w:hAnsi="Helvetica Neue"/>
                <w:color w:val="000000"/>
                <w:sz w:val="15"/>
                <w:szCs w:val="15"/>
              </w:rPr>
              <w:t>0</w:t>
            </w:r>
          </w:p>
        </w:tc>
        <w:tc>
          <w:tcPr>
            <w:tcW w:w="14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122FAD" w14:textId="77777777" w:rsidR="007D1ADD" w:rsidRPr="008D639D" w:rsidRDefault="007D1ADD" w:rsidP="0093516C">
            <w:r w:rsidRPr="008D639D">
              <w:rPr>
                <w:rFonts w:ascii="Helvetica Neue" w:hAnsi="Helvetica Neue"/>
                <w:color w:val="000000"/>
                <w:sz w:val="15"/>
                <w:szCs w:val="15"/>
              </w:rPr>
              <w:t>0</w:t>
            </w:r>
          </w:p>
        </w:tc>
      </w:tr>
      <w:tr w:rsidR="007D1ADD" w:rsidRPr="008D639D" w14:paraId="66E3F892"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59C322" w14:textId="77777777" w:rsidR="007D1ADD" w:rsidRPr="008D639D" w:rsidRDefault="007D1ADD" w:rsidP="0093516C">
            <w:r w:rsidRPr="008D639D">
              <w:rPr>
                <w:rFonts w:ascii="Helvetica Neue" w:hAnsi="Helvetica Neue"/>
                <w:b/>
                <w:bCs/>
                <w:color w:val="000000"/>
                <w:sz w:val="15"/>
                <w:szCs w:val="15"/>
              </w:rPr>
              <w:t>UL period (msec)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9FD33C" w14:textId="77777777" w:rsidR="007D1ADD" w:rsidRPr="008D639D" w:rsidRDefault="007D1ADD" w:rsidP="0093516C">
            <w:r w:rsidRPr="008D639D">
              <w:rPr>
                <w:rFonts w:ascii="Helvetica Neue" w:hAnsi="Helvetica Neue"/>
                <w:color w:val="000000"/>
                <w:sz w:val="15"/>
                <w:szCs w:val="15"/>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F6CBA" w14:textId="77777777" w:rsidR="007D1ADD" w:rsidRPr="008D639D" w:rsidRDefault="007D1ADD" w:rsidP="0093516C">
            <w:r w:rsidRPr="008D639D">
              <w:rPr>
                <w:rFonts w:ascii="Helvetica Neue" w:hAnsi="Helvetica Neue"/>
                <w:color w:val="000000"/>
                <w:sz w:val="15"/>
                <w:szCs w:val="15"/>
              </w:rPr>
              <w:t>1</w:t>
            </w:r>
          </w:p>
        </w:tc>
        <w:tc>
          <w:tcPr>
            <w:tcW w:w="14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8B024C" w14:textId="77777777" w:rsidR="007D1ADD" w:rsidRPr="008D639D" w:rsidRDefault="007D1ADD" w:rsidP="0093516C">
            <w:r w:rsidRPr="008D639D">
              <w:rPr>
                <w:rFonts w:ascii="Helvetica Neue" w:hAnsi="Helvetica Neue"/>
                <w:color w:val="000000"/>
                <w:sz w:val="15"/>
                <w:szCs w:val="15"/>
              </w:rPr>
              <w:t>1</w:t>
            </w:r>
          </w:p>
        </w:tc>
      </w:tr>
      <w:tr w:rsidR="007D1ADD" w:rsidRPr="008D639D" w14:paraId="0AF7EC79"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2C3E682" w14:textId="77777777" w:rsidR="007D1ADD" w:rsidRPr="008D639D" w:rsidRDefault="007D1ADD" w:rsidP="0093516C">
            <w:r w:rsidRPr="008D639D">
              <w:rPr>
                <w:rFonts w:ascii="Helvetica Neue" w:hAnsi="Helvetica Neue"/>
                <w:b/>
                <w:bCs/>
                <w:color w:val="000000"/>
                <w:sz w:val="15"/>
                <w:szCs w:val="15"/>
              </w:rPr>
              <w:t>UL duty cycle (%)</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6EF187" w14:textId="77777777" w:rsidR="007D1ADD" w:rsidRPr="008D639D" w:rsidRDefault="007D1ADD" w:rsidP="0093516C">
            <w:r w:rsidRPr="008D639D">
              <w:rPr>
                <w:rFonts w:ascii="Helvetica Neue" w:hAnsi="Helvetica Neue"/>
                <w:color w:val="000000"/>
                <w:sz w:val="15"/>
                <w:szCs w:val="15"/>
              </w:rPr>
              <w:t>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486A38" w14:textId="73B5DEC8" w:rsidR="007D1ADD" w:rsidRPr="008D639D" w:rsidRDefault="007D1ADD" w:rsidP="0093516C">
            <w:r w:rsidRPr="008D639D">
              <w:rPr>
                <w:rFonts w:ascii="Helvetica Neue" w:hAnsi="Helvetica Neue"/>
                <w:color w:val="000000"/>
                <w:sz w:val="15"/>
                <w:szCs w:val="15"/>
              </w:rPr>
              <w:t>2</w:t>
            </w:r>
            <w:r w:rsidR="00E97FF2">
              <w:rPr>
                <w:rFonts w:ascii="Helvetica Neue" w:hAnsi="Helvetica Neue"/>
                <w:color w:val="000000"/>
                <w:sz w:val="15"/>
                <w:szCs w:val="15"/>
              </w:rPr>
              <w:t>5</w:t>
            </w:r>
          </w:p>
        </w:tc>
        <w:tc>
          <w:tcPr>
            <w:tcW w:w="14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FA488" w14:textId="77777777" w:rsidR="007D1ADD" w:rsidRPr="008D639D" w:rsidRDefault="007D1ADD" w:rsidP="0093516C">
            <w:r w:rsidRPr="008D639D">
              <w:rPr>
                <w:rFonts w:ascii="Helvetica Neue" w:hAnsi="Helvetica Neue"/>
                <w:color w:val="000000"/>
                <w:sz w:val="15"/>
                <w:szCs w:val="15"/>
              </w:rPr>
              <w:t>10</w:t>
            </w:r>
          </w:p>
        </w:tc>
      </w:tr>
    </w:tbl>
    <w:p w14:paraId="721CAEE8" w14:textId="77777777" w:rsidR="00194E22" w:rsidRDefault="00194E22" w:rsidP="00194E22">
      <w:pPr>
        <w:rPr>
          <w:rFonts w:eastAsia="SimSun"/>
        </w:rPr>
      </w:pPr>
    </w:p>
    <w:p w14:paraId="516EF40A" w14:textId="109729A6" w:rsidR="00194E22" w:rsidRDefault="00194E22" w:rsidP="00194E22">
      <w:pPr>
        <w:rPr>
          <w:rFonts w:eastAsia="SimSun"/>
        </w:rPr>
      </w:pPr>
      <w:r>
        <w:rPr>
          <w:rFonts w:eastAsia="SimSun"/>
        </w:rPr>
        <w:t xml:space="preserve">The 60 kHz SCS RMC patterns are illustrated in </w:t>
      </w:r>
      <w:r>
        <w:rPr>
          <w:rFonts w:eastAsia="SimSun"/>
        </w:rPr>
        <w:fldChar w:fldCharType="begin"/>
      </w:r>
      <w:r>
        <w:rPr>
          <w:rFonts w:eastAsia="SimSun"/>
        </w:rPr>
        <w:instrText xml:space="preserve"> REF _Ref876656 \h </w:instrText>
      </w:r>
      <w:r>
        <w:rPr>
          <w:rFonts w:eastAsia="SimSun"/>
        </w:rPr>
      </w:r>
      <w:r>
        <w:rPr>
          <w:rFonts w:eastAsia="SimSun"/>
        </w:rPr>
        <w:fldChar w:fldCharType="separate"/>
      </w:r>
      <w:r w:rsidR="0046473F">
        <w:t xml:space="preserve">Figure </w:t>
      </w:r>
      <w:r w:rsidR="0046473F">
        <w:rPr>
          <w:noProof/>
        </w:rPr>
        <w:t>1</w:t>
      </w:r>
      <w:r>
        <w:rPr>
          <w:rFonts w:eastAsia="SimSun"/>
        </w:rPr>
        <w:fldChar w:fldCharType="end"/>
      </w:r>
      <w:r>
        <w:rPr>
          <w:rFonts w:eastAsia="SimSun"/>
        </w:rPr>
        <w:t xml:space="preserve"> below.</w:t>
      </w:r>
    </w:p>
    <w:p w14:paraId="289503EB" w14:textId="77777777" w:rsidR="00194E22" w:rsidRDefault="00194E22" w:rsidP="00194E22">
      <w:pPr>
        <w:rPr>
          <w:rFonts w:eastAsia="SimSun"/>
        </w:rPr>
      </w:pPr>
    </w:p>
    <w:p w14:paraId="77C41181" w14:textId="47BD47FE" w:rsidR="00194E22" w:rsidRDefault="007D1ADD" w:rsidP="00194E22">
      <w:pPr>
        <w:keepNext/>
      </w:pPr>
      <w:r w:rsidRPr="007D1ADD">
        <w:rPr>
          <w:noProof/>
        </w:rPr>
        <w:drawing>
          <wp:inline distT="0" distB="0" distL="0" distR="0" wp14:anchorId="437FB21E" wp14:editId="7E742F9C">
            <wp:extent cx="6120765" cy="3943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94335"/>
                    </a:xfrm>
                    <a:prstGeom prst="rect">
                      <a:avLst/>
                    </a:prstGeom>
                  </pic:spPr>
                </pic:pic>
              </a:graphicData>
            </a:graphic>
          </wp:inline>
        </w:drawing>
      </w:r>
    </w:p>
    <w:p w14:paraId="37E0787A" w14:textId="3ED2FD06" w:rsidR="00194E22" w:rsidRDefault="00194E22" w:rsidP="00194E22">
      <w:pPr>
        <w:pStyle w:val="Caption"/>
        <w:jc w:val="center"/>
        <w:rPr>
          <w:rFonts w:eastAsia="SimSun"/>
        </w:rPr>
      </w:pPr>
      <w:bookmarkStart w:id="1" w:name="_Ref876656"/>
      <w:r>
        <w:t xml:space="preserve">Figure </w:t>
      </w:r>
      <w:r>
        <w:rPr>
          <w:noProof/>
        </w:rPr>
        <w:fldChar w:fldCharType="begin"/>
      </w:r>
      <w:r>
        <w:rPr>
          <w:noProof/>
        </w:rPr>
        <w:instrText xml:space="preserve"> SEQ Figure \* ARABIC </w:instrText>
      </w:r>
      <w:r>
        <w:rPr>
          <w:noProof/>
        </w:rPr>
        <w:fldChar w:fldCharType="separate"/>
      </w:r>
      <w:r w:rsidR="0046473F">
        <w:rPr>
          <w:noProof/>
        </w:rPr>
        <w:t>1</w:t>
      </w:r>
      <w:r>
        <w:rPr>
          <w:noProof/>
        </w:rPr>
        <w:fldChar w:fldCharType="end"/>
      </w:r>
      <w:bookmarkEnd w:id="1"/>
      <w:r>
        <w:t>: 60 kHz SCS RMC slot patterns</w:t>
      </w:r>
    </w:p>
    <w:p w14:paraId="6981C63E" w14:textId="2859CC81" w:rsidR="00194E22" w:rsidRDefault="00194E22" w:rsidP="00AB11CB">
      <w:pPr>
        <w:rPr>
          <w:rFonts w:eastAsia="SimSun"/>
        </w:rPr>
      </w:pPr>
    </w:p>
    <w:p w14:paraId="623262D4" w14:textId="79B641A0" w:rsidR="00AB11CB" w:rsidRDefault="00AB11CB" w:rsidP="00AB11CB">
      <w:pPr>
        <w:rPr>
          <w:rFonts w:eastAsia="SimSun"/>
        </w:rPr>
      </w:pPr>
      <w:r>
        <w:rPr>
          <w:rFonts w:eastAsia="SimSun"/>
        </w:rPr>
        <w:fldChar w:fldCharType="begin"/>
      </w:r>
      <w:r>
        <w:rPr>
          <w:rFonts w:eastAsia="SimSun"/>
        </w:rPr>
        <w:instrText xml:space="preserve"> REF _Ref642773 \h </w:instrText>
      </w:r>
      <w:r>
        <w:rPr>
          <w:rFonts w:eastAsia="SimSun"/>
        </w:rPr>
      </w:r>
      <w:r>
        <w:rPr>
          <w:rFonts w:eastAsia="SimSun"/>
        </w:rPr>
        <w:fldChar w:fldCharType="separate"/>
      </w:r>
      <w:r w:rsidR="0046473F">
        <w:t xml:space="preserve">Table </w:t>
      </w:r>
      <w:r w:rsidR="0046473F">
        <w:rPr>
          <w:noProof/>
        </w:rPr>
        <w:t>2</w:t>
      </w:r>
      <w:r>
        <w:rPr>
          <w:rFonts w:eastAsia="SimSun"/>
        </w:rPr>
        <w:fldChar w:fldCharType="end"/>
      </w:r>
      <w:r>
        <w:rPr>
          <w:rFonts w:eastAsia="SimSun"/>
        </w:rPr>
        <w:t xml:space="preserve"> below provides the parameters of the 120 kHz SCS RMC.</w:t>
      </w:r>
    </w:p>
    <w:p w14:paraId="42063BB4" w14:textId="77777777" w:rsidR="00AB11CB" w:rsidRDefault="00AB11CB" w:rsidP="00AB11CB">
      <w:pPr>
        <w:rPr>
          <w:rFonts w:eastAsia="SimSun"/>
        </w:rPr>
      </w:pPr>
    </w:p>
    <w:p w14:paraId="042D3652" w14:textId="6C0A883E" w:rsidR="00AB11CB" w:rsidRDefault="00AB11CB" w:rsidP="00AB11CB">
      <w:pPr>
        <w:pStyle w:val="Caption"/>
        <w:jc w:val="center"/>
      </w:pPr>
      <w:bookmarkStart w:id="2" w:name="_Ref642773"/>
      <w:r>
        <w:t xml:space="preserve">Table </w:t>
      </w:r>
      <w:r>
        <w:rPr>
          <w:noProof/>
        </w:rPr>
        <w:fldChar w:fldCharType="begin"/>
      </w:r>
      <w:r>
        <w:rPr>
          <w:noProof/>
        </w:rPr>
        <w:instrText xml:space="preserve"> SEQ Table \* ARABIC </w:instrText>
      </w:r>
      <w:r>
        <w:rPr>
          <w:noProof/>
        </w:rPr>
        <w:fldChar w:fldCharType="separate"/>
      </w:r>
      <w:r w:rsidR="0046473F">
        <w:rPr>
          <w:noProof/>
        </w:rPr>
        <w:t>2</w:t>
      </w:r>
      <w:r>
        <w:rPr>
          <w:noProof/>
        </w:rPr>
        <w:fldChar w:fldCharType="end"/>
      </w:r>
      <w:bookmarkEnd w:id="2"/>
      <w:r>
        <w:t>: Slot patterns of the 120 kHz SCS RMC according to maxUplinkDutyCycle</w:t>
      </w:r>
    </w:p>
    <w:tbl>
      <w:tblPr>
        <w:tblW w:w="0" w:type="auto"/>
        <w:jc w:val="center"/>
        <w:tblCellMar>
          <w:left w:w="0" w:type="dxa"/>
          <w:right w:w="0" w:type="dxa"/>
        </w:tblCellMar>
        <w:tblLook w:val="04A0" w:firstRow="1" w:lastRow="0" w:firstColumn="1" w:lastColumn="0" w:noHBand="0" w:noVBand="1"/>
      </w:tblPr>
      <w:tblGrid>
        <w:gridCol w:w="2355"/>
        <w:gridCol w:w="1335"/>
        <w:gridCol w:w="1335"/>
        <w:gridCol w:w="1527"/>
      </w:tblGrid>
      <w:tr w:rsidR="007D1ADD" w:rsidRPr="00FB7D9D" w14:paraId="1ADA6AA0"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58997AB" w14:textId="77777777" w:rsidR="007D1ADD" w:rsidRPr="00FB7D9D" w:rsidRDefault="007D1ADD" w:rsidP="0093516C">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A8C5796" w14:textId="77777777" w:rsidR="007D1ADD" w:rsidRPr="00FB7D9D" w:rsidRDefault="007D1ADD" w:rsidP="0093516C">
            <w:r w:rsidRPr="00FB7D9D">
              <w:rPr>
                <w:rFonts w:ascii="Helvetica Neue" w:hAnsi="Helvetica Neue"/>
                <w:b/>
                <w:bCs/>
                <w:color w:val="000000"/>
                <w:sz w:val="15"/>
                <w:szCs w:val="15"/>
              </w:rPr>
              <w:t>120 kHz, 50%</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F7C0B80" w14:textId="086CBD6B" w:rsidR="007D1ADD" w:rsidRPr="00FB7D9D" w:rsidRDefault="007D1ADD" w:rsidP="0093516C">
            <w:r w:rsidRPr="00FB7D9D">
              <w:rPr>
                <w:rFonts w:ascii="Helvetica Neue" w:hAnsi="Helvetica Neue"/>
                <w:b/>
                <w:bCs/>
                <w:color w:val="000000"/>
                <w:sz w:val="15"/>
                <w:szCs w:val="15"/>
              </w:rPr>
              <w:t>120 kHz, 2</w:t>
            </w:r>
            <w:r>
              <w:rPr>
                <w:rFonts w:ascii="Helvetica Neue" w:hAnsi="Helvetica Neue"/>
                <w:b/>
                <w:bCs/>
                <w:color w:val="000000"/>
                <w:sz w:val="15"/>
                <w:szCs w:val="15"/>
              </w:rPr>
              <w:t>5</w:t>
            </w:r>
            <w:r w:rsidRPr="00FB7D9D">
              <w:rPr>
                <w:rFonts w:ascii="Helvetica Neue" w:hAnsi="Helvetica Neue"/>
                <w:b/>
                <w:bCs/>
                <w:color w:val="000000"/>
                <w:sz w:val="15"/>
                <w:szCs w:val="15"/>
              </w:rPr>
              <w:t>%</w:t>
            </w:r>
          </w:p>
        </w:tc>
        <w:tc>
          <w:tcPr>
            <w:tcW w:w="1527"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4D21773" w14:textId="3F8FF3C3" w:rsidR="007D1ADD" w:rsidRPr="00FB7D9D" w:rsidRDefault="007D1ADD" w:rsidP="0093516C">
            <w:r w:rsidRPr="00FB7D9D">
              <w:rPr>
                <w:rFonts w:ascii="Helvetica Neue" w:hAnsi="Helvetica Neue"/>
                <w:b/>
                <w:bCs/>
                <w:color w:val="000000"/>
                <w:sz w:val="15"/>
                <w:szCs w:val="15"/>
              </w:rPr>
              <w:t>120 kHz, 10%</w:t>
            </w:r>
            <w:r w:rsidR="003C731C">
              <w:rPr>
                <w:rFonts w:ascii="Helvetica Neue" w:hAnsi="Helvetica Neue"/>
                <w:b/>
                <w:bCs/>
                <w:color w:val="000000"/>
                <w:sz w:val="15"/>
                <w:szCs w:val="15"/>
              </w:rPr>
              <w:t xml:space="preserve"> (TBC)</w:t>
            </w:r>
          </w:p>
        </w:tc>
      </w:tr>
      <w:tr w:rsidR="007D1ADD" w:rsidRPr="00FB7D9D" w14:paraId="1EB62285" w14:textId="77777777" w:rsidTr="003C731C">
        <w:trPr>
          <w:trHeight w:val="180"/>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839396B" w14:textId="77777777" w:rsidR="007D1ADD" w:rsidRPr="00FB7D9D" w:rsidRDefault="007D1ADD" w:rsidP="0093516C">
            <w:r w:rsidRPr="00FB7D9D">
              <w:rPr>
                <w:rFonts w:ascii="Helvetica Neue" w:hAnsi="Helvetica Neue"/>
                <w:b/>
                <w:bCs/>
                <w:color w:val="000000"/>
                <w:sz w:val="15"/>
                <w:szCs w:val="15"/>
              </w:rPr>
              <w:t>dl-UL-TransmissionPeriodicity</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5C87AD" w14:textId="77777777" w:rsidR="007D1ADD" w:rsidRPr="00FB7D9D" w:rsidRDefault="007D1ADD" w:rsidP="0093516C">
            <w:r w:rsidRPr="00FB7D9D">
              <w:rPr>
                <w:rFonts w:ascii="Helvetica Neue" w:hAnsi="Helvetica Neue"/>
                <w:color w:val="000000"/>
                <w:sz w:val="15"/>
                <w:szCs w:val="15"/>
              </w:rPr>
              <w:t>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956C4" w14:textId="4D637E70" w:rsidR="007D1ADD" w:rsidRPr="00FB7D9D" w:rsidRDefault="00C43954" w:rsidP="0093516C">
            <w:r>
              <w:rPr>
                <w:rFonts w:ascii="Helvetica Neue" w:hAnsi="Helvetica Neue"/>
                <w:color w:val="000000"/>
                <w:sz w:val="15"/>
                <w:szCs w:val="15"/>
              </w:rPr>
              <w:t>4</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25B52" w14:textId="77777777" w:rsidR="007D1ADD" w:rsidRPr="00FB7D9D" w:rsidRDefault="007D1ADD" w:rsidP="0093516C">
            <w:r w:rsidRPr="00FB7D9D">
              <w:rPr>
                <w:rFonts w:ascii="Helvetica Neue" w:hAnsi="Helvetica Neue"/>
                <w:color w:val="000000"/>
                <w:sz w:val="15"/>
                <w:szCs w:val="15"/>
              </w:rPr>
              <w:t>10</w:t>
            </w:r>
          </w:p>
        </w:tc>
      </w:tr>
      <w:tr w:rsidR="007D1ADD" w:rsidRPr="00FB7D9D" w14:paraId="27D7C926"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C5717F7" w14:textId="77777777" w:rsidR="007D1ADD" w:rsidRPr="00FB7D9D" w:rsidRDefault="007D1ADD" w:rsidP="0093516C">
            <w:r w:rsidRPr="00FB7D9D">
              <w:rPr>
                <w:rFonts w:ascii="Helvetica Neue" w:hAnsi="Helvetica Neue"/>
                <w:b/>
                <w:bCs/>
                <w:color w:val="000000"/>
                <w:sz w:val="15"/>
                <w:szCs w:val="15"/>
              </w:rPr>
              <w:t>nrofDownlinkSlots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3F3BCB" w14:textId="77777777" w:rsidR="007D1ADD" w:rsidRPr="00FB7D9D" w:rsidRDefault="007D1ADD" w:rsidP="0093516C">
            <w:r w:rsidRPr="00FB7D9D">
              <w:rPr>
                <w:rFonts w:ascii="Helvetica Neue" w:hAnsi="Helvetica Neue"/>
                <w:color w:val="000000"/>
                <w:sz w:val="15"/>
                <w:szCs w:val="15"/>
              </w:rPr>
              <w:t>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C2DF2C" w14:textId="10BE0DDC" w:rsidR="007D1ADD" w:rsidRPr="00FB7D9D" w:rsidRDefault="00C43954" w:rsidP="0093516C">
            <w:r>
              <w:rPr>
                <w:rFonts w:ascii="Helvetica Neue" w:hAnsi="Helvetica Neue"/>
                <w:color w:val="000000"/>
                <w:sz w:val="15"/>
                <w:szCs w:val="15"/>
              </w:rPr>
              <w:t>22</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F868C2" w14:textId="77777777" w:rsidR="007D1ADD" w:rsidRPr="00FB7D9D" w:rsidRDefault="007D1ADD" w:rsidP="0093516C">
            <w:r w:rsidRPr="00FB7D9D">
              <w:rPr>
                <w:rFonts w:ascii="Helvetica Neue" w:hAnsi="Helvetica Neue"/>
                <w:color w:val="000000"/>
                <w:sz w:val="15"/>
                <w:szCs w:val="15"/>
              </w:rPr>
              <w:t>71</w:t>
            </w:r>
          </w:p>
        </w:tc>
      </w:tr>
      <w:tr w:rsidR="007D1ADD" w:rsidRPr="00FB7D9D" w14:paraId="4EE45FC6"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4C7539" w14:textId="77777777" w:rsidR="007D1ADD" w:rsidRPr="00FB7D9D" w:rsidRDefault="007D1ADD" w:rsidP="0093516C">
            <w:r w:rsidRPr="00FB7D9D">
              <w:rPr>
                <w:rFonts w:ascii="Helvetica Neue" w:hAnsi="Helvetica Neue"/>
                <w:b/>
                <w:bCs/>
                <w:color w:val="000000"/>
                <w:sz w:val="15"/>
                <w:szCs w:val="15"/>
              </w:rPr>
              <w:t>nrofDownlinkSymbols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39CAF2" w14:textId="77777777" w:rsidR="007D1ADD" w:rsidRPr="00FB7D9D" w:rsidRDefault="007D1ADD" w:rsidP="0093516C">
            <w:r w:rsidRPr="00FB7D9D">
              <w:rPr>
                <w:rFonts w:ascii="Helvetica Neue" w:hAnsi="Helvetica Neue"/>
                <w:color w:val="000000"/>
                <w:sz w:val="15"/>
                <w:szCs w:val="15"/>
              </w:rPr>
              <w:t>12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34DF5A" w14:textId="77777777" w:rsidR="007D1ADD" w:rsidRPr="00FB7D9D" w:rsidRDefault="007D1ADD" w:rsidP="0093516C">
            <w:r w:rsidRPr="00FB7D9D">
              <w:rPr>
                <w:rFonts w:ascii="Helvetica Neue" w:hAnsi="Helvetica Neue"/>
                <w:color w:val="000000"/>
                <w:sz w:val="15"/>
                <w:szCs w:val="15"/>
              </w:rPr>
              <w:t>12</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696213" w14:textId="77777777" w:rsidR="007D1ADD" w:rsidRPr="00FB7D9D" w:rsidRDefault="007D1ADD" w:rsidP="0093516C">
            <w:r w:rsidRPr="00FB7D9D">
              <w:rPr>
                <w:rFonts w:ascii="Helvetica Neue" w:hAnsi="Helvetica Neue"/>
                <w:color w:val="000000"/>
                <w:sz w:val="15"/>
                <w:szCs w:val="15"/>
              </w:rPr>
              <w:t>12</w:t>
            </w:r>
          </w:p>
        </w:tc>
      </w:tr>
      <w:tr w:rsidR="007D1ADD" w:rsidRPr="00FB7D9D" w14:paraId="07FB6D9E"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A3B05EC" w14:textId="77777777" w:rsidR="007D1ADD" w:rsidRPr="00FB7D9D" w:rsidRDefault="007D1ADD" w:rsidP="0093516C">
            <w:r w:rsidRPr="00FB7D9D">
              <w:rPr>
                <w:rFonts w:ascii="Helvetica Neue" w:hAnsi="Helvetica Neue"/>
                <w:b/>
                <w:bCs/>
                <w:color w:val="000000"/>
                <w:sz w:val="15"/>
                <w:szCs w:val="15"/>
              </w:rPr>
              <w:t>nrofUplinkSlot</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5F0427" w14:textId="77777777" w:rsidR="007D1ADD" w:rsidRPr="00FB7D9D" w:rsidRDefault="007D1ADD" w:rsidP="0093516C">
            <w:r w:rsidRPr="00FB7D9D">
              <w:rPr>
                <w:rFonts w:ascii="Helvetica Neue" w:hAnsi="Helvetica Neue"/>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4DC282" w14:textId="77777777" w:rsidR="007D1ADD" w:rsidRPr="00FB7D9D" w:rsidRDefault="007D1ADD" w:rsidP="0093516C">
            <w:r w:rsidRPr="00FB7D9D">
              <w:rPr>
                <w:rFonts w:ascii="Helvetica Neue" w:hAnsi="Helvetica Neue"/>
                <w:color w:val="000000"/>
                <w:sz w:val="15"/>
                <w:szCs w:val="15"/>
              </w:rPr>
              <w:t>8</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2BD0F1" w14:textId="77777777" w:rsidR="007D1ADD" w:rsidRPr="00FB7D9D" w:rsidRDefault="007D1ADD" w:rsidP="0093516C">
            <w:r w:rsidRPr="00FB7D9D">
              <w:rPr>
                <w:rFonts w:ascii="Helvetica Neue" w:hAnsi="Helvetica Neue"/>
                <w:color w:val="000000"/>
                <w:sz w:val="15"/>
                <w:szCs w:val="15"/>
              </w:rPr>
              <w:t>8</w:t>
            </w:r>
          </w:p>
        </w:tc>
      </w:tr>
      <w:tr w:rsidR="007D1ADD" w:rsidRPr="00FB7D9D" w14:paraId="794F86CD"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3A9057D" w14:textId="77777777" w:rsidR="007D1ADD" w:rsidRPr="00FB7D9D" w:rsidRDefault="007D1ADD" w:rsidP="0093516C">
            <w:r w:rsidRPr="00FB7D9D">
              <w:rPr>
                <w:rFonts w:ascii="Helvetica Neue" w:hAnsi="Helvetica Neue"/>
                <w:b/>
                <w:bCs/>
                <w:color w:val="000000"/>
                <w:sz w:val="15"/>
                <w:szCs w:val="15"/>
              </w:rPr>
              <w:t>nrofUplinkSymbols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446401" w14:textId="77777777" w:rsidR="007D1ADD" w:rsidRPr="00FB7D9D" w:rsidRDefault="007D1ADD" w:rsidP="0093516C">
            <w:r w:rsidRPr="00FB7D9D">
              <w:rPr>
                <w:rFonts w:ascii="Helvetica Neue" w:hAnsi="Helvetica Neue"/>
                <w:color w:val="000000"/>
                <w:sz w:val="15"/>
                <w:szCs w:val="15"/>
              </w:rPr>
              <w:t>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33D4C5" w14:textId="77777777" w:rsidR="007D1ADD" w:rsidRPr="00FB7D9D" w:rsidRDefault="007D1ADD" w:rsidP="0093516C">
            <w:r w:rsidRPr="00FB7D9D">
              <w:rPr>
                <w:rFonts w:ascii="Helvetica Neue" w:hAnsi="Helvetica Neue"/>
                <w:color w:val="000000"/>
                <w:sz w:val="15"/>
                <w:szCs w:val="15"/>
              </w:rPr>
              <w:t>0</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764C06" w14:textId="77777777" w:rsidR="007D1ADD" w:rsidRPr="00FB7D9D" w:rsidRDefault="007D1ADD" w:rsidP="0093516C">
            <w:r w:rsidRPr="00FB7D9D">
              <w:rPr>
                <w:rFonts w:ascii="Helvetica Neue" w:hAnsi="Helvetica Neue"/>
                <w:color w:val="000000"/>
                <w:sz w:val="15"/>
                <w:szCs w:val="15"/>
              </w:rPr>
              <w:t>0</w:t>
            </w:r>
          </w:p>
        </w:tc>
      </w:tr>
      <w:tr w:rsidR="007D1ADD" w:rsidRPr="00FB7D9D" w14:paraId="4D375EB4"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AF353CA" w14:textId="77777777" w:rsidR="007D1ADD" w:rsidRPr="00FB7D9D" w:rsidRDefault="007D1ADD" w:rsidP="0093516C">
            <w:r w:rsidRPr="00FB7D9D">
              <w:rPr>
                <w:rFonts w:ascii="Helvetica Neue" w:hAnsi="Helvetica Neue"/>
                <w:b/>
                <w:bCs/>
                <w:color w:val="000000"/>
                <w:sz w:val="15"/>
                <w:szCs w:val="15"/>
              </w:rPr>
              <w:t>UL period (msec)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26D2F" w14:textId="77777777" w:rsidR="007D1ADD" w:rsidRPr="00FB7D9D" w:rsidRDefault="007D1ADD" w:rsidP="0093516C">
            <w:r w:rsidRPr="00FB7D9D">
              <w:rPr>
                <w:rFonts w:ascii="Helvetica Neue" w:hAnsi="Helvetica Neue"/>
                <w:color w:val="000000"/>
                <w:sz w:val="15"/>
                <w:szCs w:val="15"/>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B9760B" w14:textId="77777777" w:rsidR="007D1ADD" w:rsidRPr="00FB7D9D" w:rsidRDefault="007D1ADD" w:rsidP="0093516C">
            <w:r w:rsidRPr="00FB7D9D">
              <w:rPr>
                <w:rFonts w:ascii="Helvetica Neue" w:hAnsi="Helvetica Neue"/>
                <w:color w:val="000000"/>
                <w:sz w:val="15"/>
                <w:szCs w:val="15"/>
              </w:rPr>
              <w:t>1</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F265C6" w14:textId="77777777" w:rsidR="007D1ADD" w:rsidRPr="00FB7D9D" w:rsidRDefault="007D1ADD" w:rsidP="0093516C">
            <w:r w:rsidRPr="00FB7D9D">
              <w:rPr>
                <w:rFonts w:ascii="Helvetica Neue" w:hAnsi="Helvetica Neue"/>
                <w:color w:val="000000"/>
                <w:sz w:val="15"/>
                <w:szCs w:val="15"/>
              </w:rPr>
              <w:t>1</w:t>
            </w:r>
          </w:p>
        </w:tc>
      </w:tr>
      <w:tr w:rsidR="007D1ADD" w:rsidRPr="00FB7D9D" w14:paraId="70817E94" w14:textId="77777777" w:rsidTr="003C731C">
        <w:trPr>
          <w:trHeight w:val="165"/>
          <w:jc w:val="center"/>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039104E" w14:textId="77777777" w:rsidR="007D1ADD" w:rsidRPr="00FB7D9D" w:rsidRDefault="007D1ADD" w:rsidP="0093516C">
            <w:r w:rsidRPr="00FB7D9D">
              <w:rPr>
                <w:rFonts w:ascii="Helvetica Neue" w:hAnsi="Helvetica Neue"/>
                <w:b/>
                <w:bCs/>
                <w:color w:val="000000"/>
                <w:sz w:val="15"/>
                <w:szCs w:val="15"/>
              </w:rPr>
              <w:t>UL duty cycle (%)</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337647" w14:textId="77777777" w:rsidR="007D1ADD" w:rsidRPr="00FB7D9D" w:rsidRDefault="007D1ADD" w:rsidP="0093516C">
            <w:r w:rsidRPr="00FB7D9D">
              <w:rPr>
                <w:rFonts w:ascii="Helvetica Neue" w:hAnsi="Helvetica Neue"/>
                <w:color w:val="000000"/>
                <w:sz w:val="15"/>
                <w:szCs w:val="15"/>
              </w:rPr>
              <w:t>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81A284" w14:textId="30C865F6" w:rsidR="007D1ADD" w:rsidRPr="00FB7D9D" w:rsidRDefault="007D1ADD" w:rsidP="0093516C">
            <w:r w:rsidRPr="00FB7D9D">
              <w:rPr>
                <w:rFonts w:ascii="Helvetica Neue" w:hAnsi="Helvetica Neue"/>
                <w:color w:val="000000"/>
                <w:sz w:val="15"/>
                <w:szCs w:val="15"/>
              </w:rPr>
              <w:t>2</w:t>
            </w:r>
            <w:r w:rsidR="00E97FF2">
              <w:rPr>
                <w:rFonts w:ascii="Helvetica Neue" w:hAnsi="Helvetica Neue"/>
                <w:color w:val="000000"/>
                <w:sz w:val="15"/>
                <w:szCs w:val="15"/>
              </w:rPr>
              <w:t>5</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4483CF" w14:textId="77777777" w:rsidR="007D1ADD" w:rsidRPr="00FB7D9D" w:rsidRDefault="007D1ADD" w:rsidP="0093516C">
            <w:r w:rsidRPr="00FB7D9D">
              <w:rPr>
                <w:rFonts w:ascii="Helvetica Neue" w:hAnsi="Helvetica Neue"/>
                <w:color w:val="000000"/>
                <w:sz w:val="15"/>
                <w:szCs w:val="15"/>
              </w:rPr>
              <w:t>10</w:t>
            </w:r>
          </w:p>
        </w:tc>
      </w:tr>
    </w:tbl>
    <w:p w14:paraId="32E1E090" w14:textId="77777777" w:rsidR="00AB11CB" w:rsidRDefault="00AB11CB" w:rsidP="00AB11CB">
      <w:pPr>
        <w:rPr>
          <w:rFonts w:eastAsia="SimSun"/>
        </w:rPr>
      </w:pPr>
    </w:p>
    <w:p w14:paraId="1E70C443" w14:textId="0DFFE8C5" w:rsidR="00AB11CB" w:rsidRDefault="00AB11CB" w:rsidP="00AB11CB">
      <w:pPr>
        <w:rPr>
          <w:rFonts w:eastAsia="SimSun"/>
        </w:rPr>
      </w:pPr>
      <w:r>
        <w:rPr>
          <w:rFonts w:eastAsia="SimSun"/>
        </w:rPr>
        <w:t xml:space="preserve">The 120 kHz SCS RMC patterns are illustrated in </w:t>
      </w:r>
      <w:r>
        <w:rPr>
          <w:rFonts w:eastAsia="SimSun"/>
        </w:rPr>
        <w:fldChar w:fldCharType="begin"/>
      </w:r>
      <w:r>
        <w:rPr>
          <w:rFonts w:eastAsia="SimSun"/>
        </w:rPr>
        <w:instrText xml:space="preserve"> REF _Ref876734 \h </w:instrText>
      </w:r>
      <w:r>
        <w:rPr>
          <w:rFonts w:eastAsia="SimSun"/>
        </w:rPr>
      </w:r>
      <w:r>
        <w:rPr>
          <w:rFonts w:eastAsia="SimSun"/>
        </w:rPr>
        <w:fldChar w:fldCharType="separate"/>
      </w:r>
      <w:r w:rsidR="0046473F">
        <w:t xml:space="preserve">Figure </w:t>
      </w:r>
      <w:r w:rsidR="0046473F">
        <w:rPr>
          <w:noProof/>
        </w:rPr>
        <w:t>2</w:t>
      </w:r>
      <w:r>
        <w:rPr>
          <w:rFonts w:eastAsia="SimSun"/>
        </w:rPr>
        <w:fldChar w:fldCharType="end"/>
      </w:r>
      <w:r>
        <w:rPr>
          <w:rFonts w:eastAsia="SimSun"/>
        </w:rPr>
        <w:t xml:space="preserve"> below.</w:t>
      </w:r>
    </w:p>
    <w:p w14:paraId="672610E9" w14:textId="77777777" w:rsidR="00AB11CB" w:rsidRDefault="00AB11CB" w:rsidP="00AB11CB">
      <w:pPr>
        <w:rPr>
          <w:rFonts w:eastAsia="SimSun"/>
        </w:rPr>
      </w:pPr>
    </w:p>
    <w:p w14:paraId="3A639AEE" w14:textId="29B14D71" w:rsidR="00AB11CB" w:rsidRDefault="007D1ADD" w:rsidP="00AB11CB">
      <w:pPr>
        <w:keepNext/>
      </w:pPr>
      <w:r w:rsidRPr="007D1ADD">
        <w:rPr>
          <w:noProof/>
        </w:rPr>
        <w:drawing>
          <wp:inline distT="0" distB="0" distL="0" distR="0" wp14:anchorId="11F4BC46" wp14:editId="608FFCFA">
            <wp:extent cx="6120765" cy="2070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07010"/>
                    </a:xfrm>
                    <a:prstGeom prst="rect">
                      <a:avLst/>
                    </a:prstGeom>
                  </pic:spPr>
                </pic:pic>
              </a:graphicData>
            </a:graphic>
          </wp:inline>
        </w:drawing>
      </w:r>
    </w:p>
    <w:p w14:paraId="72CF40D4" w14:textId="2C1C48CE" w:rsidR="00AB11CB" w:rsidRDefault="00AB11CB" w:rsidP="007475E0">
      <w:pPr>
        <w:pStyle w:val="Caption"/>
        <w:jc w:val="center"/>
        <w:rPr>
          <w:rFonts w:eastAsia="SimSun"/>
        </w:rPr>
      </w:pPr>
      <w:bookmarkStart w:id="3" w:name="_Ref876734"/>
      <w:r>
        <w:t xml:space="preserve">Figure </w:t>
      </w:r>
      <w:r>
        <w:rPr>
          <w:noProof/>
        </w:rPr>
        <w:fldChar w:fldCharType="begin"/>
      </w:r>
      <w:r>
        <w:rPr>
          <w:noProof/>
        </w:rPr>
        <w:instrText xml:space="preserve"> SEQ Figure \* ARABIC </w:instrText>
      </w:r>
      <w:r>
        <w:rPr>
          <w:noProof/>
        </w:rPr>
        <w:fldChar w:fldCharType="separate"/>
      </w:r>
      <w:r w:rsidR="0046473F">
        <w:rPr>
          <w:noProof/>
        </w:rPr>
        <w:t>2</w:t>
      </w:r>
      <w:r>
        <w:rPr>
          <w:noProof/>
        </w:rPr>
        <w:fldChar w:fldCharType="end"/>
      </w:r>
      <w:bookmarkEnd w:id="3"/>
      <w:r>
        <w:t>: 120 kHz SCS RMC slot patterns</w:t>
      </w:r>
    </w:p>
    <w:p w14:paraId="6ACC8CEE" w14:textId="77777777" w:rsidR="00194E22" w:rsidRDefault="00194E22" w:rsidP="00AB11CB">
      <w:pPr>
        <w:rPr>
          <w:rFonts w:eastAsia="SimSun"/>
        </w:rPr>
      </w:pPr>
    </w:p>
    <w:p w14:paraId="447D4EC3" w14:textId="1C0E54C2" w:rsidR="00194E22" w:rsidRDefault="00194E22" w:rsidP="00194E22">
      <w:pPr>
        <w:rPr>
          <w:rFonts w:eastAsia="SimSun"/>
        </w:rPr>
      </w:pPr>
      <w:r w:rsidRPr="00A86B1E">
        <w:rPr>
          <w:rFonts w:eastAsia="SimSun"/>
          <w:b/>
        </w:rPr>
        <w:t xml:space="preserve">Proposal </w:t>
      </w:r>
      <w:r w:rsidR="00CF1E64">
        <w:rPr>
          <w:rFonts w:eastAsia="SimSun"/>
          <w:b/>
        </w:rPr>
        <w:t>3</w:t>
      </w:r>
      <w:r>
        <w:rPr>
          <w:rFonts w:eastAsia="SimSun"/>
        </w:rPr>
        <w:t xml:space="preserve">: The FR2 RMC slot patterns shall be aligned with the </w:t>
      </w:r>
      <w:r w:rsidRPr="00DB62DC">
        <w:rPr>
          <w:rFonts w:eastAsia="SimSun"/>
          <w:i/>
        </w:rPr>
        <w:t>maxUplinkDutyCycle</w:t>
      </w:r>
      <w:r>
        <w:rPr>
          <w:rFonts w:eastAsia="SimSun"/>
        </w:rPr>
        <w:t xml:space="preserve"> UE capability as shown in Tables </w:t>
      </w:r>
      <w:r w:rsidR="0046473F">
        <w:rPr>
          <w:rFonts w:eastAsia="SimSun"/>
        </w:rPr>
        <w:t>1</w:t>
      </w:r>
      <w:r>
        <w:rPr>
          <w:rFonts w:eastAsia="SimSun"/>
        </w:rPr>
        <w:t xml:space="preserve"> and </w:t>
      </w:r>
      <w:r w:rsidR="0046473F">
        <w:rPr>
          <w:rFonts w:eastAsia="SimSun"/>
        </w:rPr>
        <w:t>2</w:t>
      </w:r>
      <w:r>
        <w:rPr>
          <w:rFonts w:eastAsia="SimSun"/>
        </w:rPr>
        <w:t>.</w:t>
      </w:r>
    </w:p>
    <w:p w14:paraId="0656A179" w14:textId="77777777" w:rsidR="00194E22" w:rsidRDefault="00194E22" w:rsidP="00AB11CB">
      <w:pPr>
        <w:rPr>
          <w:rFonts w:eastAsia="SimSun"/>
        </w:rPr>
      </w:pPr>
    </w:p>
    <w:p w14:paraId="4860A518" w14:textId="74220D84" w:rsidR="00396A21" w:rsidRDefault="00AB11CB" w:rsidP="00A56963">
      <w:pPr>
        <w:rPr>
          <w:rFonts w:eastAsia="SimSun"/>
        </w:rPr>
      </w:pPr>
      <w:r>
        <w:rPr>
          <w:rFonts w:eastAsia="SimSun"/>
        </w:rPr>
        <w:t xml:space="preserve">A corresponding draft CR which implements Proposal 4 has been prepared in </w:t>
      </w:r>
      <w:r w:rsidR="000F08D8">
        <w:rPr>
          <w:rFonts w:eastAsia="SimSun"/>
        </w:rPr>
        <w:fldChar w:fldCharType="begin"/>
      </w:r>
      <w:r w:rsidR="000F08D8">
        <w:rPr>
          <w:rFonts w:eastAsia="SimSun"/>
        </w:rPr>
        <w:instrText xml:space="preserve"> REF _Ref4714355 \r \h </w:instrText>
      </w:r>
      <w:r w:rsidR="000F08D8">
        <w:rPr>
          <w:rFonts w:eastAsia="SimSun"/>
        </w:rPr>
      </w:r>
      <w:r w:rsidR="000F08D8">
        <w:rPr>
          <w:rFonts w:eastAsia="SimSun"/>
        </w:rPr>
        <w:fldChar w:fldCharType="separate"/>
      </w:r>
      <w:r w:rsidR="0046473F">
        <w:rPr>
          <w:rFonts w:eastAsia="SimSun"/>
        </w:rPr>
        <w:t>[5]</w:t>
      </w:r>
      <w:r w:rsidR="000F08D8">
        <w:rPr>
          <w:rFonts w:eastAsia="SimSun"/>
        </w:rPr>
        <w:fldChar w:fldCharType="end"/>
      </w:r>
      <w:r w:rsidR="000F08D8">
        <w:rPr>
          <w:rFonts w:eastAsia="SimSun"/>
        </w:rPr>
        <w:t>.</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6D5AE382" w14:textId="62553F17" w:rsidR="0046473F" w:rsidRDefault="0046473F" w:rsidP="0046473F">
      <w:pPr>
        <w:rPr>
          <w:rFonts w:eastAsia="SimSun"/>
        </w:rPr>
      </w:pPr>
      <w:r w:rsidRPr="00A86B1E">
        <w:rPr>
          <w:rFonts w:eastAsia="SimSun"/>
          <w:b/>
        </w:rPr>
        <w:t xml:space="preserve">Proposal </w:t>
      </w:r>
      <w:r>
        <w:rPr>
          <w:rFonts w:eastAsia="SimSun"/>
          <w:b/>
        </w:rPr>
        <w:t>1</w:t>
      </w:r>
      <w:r>
        <w:rPr>
          <w:rFonts w:eastAsia="SimSun"/>
        </w:rPr>
        <w:t xml:space="preserve">: The slot patterns of the FR2 TDD reference measurement channel need to be extended to accommodate the </w:t>
      </w:r>
      <w:r w:rsidRPr="00A86B1E">
        <w:rPr>
          <w:rFonts w:eastAsia="SimSun"/>
          <w:i/>
        </w:rPr>
        <w:t>maxUplinkDutyCycle</w:t>
      </w:r>
      <w:r>
        <w:rPr>
          <w:rFonts w:eastAsia="SimSun"/>
        </w:rPr>
        <w:t xml:space="preserve"> capability of the UE during the conformance test.</w:t>
      </w:r>
    </w:p>
    <w:p w14:paraId="7B624B37" w14:textId="04EC7279" w:rsidR="0046473F" w:rsidRDefault="0046473F" w:rsidP="0046473F">
      <w:pPr>
        <w:rPr>
          <w:rFonts w:eastAsia="SimSun"/>
        </w:rPr>
      </w:pPr>
    </w:p>
    <w:p w14:paraId="3AB498AC" w14:textId="77777777" w:rsidR="0046473F" w:rsidRDefault="0046473F" w:rsidP="0046473F">
      <w:pPr>
        <w:rPr>
          <w:rFonts w:eastAsia="SimSun"/>
        </w:rPr>
      </w:pPr>
      <w:r w:rsidRPr="00CF1E64">
        <w:rPr>
          <w:rFonts w:eastAsia="SimSun"/>
          <w:b/>
        </w:rPr>
        <w:t>Proposal 2</w:t>
      </w:r>
      <w:r>
        <w:rPr>
          <w:rFonts w:eastAsia="SimSun"/>
        </w:rPr>
        <w:t>: UL RMC slot patterns can be defined according to the subset of duty cycle values consisting of {50%, 25%, 10% (TBC)}, and an OEM declaration can be used to select the slot pattern for the conformance test.</w:t>
      </w:r>
    </w:p>
    <w:p w14:paraId="7DF0383C" w14:textId="0899D1AE" w:rsidR="0046473F" w:rsidRDefault="0046473F" w:rsidP="0046473F">
      <w:pPr>
        <w:rPr>
          <w:rFonts w:eastAsia="SimSun"/>
        </w:rPr>
      </w:pPr>
    </w:p>
    <w:p w14:paraId="100DBC28" w14:textId="4B7B05A0" w:rsidR="0046473F" w:rsidRDefault="0046473F" w:rsidP="0046473F">
      <w:pPr>
        <w:rPr>
          <w:rFonts w:eastAsia="SimSun"/>
        </w:rPr>
      </w:pPr>
      <w:r w:rsidRPr="00A86B1E">
        <w:rPr>
          <w:rFonts w:eastAsia="SimSun"/>
          <w:b/>
        </w:rPr>
        <w:t xml:space="preserve">Proposal </w:t>
      </w:r>
      <w:r>
        <w:rPr>
          <w:rFonts w:eastAsia="SimSun"/>
          <w:b/>
        </w:rPr>
        <w:t>3</w:t>
      </w:r>
      <w:r>
        <w:rPr>
          <w:rFonts w:eastAsia="SimSun"/>
        </w:rPr>
        <w:t xml:space="preserve">: The FR2 RMC slot patterns shall be aligned with the </w:t>
      </w:r>
      <w:r w:rsidRPr="00DB62DC">
        <w:rPr>
          <w:rFonts w:eastAsia="SimSun"/>
          <w:i/>
        </w:rPr>
        <w:t>maxUplinkDutyCycle</w:t>
      </w:r>
      <w:r>
        <w:rPr>
          <w:rFonts w:eastAsia="SimSun"/>
        </w:rPr>
        <w:t xml:space="preserve"> UE capability as shown in Tables </w:t>
      </w:r>
      <w:r>
        <w:rPr>
          <w:rFonts w:eastAsia="SimSun"/>
        </w:rPr>
        <w:t>1</w:t>
      </w:r>
      <w:r>
        <w:rPr>
          <w:rFonts w:eastAsia="SimSun"/>
        </w:rPr>
        <w:t xml:space="preserve"> and </w:t>
      </w:r>
      <w:r>
        <w:rPr>
          <w:rFonts w:eastAsia="SimSun"/>
        </w:rPr>
        <w:t>2</w:t>
      </w:r>
      <w:r>
        <w:rPr>
          <w:rFonts w:eastAsia="SimSun"/>
        </w:rPr>
        <w:t>.</w:t>
      </w:r>
    </w:p>
    <w:p w14:paraId="47BA569A" w14:textId="77777777" w:rsidR="0017048A" w:rsidRPr="00871EA3" w:rsidRDefault="0017048A" w:rsidP="00342BBF">
      <w:pPr>
        <w:pStyle w:val="Heading1"/>
        <w:rPr>
          <w:lang w:val="en-US"/>
        </w:rPr>
      </w:pPr>
      <w:r w:rsidRPr="00871EA3">
        <w:rPr>
          <w:lang w:val="en-US"/>
        </w:rPr>
        <w:t>References</w:t>
      </w:r>
    </w:p>
    <w:p w14:paraId="66F9ECBB" w14:textId="13130745" w:rsidR="006B2936" w:rsidRDefault="006B2936" w:rsidP="00A60163">
      <w:pPr>
        <w:widowControl w:val="0"/>
        <w:numPr>
          <w:ilvl w:val="0"/>
          <w:numId w:val="5"/>
        </w:numPr>
      </w:pPr>
      <w:bookmarkStart w:id="4" w:name="_Ref4681604"/>
      <w:bookmarkStart w:id="5" w:name="_Ref525858808"/>
      <w:bookmarkStart w:id="6" w:name="_Ref4674769"/>
      <w:r w:rsidRPr="006B2936">
        <w:t>RP-190755</w:t>
      </w:r>
      <w:r>
        <w:t>, “</w:t>
      </w:r>
      <w:r w:rsidRPr="006B2936">
        <w:t>Way forward on maximum uplink duty cycle for FR2</w:t>
      </w:r>
      <w:r>
        <w:t>,” Nokia, 3GPP RAN #83, March 2019</w:t>
      </w:r>
      <w:bookmarkEnd w:id="4"/>
    </w:p>
    <w:p w14:paraId="774865BF" w14:textId="5989127C" w:rsidR="00546E72" w:rsidRDefault="006B2936" w:rsidP="00636092">
      <w:pPr>
        <w:widowControl w:val="0"/>
        <w:numPr>
          <w:ilvl w:val="0"/>
          <w:numId w:val="5"/>
        </w:numPr>
      </w:pPr>
      <w:bookmarkStart w:id="7" w:name="_Ref4681870"/>
      <w:r w:rsidRPr="006B2936">
        <w:t>RP-190704</w:t>
      </w:r>
      <w:r>
        <w:t>, “</w:t>
      </w:r>
      <w:r w:rsidRPr="006B2936">
        <w:t>Update of RAN4 UE feature list for REL-15 NR</w:t>
      </w:r>
      <w:r>
        <w:t>,” NTT DOCOMO, 3GPP RAN #83, March 2019</w:t>
      </w:r>
      <w:bookmarkEnd w:id="5"/>
      <w:bookmarkEnd w:id="6"/>
      <w:bookmarkEnd w:id="7"/>
    </w:p>
    <w:p w14:paraId="2A08FEAB" w14:textId="16C3314F" w:rsidR="007337B5" w:rsidRDefault="00CC7BFF" w:rsidP="00636092">
      <w:pPr>
        <w:widowControl w:val="0"/>
        <w:numPr>
          <w:ilvl w:val="0"/>
          <w:numId w:val="5"/>
        </w:numPr>
      </w:pPr>
      <w:bookmarkStart w:id="8" w:name="_Ref4684150"/>
      <w:r w:rsidRPr="00CC7BFF">
        <w:t>R4-1808171</w:t>
      </w:r>
      <w:r>
        <w:t>, “</w:t>
      </w:r>
      <w:r w:rsidRPr="00CC7BFF">
        <w:t>WF on TDD configuration for NR UE REFSENS</w:t>
      </w:r>
      <w:r>
        <w:t>,” NTT DOCOMO, 3GPP RAN4 #87, May 2018</w:t>
      </w:r>
      <w:bookmarkEnd w:id="8"/>
    </w:p>
    <w:p w14:paraId="6416A401" w14:textId="77777777" w:rsidR="00AB11CB" w:rsidRDefault="00AB11CB" w:rsidP="00AB11CB">
      <w:pPr>
        <w:widowControl w:val="0"/>
        <w:numPr>
          <w:ilvl w:val="0"/>
          <w:numId w:val="5"/>
        </w:numPr>
      </w:pPr>
      <w:bookmarkStart w:id="9" w:name="_Ref642116"/>
      <w:bookmarkStart w:id="10" w:name="_Ref4684191"/>
      <w:r w:rsidRPr="00A86B1E">
        <w:t>R4-1816605</w:t>
      </w:r>
      <w:r>
        <w:t>, “</w:t>
      </w:r>
      <w:r w:rsidRPr="00A86B1E">
        <w:t>TDD configuration for UE Tx test in FR2</w:t>
      </w:r>
      <w:r>
        <w:t>,” Ericsson, 3GPP RAN4 #89, November 2018</w:t>
      </w:r>
      <w:bookmarkEnd w:id="9"/>
    </w:p>
    <w:p w14:paraId="22B26188" w14:textId="08E4B344" w:rsidR="00ED552C" w:rsidRPr="00CA60FC" w:rsidRDefault="00A51E7F" w:rsidP="00CA029A">
      <w:pPr>
        <w:widowControl w:val="0"/>
        <w:numPr>
          <w:ilvl w:val="0"/>
          <w:numId w:val="5"/>
        </w:numPr>
      </w:pPr>
      <w:bookmarkStart w:id="11" w:name="_Ref4714355"/>
      <w:bookmarkEnd w:id="10"/>
      <w:r w:rsidRPr="00A51E7F">
        <w:t>R4-1903067</w:t>
      </w:r>
      <w:bookmarkStart w:id="12" w:name="_GoBack"/>
      <w:bookmarkEnd w:id="12"/>
      <w:r w:rsidR="00CA029A">
        <w:t>, “</w:t>
      </w:r>
      <w:r w:rsidR="00CA029A" w:rsidRPr="00CA029A">
        <w:t>Draft CR to 38.101-2 on UL RMC slot patterns</w:t>
      </w:r>
      <w:r w:rsidR="00CA029A">
        <w:t>,” Apple Inc., 3GPP RAN4 #90bis, April 2019</w:t>
      </w:r>
      <w:bookmarkEnd w:id="11"/>
    </w:p>
    <w:sectPr w:rsidR="00ED552C" w:rsidRPr="00CA60FC"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CA216" w14:textId="77777777" w:rsidR="00B818F1" w:rsidRDefault="00B818F1">
      <w:r>
        <w:separator/>
      </w:r>
    </w:p>
  </w:endnote>
  <w:endnote w:type="continuationSeparator" w:id="0">
    <w:p w14:paraId="2B256414" w14:textId="77777777" w:rsidR="00B818F1" w:rsidRDefault="00B818F1">
      <w:r>
        <w:continuationSeparator/>
      </w:r>
    </w:p>
  </w:endnote>
  <w:endnote w:type="continuationNotice" w:id="1">
    <w:p w14:paraId="5E4CD81B" w14:textId="77777777" w:rsidR="00B818F1" w:rsidRDefault="00B81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15CE1" w14:textId="77777777" w:rsidR="00B818F1" w:rsidRDefault="00B818F1">
      <w:r>
        <w:separator/>
      </w:r>
    </w:p>
  </w:footnote>
  <w:footnote w:type="continuationSeparator" w:id="0">
    <w:p w14:paraId="1AA69360" w14:textId="77777777" w:rsidR="00B818F1" w:rsidRDefault="00B818F1">
      <w:r>
        <w:continuationSeparator/>
      </w:r>
    </w:p>
  </w:footnote>
  <w:footnote w:type="continuationNotice" w:id="1">
    <w:p w14:paraId="1145CC2D" w14:textId="77777777" w:rsidR="00B818F1" w:rsidRDefault="00B818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977D0"/>
    <w:multiLevelType w:val="hybridMultilevel"/>
    <w:tmpl w:val="753A976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0"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4"/>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3"/>
  </w:num>
  <w:num w:numId="8">
    <w:abstractNumId w:val="18"/>
  </w:num>
  <w:num w:numId="9">
    <w:abstractNumId w:val="20"/>
  </w:num>
  <w:num w:numId="10">
    <w:abstractNumId w:val="30"/>
  </w:num>
  <w:num w:numId="11">
    <w:abstractNumId w:val="7"/>
  </w:num>
  <w:num w:numId="12">
    <w:abstractNumId w:val="2"/>
  </w:num>
  <w:num w:numId="13">
    <w:abstractNumId w:val="21"/>
  </w:num>
  <w:num w:numId="14">
    <w:abstractNumId w:val="26"/>
  </w:num>
  <w:num w:numId="15">
    <w:abstractNumId w:val="25"/>
  </w:num>
  <w:num w:numId="16">
    <w:abstractNumId w:val="11"/>
  </w:num>
  <w:num w:numId="17">
    <w:abstractNumId w:val="19"/>
  </w:num>
  <w:num w:numId="18">
    <w:abstractNumId w:val="22"/>
  </w:num>
  <w:num w:numId="19">
    <w:abstractNumId w:val="15"/>
  </w:num>
  <w:num w:numId="20">
    <w:abstractNumId w:val="17"/>
  </w:num>
  <w:num w:numId="21">
    <w:abstractNumId w:val="24"/>
  </w:num>
  <w:num w:numId="22">
    <w:abstractNumId w:val="0"/>
  </w:num>
  <w:num w:numId="23">
    <w:abstractNumId w:val="10"/>
  </w:num>
  <w:num w:numId="24">
    <w:abstractNumId w:val="16"/>
  </w:num>
  <w:num w:numId="25">
    <w:abstractNumId w:val="3"/>
  </w:num>
  <w:num w:numId="26">
    <w:abstractNumId w:val="27"/>
  </w:num>
  <w:num w:numId="27">
    <w:abstractNumId w:val="28"/>
  </w:num>
  <w:num w:numId="28">
    <w:abstractNumId w:val="5"/>
  </w:num>
  <w:num w:numId="29">
    <w:abstractNumId w:val="6"/>
  </w:num>
  <w:num w:numId="30">
    <w:abstractNumId w:val="8"/>
  </w:num>
  <w:num w:numId="3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995"/>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996"/>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E2"/>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DCD"/>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D8"/>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6B5C"/>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66"/>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E22"/>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848"/>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25A"/>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82"/>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BDB"/>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18A5"/>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063"/>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4D"/>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5C2"/>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47B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88A"/>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A21"/>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31C"/>
    <w:rsid w:val="003C7459"/>
    <w:rsid w:val="003C78C0"/>
    <w:rsid w:val="003C79A4"/>
    <w:rsid w:val="003C7D16"/>
    <w:rsid w:val="003D075A"/>
    <w:rsid w:val="003D09DA"/>
    <w:rsid w:val="003D0A97"/>
    <w:rsid w:val="003D0D75"/>
    <w:rsid w:val="003D0E68"/>
    <w:rsid w:val="003D124C"/>
    <w:rsid w:val="003D15C3"/>
    <w:rsid w:val="003D1BEC"/>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73F"/>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0FEC"/>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2B8"/>
    <w:rsid w:val="004C0346"/>
    <w:rsid w:val="004C03CC"/>
    <w:rsid w:val="004C0A25"/>
    <w:rsid w:val="004C0AE9"/>
    <w:rsid w:val="004C0B5B"/>
    <w:rsid w:val="004C0EE4"/>
    <w:rsid w:val="004C0F99"/>
    <w:rsid w:val="004C130D"/>
    <w:rsid w:val="004C132F"/>
    <w:rsid w:val="004C1448"/>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2A4F"/>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EE0"/>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042"/>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2936"/>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14"/>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2D87"/>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7B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5E0"/>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B4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ADD"/>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207"/>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BAB"/>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0ABF"/>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17FBC"/>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0F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0A3"/>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2A3"/>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83F"/>
    <w:rsid w:val="009F5CA4"/>
    <w:rsid w:val="009F5E51"/>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372"/>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1E7F"/>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963"/>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0B4D"/>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19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527"/>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1CB"/>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8B1"/>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8F1"/>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6F01"/>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41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16"/>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2C9"/>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54"/>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7E6"/>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45A"/>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29A"/>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0FC"/>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61E"/>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BFF"/>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1E64"/>
    <w:rsid w:val="00CF20C8"/>
    <w:rsid w:val="00CF22F9"/>
    <w:rsid w:val="00CF233B"/>
    <w:rsid w:val="00CF23D5"/>
    <w:rsid w:val="00CF2639"/>
    <w:rsid w:val="00CF277A"/>
    <w:rsid w:val="00CF2E22"/>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C8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77"/>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9AE"/>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48A"/>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4FC6"/>
    <w:rsid w:val="00E65E6B"/>
    <w:rsid w:val="00E6640D"/>
    <w:rsid w:val="00E6682F"/>
    <w:rsid w:val="00E701D0"/>
    <w:rsid w:val="00E705E5"/>
    <w:rsid w:val="00E70B0C"/>
    <w:rsid w:val="00E71DF1"/>
    <w:rsid w:val="00E722EF"/>
    <w:rsid w:val="00E723D3"/>
    <w:rsid w:val="00E7242A"/>
    <w:rsid w:val="00E7245A"/>
    <w:rsid w:val="00E72A5C"/>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D60"/>
    <w:rsid w:val="00E96EB3"/>
    <w:rsid w:val="00E96FBC"/>
    <w:rsid w:val="00E9738B"/>
    <w:rsid w:val="00E97507"/>
    <w:rsid w:val="00E97FF2"/>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29D2"/>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52C"/>
    <w:rsid w:val="00ED58F2"/>
    <w:rsid w:val="00ED5D40"/>
    <w:rsid w:val="00ED6621"/>
    <w:rsid w:val="00ED74DC"/>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3F36"/>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E2A"/>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B5A"/>
    <w:rsid w:val="00F54E13"/>
    <w:rsid w:val="00F55331"/>
    <w:rsid w:val="00F55A8C"/>
    <w:rsid w:val="00F55AC5"/>
    <w:rsid w:val="00F563F3"/>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2D8"/>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38C8"/>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44"/>
    <w:rsid w:val="00FE0851"/>
    <w:rsid w:val="00FE1086"/>
    <w:rsid w:val="00FE10CE"/>
    <w:rsid w:val="00FE20AB"/>
    <w:rsid w:val="00FE22F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D6A"/>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4188725">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5601695">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7134296">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2080AB-F289-4B42-A0E8-418E1A47AF2F}">
  <ds:schemaRefs>
    <ds:schemaRef ds:uri="http://schemas.openxmlformats.org/officeDocument/2006/bibliography"/>
  </ds:schemaRefs>
</ds:datastoreItem>
</file>

<file path=customXml/itemProps4.xml><?xml version="1.0" encoding="utf-8"?>
<ds:datastoreItem xmlns:ds="http://schemas.openxmlformats.org/officeDocument/2006/customXml" ds:itemID="{B4BD9769-A45D-C44D-9671-A2E65B53C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558</TotalTime>
  <Pages>3</Pages>
  <Words>838</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182</cp:revision>
  <cp:lastPrinted>2017-11-08T23:02:00Z</cp:lastPrinted>
  <dcterms:created xsi:type="dcterms:W3CDTF">2018-09-26T22:02:00Z</dcterms:created>
  <dcterms:modified xsi:type="dcterms:W3CDTF">2019-04-01T18:46:00Z</dcterms:modified>
  <cp:category/>
</cp:coreProperties>
</file>