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1A4DE65B"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5D7D19">
        <w:rPr>
          <w:rFonts w:ascii="Arial" w:hAnsi="Arial" w:cs="Arial"/>
          <w:b/>
          <w:lang w:val="de-DE"/>
        </w:rPr>
        <w:t>bis</w:t>
      </w:r>
      <w:r>
        <w:rPr>
          <w:rFonts w:ascii="Arial" w:hAnsi="Arial" w:cs="Arial"/>
          <w:b/>
          <w:lang w:val="de-DE"/>
        </w:rPr>
        <w:tab/>
      </w:r>
      <w:r w:rsidR="00B34C8E" w:rsidRPr="00B34C8E">
        <w:rPr>
          <w:rFonts w:ascii="Arial" w:hAnsi="Arial" w:cs="Arial"/>
          <w:b/>
          <w:lang w:val="de-DE"/>
        </w:rPr>
        <w:t>R4-1903064</w:t>
      </w:r>
      <w:bookmarkStart w:id="0" w:name="_GoBack"/>
      <w:bookmarkEnd w:id="0"/>
      <w:r>
        <w:rPr>
          <w:rFonts w:ascii="Arial" w:hAnsi="Arial" w:cs="Arial"/>
          <w:b/>
          <w:lang w:val="de-DE"/>
        </w:rPr>
        <w:br/>
      </w:r>
      <w:r w:rsidR="005D7D19">
        <w:rPr>
          <w:rFonts w:ascii="Arial" w:hAnsi="Arial" w:cs="Arial"/>
          <w:b/>
        </w:rPr>
        <w:t>Xi’an</w:t>
      </w:r>
      <w:r>
        <w:rPr>
          <w:rFonts w:ascii="Arial" w:hAnsi="Arial" w:cs="Arial"/>
          <w:b/>
        </w:rPr>
        <w:t xml:space="preserve">, </w:t>
      </w:r>
      <w:r w:rsidR="005D7D19">
        <w:rPr>
          <w:rFonts w:ascii="Arial" w:hAnsi="Arial" w:cs="Arial"/>
          <w:b/>
        </w:rPr>
        <w:t>China</w:t>
      </w:r>
      <w:r>
        <w:rPr>
          <w:rFonts w:ascii="Arial" w:hAnsi="Arial" w:cs="Arial"/>
          <w:b/>
        </w:rPr>
        <w:t xml:space="preserve">, </w:t>
      </w:r>
      <w:r w:rsidR="005D7D19">
        <w:rPr>
          <w:rFonts w:ascii="Arial" w:hAnsi="Arial" w:cs="Arial"/>
          <w:b/>
        </w:rPr>
        <w:t>April 8 – 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31968B4F"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D7D19" w:rsidRPr="005D7D19">
        <w:rPr>
          <w:rFonts w:ascii="Arial" w:hAnsi="Arial" w:cs="Arial"/>
          <w:b/>
        </w:rPr>
        <w:t>6.5.11.10</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407FFBB1" w:rsidR="00E064A5" w:rsidRDefault="00E064A5" w:rsidP="00E064A5">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546E72">
        <w:rPr>
          <w:rFonts w:ascii="Arial" w:hAnsi="Arial" w:cs="Arial"/>
          <w:b/>
        </w:rPr>
        <w:t>Updated</w:t>
      </w:r>
      <w:r w:rsidR="0036017F" w:rsidRPr="0036017F">
        <w:rPr>
          <w:rFonts w:ascii="Arial" w:hAnsi="Arial" w:cs="Arial"/>
          <w:b/>
        </w:rPr>
        <w:t xml:space="preserve"> analysis of FR2 power control tolerance</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0337EF8" w14:textId="405D6B24" w:rsidR="009A0D04" w:rsidRDefault="0036017F" w:rsidP="006B6A1A">
      <w:r>
        <w:t xml:space="preserve">The current version of the FR2 UE RF specification </w:t>
      </w:r>
      <w:r>
        <w:fldChar w:fldCharType="begin"/>
      </w:r>
      <w:r>
        <w:instrText xml:space="preserve"> REF _Ref525858808 \r \h </w:instrText>
      </w:r>
      <w:r>
        <w:fldChar w:fldCharType="separate"/>
      </w:r>
      <w:r>
        <w:t>[2]</w:t>
      </w:r>
      <w:r>
        <w:fldChar w:fldCharType="end"/>
      </w:r>
      <w:r>
        <w:t xml:space="preserve"> provides tentative values for the absolute and relative transmit power control tolerance.  During the RAN4 #88 meeting an analysis of network outage and converged TPC error performance made the following observations </w:t>
      </w:r>
      <w:r>
        <w:fldChar w:fldCharType="begin"/>
      </w:r>
      <w:r>
        <w:instrText xml:space="preserve"> REF _Ref525858913 \r \h </w:instrText>
      </w:r>
      <w:r>
        <w:fldChar w:fldCharType="separate"/>
      </w:r>
      <w:r>
        <w:t>[3]</w:t>
      </w:r>
      <w:r>
        <w:fldChar w:fldCharType="end"/>
      </w:r>
      <w:r>
        <w:t>:</w:t>
      </w:r>
    </w:p>
    <w:p w14:paraId="05D10FF2" w14:textId="77777777" w:rsidR="0036017F" w:rsidRDefault="0036017F" w:rsidP="006B6A1A"/>
    <w:p w14:paraId="5AE40EB5" w14:textId="4C33829C" w:rsidR="0036017F" w:rsidRDefault="0036017F" w:rsidP="006B6A1A">
      <w:r>
        <w:rPr>
          <w:noProof/>
        </w:rPr>
        <mc:AlternateContent>
          <mc:Choice Requires="wps">
            <w:drawing>
              <wp:inline distT="0" distB="0" distL="0" distR="0" wp14:anchorId="6F266E24" wp14:editId="209918CC">
                <wp:extent cx="1828800" cy="1828800"/>
                <wp:effectExtent l="0" t="0" r="6985" b="1905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266E24"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v:textbox>
                <w10:anchorlock/>
              </v:shape>
            </w:pict>
          </mc:Fallback>
        </mc:AlternateContent>
      </w:r>
    </w:p>
    <w:p w14:paraId="2C590A2D" w14:textId="77777777" w:rsidR="0036017F" w:rsidRDefault="0036017F" w:rsidP="006B6A1A"/>
    <w:p w14:paraId="294F330C" w14:textId="4F9AF4BA" w:rsidR="0036017F" w:rsidRDefault="00177644" w:rsidP="006B6A1A">
      <w:r>
        <w:t xml:space="preserve">During offline discussions some companies observed that the analysis in </w:t>
      </w:r>
      <w:r>
        <w:fldChar w:fldCharType="begin"/>
      </w:r>
      <w:r>
        <w:instrText xml:space="preserve"> REF _Ref525858913 \r \h </w:instrText>
      </w:r>
      <w:r>
        <w:fldChar w:fldCharType="separate"/>
      </w:r>
      <w:r>
        <w:t>[3]</w:t>
      </w:r>
      <w:r>
        <w:fldChar w:fldCharType="end"/>
      </w:r>
      <w:r>
        <w:t xml:space="preserve"> did not consider convergence time of the power control algorithm and that possible revisions of the TPC tolerance values may be motivated by this metric.</w:t>
      </w:r>
    </w:p>
    <w:p w14:paraId="5E66160B" w14:textId="77777777" w:rsidR="0036017F" w:rsidRDefault="0036017F" w:rsidP="006B6A1A"/>
    <w:p w14:paraId="157679A5" w14:textId="3B8AC7F9" w:rsidR="00546E72" w:rsidRDefault="00546E72" w:rsidP="006B6A1A">
      <w:r>
        <w:t>F</w:t>
      </w:r>
      <w:r w:rsidR="00177644">
        <w:t xml:space="preserve">urther analysis of the issue </w:t>
      </w:r>
      <w:r>
        <w:t xml:space="preserve">was provided in </w:t>
      </w:r>
      <w:r>
        <w:fldChar w:fldCharType="begin"/>
      </w:r>
      <w:r>
        <w:instrText xml:space="preserve"> REF _Ref535916320 \r \h </w:instrText>
      </w:r>
      <w:r>
        <w:fldChar w:fldCharType="separate"/>
      </w:r>
      <w:r>
        <w:t>[5]</w:t>
      </w:r>
      <w:r>
        <w:fldChar w:fldCharType="end"/>
      </w:r>
      <w:r>
        <w:t xml:space="preserve"> during the RAN4 #89 meeting. B</w:t>
      </w:r>
      <w:r w:rsidR="00177644">
        <w:t>y considering TPC algorithm convergence</w:t>
      </w:r>
      <w:r>
        <w:t>, the following observations were made:</w:t>
      </w:r>
    </w:p>
    <w:p w14:paraId="3B214DA9" w14:textId="07AD30E1" w:rsidR="00546E72" w:rsidRDefault="00546E72" w:rsidP="006B6A1A"/>
    <w:p w14:paraId="1A38CB1B" w14:textId="0D7B1A0B" w:rsidR="00546E72" w:rsidRDefault="00546E72" w:rsidP="006B6A1A">
      <w:r>
        <w:rPr>
          <w:noProof/>
        </w:rPr>
        <mc:AlternateContent>
          <mc:Choice Requires="wps">
            <w:drawing>
              <wp:inline distT="0" distB="0" distL="0" distR="0" wp14:anchorId="46A2BF69" wp14:editId="2D95CC69">
                <wp:extent cx="6120765" cy="827182"/>
                <wp:effectExtent l="0" t="0" r="6985" b="10160"/>
                <wp:docPr id="2" name="Text Box 2"/>
                <wp:cNvGraphicFramePr/>
                <a:graphic xmlns:a="http://schemas.openxmlformats.org/drawingml/2006/main">
                  <a:graphicData uri="http://schemas.microsoft.com/office/word/2010/wordprocessingShape">
                    <wps:wsp>
                      <wps:cNvSpPr txBox="1"/>
                      <wps:spPr>
                        <a:xfrm>
                          <a:off x="0" y="0"/>
                          <a:ext cx="6120765" cy="827182"/>
                        </a:xfrm>
                        <a:prstGeom prst="rect">
                          <a:avLst/>
                        </a:prstGeom>
                        <a:noFill/>
                        <a:ln w="6350">
                          <a:solidFill>
                            <a:prstClr val="black"/>
                          </a:solidFill>
                        </a:ln>
                      </wps:spPr>
                      <wps:txbx>
                        <w:txbxContent>
                          <w:p w14:paraId="683D4D88" w14:textId="77777777" w:rsidR="00546E72" w:rsidRPr="00546E72" w:rsidRDefault="00546E72" w:rsidP="00546E72">
                            <w:pPr>
                              <w:rPr>
                                <w:rFonts w:eastAsia="Batang"/>
                                <w:bCs/>
                                <w:sz w:val="20"/>
                                <w:szCs w:val="20"/>
                              </w:rPr>
                            </w:pPr>
                            <w:r w:rsidRPr="00546E72">
                              <w:rPr>
                                <w:rFonts w:eastAsia="Batang"/>
                                <w:b/>
                                <w:bCs/>
                                <w:sz w:val="20"/>
                                <w:szCs w:val="20"/>
                              </w:rPr>
                              <w:t>Observation 1</w:t>
                            </w:r>
                            <w:r w:rsidRPr="00546E72">
                              <w:rPr>
                                <w:rFonts w:eastAsia="Batang"/>
                                <w:bCs/>
                                <w:sz w:val="20"/>
                                <w:szCs w:val="20"/>
                              </w:rPr>
                              <w:t>: TPC convergence is dominated by the BS algorithm and parameters associated with BS performance. When the BS estimates path loss (Case 1), TPC error is driven by both UE TPC tolerance and BS RSRP error and has slow convergence (8 steps). When the BS derives TPC command from estimated Rx RSRP (Cases 2, 3), TPC convergence is fast (4 steps), and error is driven by BS RSRP estimator. When the BS uses smaller steps for the TPC command (Case 3), TPC error is reduced.</w:t>
                            </w:r>
                          </w:p>
                          <w:p w14:paraId="12D45225" w14:textId="77777777" w:rsidR="00546E72" w:rsidRPr="00546E72" w:rsidRDefault="00546E72" w:rsidP="00546E72">
                            <w:pPr>
                              <w:rPr>
                                <w:rFonts w:eastAsia="Batang"/>
                                <w:bCs/>
                                <w:sz w:val="20"/>
                                <w:szCs w:val="20"/>
                              </w:rPr>
                            </w:pPr>
                          </w:p>
                          <w:p w14:paraId="766012F4" w14:textId="77777777" w:rsidR="00546E72" w:rsidRPr="00546E72" w:rsidRDefault="00546E72" w:rsidP="00546E72">
                            <w:pPr>
                              <w:rPr>
                                <w:rFonts w:eastAsia="Batang"/>
                                <w:bCs/>
                                <w:sz w:val="20"/>
                                <w:szCs w:val="20"/>
                              </w:rPr>
                            </w:pPr>
                            <w:r w:rsidRPr="00546E72">
                              <w:rPr>
                                <w:rFonts w:eastAsia="Batang"/>
                                <w:b/>
                                <w:bCs/>
                                <w:sz w:val="20"/>
                                <w:szCs w:val="20"/>
                              </w:rPr>
                              <w:t>Observation 2</w:t>
                            </w:r>
                            <w:r w:rsidRPr="00546E72">
                              <w:rPr>
                                <w:rFonts w:eastAsia="Batang"/>
                                <w:bCs/>
                                <w:sz w:val="20"/>
                                <w:szCs w:val="20"/>
                              </w:rPr>
                              <w:t>: Tightening UE OL TPC requirements from baseline to Type A, B, or C improves step 1 TPC error and marginally step 2 TPC error.</w:t>
                            </w:r>
                          </w:p>
                          <w:p w14:paraId="5EC41FB6" w14:textId="77777777" w:rsidR="00546E72" w:rsidRPr="00546E72" w:rsidRDefault="00546E72" w:rsidP="00546E72">
                            <w:pPr>
                              <w:rPr>
                                <w:rFonts w:eastAsia="Batang"/>
                                <w:bCs/>
                                <w:sz w:val="20"/>
                                <w:szCs w:val="20"/>
                              </w:rPr>
                            </w:pPr>
                          </w:p>
                          <w:p w14:paraId="250179BD" w14:textId="77777777" w:rsidR="00546E72" w:rsidRPr="00546E72" w:rsidRDefault="00546E72" w:rsidP="00546E72">
                            <w:pPr>
                              <w:rPr>
                                <w:rFonts w:eastAsia="Batang"/>
                                <w:bCs/>
                                <w:sz w:val="20"/>
                                <w:szCs w:val="20"/>
                              </w:rPr>
                            </w:pPr>
                            <w:r w:rsidRPr="00546E72">
                              <w:rPr>
                                <w:rFonts w:eastAsia="Batang"/>
                                <w:b/>
                                <w:bCs/>
                                <w:sz w:val="20"/>
                                <w:szCs w:val="20"/>
                              </w:rPr>
                              <w:t>Observation 3</w:t>
                            </w:r>
                            <w:r w:rsidRPr="00546E72">
                              <w:rPr>
                                <w:rFonts w:eastAsia="Batang"/>
                                <w:bCs/>
                                <w:sz w:val="20"/>
                                <w:szCs w:val="20"/>
                              </w:rPr>
                              <w:t>: Tightening UE CL TPC requirements from baseline to Type A, B, or C has negligible impact on TPC loop convergence. Type A, B, and C requirements have significant impact on UE implementation complexity. Improvement of BS algorithm from Case 2 to Case 3 has greater effect.</w:t>
                            </w:r>
                          </w:p>
                          <w:p w14:paraId="44A7FB5C" w14:textId="77777777" w:rsidR="00546E72" w:rsidRPr="00546E72" w:rsidRDefault="00546E72" w:rsidP="00546E72">
                            <w:pPr>
                              <w:rPr>
                                <w:rFonts w:eastAsia="Batang"/>
                                <w:bCs/>
                                <w:sz w:val="20"/>
                                <w:szCs w:val="20"/>
                              </w:rPr>
                            </w:pPr>
                          </w:p>
                          <w:p w14:paraId="7B62DEFF" w14:textId="77777777" w:rsidR="00546E72" w:rsidRPr="00546E72" w:rsidRDefault="00546E72" w:rsidP="00546E72">
                            <w:pPr>
                              <w:rPr>
                                <w:rFonts w:eastAsia="Batang"/>
                                <w:bCs/>
                                <w:sz w:val="20"/>
                                <w:szCs w:val="20"/>
                              </w:rPr>
                            </w:pPr>
                            <w:r w:rsidRPr="00546E72">
                              <w:rPr>
                                <w:rFonts w:eastAsia="Batang"/>
                                <w:b/>
                                <w:bCs/>
                                <w:sz w:val="20"/>
                                <w:szCs w:val="20"/>
                              </w:rPr>
                              <w:t>Observation 4</w:t>
                            </w:r>
                            <w:r w:rsidRPr="00546E72">
                              <w:rPr>
                                <w:rFonts w:eastAsia="Batang"/>
                                <w:bCs/>
                                <w:sz w:val="20"/>
                                <w:szCs w:val="20"/>
                              </w:rPr>
                              <w:t>: Based on prior study of NW simulation performance and this study on TPC algorithm convergence, the tentative values for OL &amp; CL TPC tolerance can be confirmed without modification.</w:t>
                            </w:r>
                          </w:p>
                          <w:p w14:paraId="1B11D007" w14:textId="77777777" w:rsidR="00546E72" w:rsidRPr="00546E72" w:rsidRDefault="00546E72" w:rsidP="00546E72">
                            <w:pPr>
                              <w:rPr>
                                <w:rFonts w:eastAsia="Batang"/>
                                <w:bCs/>
                                <w:sz w:val="20"/>
                                <w:szCs w:val="20"/>
                              </w:rPr>
                            </w:pPr>
                          </w:p>
                          <w:p w14:paraId="41CA2014" w14:textId="15666BE5" w:rsidR="00546E72" w:rsidRPr="00546E72" w:rsidRDefault="00546E72" w:rsidP="00546E72">
                            <w:pPr>
                              <w:rPr>
                                <w:rFonts w:eastAsia="Batang"/>
                                <w:bCs/>
                                <w:sz w:val="20"/>
                                <w:szCs w:val="20"/>
                              </w:rPr>
                            </w:pPr>
                            <w:r w:rsidRPr="00546E72">
                              <w:rPr>
                                <w:rFonts w:eastAsia="Batang"/>
                                <w:b/>
                                <w:bCs/>
                                <w:sz w:val="20"/>
                                <w:szCs w:val="20"/>
                              </w:rPr>
                              <w:t>Observation 5</w:t>
                            </w:r>
                            <w:r w:rsidRPr="00546E72">
                              <w:rPr>
                                <w:rFonts w:eastAsia="Batang"/>
                                <w:bCs/>
                                <w:sz w:val="20"/>
                                <w:szCs w:val="20"/>
                              </w:rPr>
                              <w:t>: If further study is needed, a framework for analyzing TPC loop convergence is recommended to evaluate proposed values for UE TPC tolerance. Such a framework should include some assumptions about the BS TPC algorithm.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A2BF69" id="Text Box 2" o:spid="_x0000_s1027" type="#_x0000_t202" style="width:481.95pt;height:65.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" filled="f" strokeweight=".5pt">
                <v:textbox style="mso-fit-shape-to-text:t">
                  <w:txbxContent>
                    <w:p w14:paraId="683D4D88" w14:textId="77777777" w:rsidR="00546E72" w:rsidRPr="00546E72" w:rsidRDefault="00546E72" w:rsidP="00546E72">
                      <w:pPr>
                        <w:rPr>
                          <w:rFonts w:eastAsia="Batang"/>
                          <w:bCs/>
                          <w:sz w:val="20"/>
                          <w:szCs w:val="20"/>
                        </w:rPr>
                      </w:pPr>
                      <w:r w:rsidRPr="00546E72">
                        <w:rPr>
                          <w:rFonts w:eastAsia="Batang"/>
                          <w:b/>
                          <w:bCs/>
                          <w:sz w:val="20"/>
                          <w:szCs w:val="20"/>
                        </w:rPr>
                        <w:t>Observation 1</w:t>
                      </w:r>
                      <w:r w:rsidRPr="00546E72">
                        <w:rPr>
                          <w:rFonts w:eastAsia="Batang"/>
                          <w:bCs/>
                          <w:sz w:val="20"/>
                          <w:szCs w:val="20"/>
                        </w:rPr>
                        <w:t>: TPC convergence is dominated by the BS algorithm and parameters associated with BS performance. When the BS estimates path loss (Case 1), TPC error is driven by both UE TPC tolerance and BS RSRP error and has slow convergence (8 steps). When the BS derives TPC command from estimated Rx RSRP (Cases 2, 3), TPC convergence is fast (4 steps), and error is driven by BS RSRP estimator. When the BS uses smaller steps for the TPC command (Case 3), TPC error is reduced.</w:t>
                      </w:r>
                    </w:p>
                    <w:p w14:paraId="12D45225" w14:textId="77777777" w:rsidR="00546E72" w:rsidRPr="00546E72" w:rsidRDefault="00546E72" w:rsidP="00546E72">
                      <w:pPr>
                        <w:rPr>
                          <w:rFonts w:eastAsia="Batang"/>
                          <w:bCs/>
                          <w:sz w:val="20"/>
                          <w:szCs w:val="20"/>
                        </w:rPr>
                      </w:pPr>
                    </w:p>
                    <w:p w14:paraId="766012F4" w14:textId="77777777" w:rsidR="00546E72" w:rsidRPr="00546E72" w:rsidRDefault="00546E72" w:rsidP="00546E72">
                      <w:pPr>
                        <w:rPr>
                          <w:rFonts w:eastAsia="Batang"/>
                          <w:bCs/>
                          <w:sz w:val="20"/>
                          <w:szCs w:val="20"/>
                        </w:rPr>
                      </w:pPr>
                      <w:r w:rsidRPr="00546E72">
                        <w:rPr>
                          <w:rFonts w:eastAsia="Batang"/>
                          <w:b/>
                          <w:bCs/>
                          <w:sz w:val="20"/>
                          <w:szCs w:val="20"/>
                        </w:rPr>
                        <w:t>Observation 2</w:t>
                      </w:r>
                      <w:r w:rsidRPr="00546E72">
                        <w:rPr>
                          <w:rFonts w:eastAsia="Batang"/>
                          <w:bCs/>
                          <w:sz w:val="20"/>
                          <w:szCs w:val="20"/>
                        </w:rPr>
                        <w:t>: Tightening UE OL TPC requirements from baseline to Type A, B, or C improves step 1 TPC error and marginally step 2 TPC error.</w:t>
                      </w:r>
                    </w:p>
                    <w:p w14:paraId="5EC41FB6" w14:textId="77777777" w:rsidR="00546E72" w:rsidRPr="00546E72" w:rsidRDefault="00546E72" w:rsidP="00546E72">
                      <w:pPr>
                        <w:rPr>
                          <w:rFonts w:eastAsia="Batang"/>
                          <w:bCs/>
                          <w:sz w:val="20"/>
                          <w:szCs w:val="20"/>
                        </w:rPr>
                      </w:pPr>
                    </w:p>
                    <w:p w14:paraId="250179BD" w14:textId="77777777" w:rsidR="00546E72" w:rsidRPr="00546E72" w:rsidRDefault="00546E72" w:rsidP="00546E72">
                      <w:pPr>
                        <w:rPr>
                          <w:rFonts w:eastAsia="Batang"/>
                          <w:bCs/>
                          <w:sz w:val="20"/>
                          <w:szCs w:val="20"/>
                        </w:rPr>
                      </w:pPr>
                      <w:r w:rsidRPr="00546E72">
                        <w:rPr>
                          <w:rFonts w:eastAsia="Batang"/>
                          <w:b/>
                          <w:bCs/>
                          <w:sz w:val="20"/>
                          <w:szCs w:val="20"/>
                        </w:rPr>
                        <w:t>Observation 3</w:t>
                      </w:r>
                      <w:r w:rsidRPr="00546E72">
                        <w:rPr>
                          <w:rFonts w:eastAsia="Batang"/>
                          <w:bCs/>
                          <w:sz w:val="20"/>
                          <w:szCs w:val="20"/>
                        </w:rPr>
                        <w:t>: Tightening UE CL TPC requirements from baseline to Type A, B, or C has negligible impact on TPC loop convergence. Type A, B, and C requirements have significant impact on UE implementation complexity. Improvement of BS algorithm from Case 2 to Case 3 has greater effect.</w:t>
                      </w:r>
                    </w:p>
                    <w:p w14:paraId="44A7FB5C" w14:textId="77777777" w:rsidR="00546E72" w:rsidRPr="00546E72" w:rsidRDefault="00546E72" w:rsidP="00546E72">
                      <w:pPr>
                        <w:rPr>
                          <w:rFonts w:eastAsia="Batang"/>
                          <w:bCs/>
                          <w:sz w:val="20"/>
                          <w:szCs w:val="20"/>
                        </w:rPr>
                      </w:pPr>
                    </w:p>
                    <w:p w14:paraId="7B62DEFF" w14:textId="77777777" w:rsidR="00546E72" w:rsidRPr="00546E72" w:rsidRDefault="00546E72" w:rsidP="00546E72">
                      <w:pPr>
                        <w:rPr>
                          <w:rFonts w:eastAsia="Batang"/>
                          <w:bCs/>
                          <w:sz w:val="20"/>
                          <w:szCs w:val="20"/>
                        </w:rPr>
                      </w:pPr>
                      <w:r w:rsidRPr="00546E72">
                        <w:rPr>
                          <w:rFonts w:eastAsia="Batang"/>
                          <w:b/>
                          <w:bCs/>
                          <w:sz w:val="20"/>
                          <w:szCs w:val="20"/>
                        </w:rPr>
                        <w:t>Observation 4</w:t>
                      </w:r>
                      <w:r w:rsidRPr="00546E72">
                        <w:rPr>
                          <w:rFonts w:eastAsia="Batang"/>
                          <w:bCs/>
                          <w:sz w:val="20"/>
                          <w:szCs w:val="20"/>
                        </w:rPr>
                        <w:t>: Based on prior study of NW simulation performance and this study on TPC algorithm convergence, the tentative values for OL &amp; CL TPC tolerance can be confirmed without modification.</w:t>
                      </w:r>
                    </w:p>
                    <w:p w14:paraId="1B11D007" w14:textId="77777777" w:rsidR="00546E72" w:rsidRPr="00546E72" w:rsidRDefault="00546E72" w:rsidP="00546E72">
                      <w:pPr>
                        <w:rPr>
                          <w:rFonts w:eastAsia="Batang"/>
                          <w:bCs/>
                          <w:sz w:val="20"/>
                          <w:szCs w:val="20"/>
                        </w:rPr>
                      </w:pPr>
                    </w:p>
                    <w:p w14:paraId="41CA2014" w14:textId="15666BE5" w:rsidR="00546E72" w:rsidRPr="00546E72" w:rsidRDefault="00546E72" w:rsidP="00546E72">
                      <w:pPr>
                        <w:rPr>
                          <w:rFonts w:eastAsia="Batang"/>
                          <w:bCs/>
                          <w:sz w:val="20"/>
                          <w:szCs w:val="20"/>
                        </w:rPr>
                      </w:pPr>
                      <w:r w:rsidRPr="00546E72">
                        <w:rPr>
                          <w:rFonts w:eastAsia="Batang"/>
                          <w:b/>
                          <w:bCs/>
                          <w:sz w:val="20"/>
                          <w:szCs w:val="20"/>
                        </w:rPr>
                        <w:t>Observation 5</w:t>
                      </w:r>
                      <w:r w:rsidRPr="00546E72">
                        <w:rPr>
                          <w:rFonts w:eastAsia="Batang"/>
                          <w:bCs/>
                          <w:sz w:val="20"/>
                          <w:szCs w:val="20"/>
                        </w:rPr>
                        <w:t>: If further study is needed, a framework for analyzing TPC loop convergence is recommended to evaluate proposed values for UE TPC tolerance. Such a framework should include some assumptions about the BS TPC algorithm.</w:t>
                      </w:r>
                    </w:p>
                  </w:txbxContent>
                </v:textbox>
                <w10:anchorlock/>
              </v:shape>
            </w:pict>
          </mc:Fallback>
        </mc:AlternateContent>
      </w:r>
    </w:p>
    <w:p w14:paraId="1DADBB03" w14:textId="3E41F8B0" w:rsidR="00546E72" w:rsidRDefault="00546E72" w:rsidP="006B6A1A"/>
    <w:p w14:paraId="06AB66EE" w14:textId="7A33E7D2" w:rsidR="00177644" w:rsidRDefault="007B06E1" w:rsidP="006B6A1A">
      <w:r>
        <w:t xml:space="preserve">The outcome of these observations </w:t>
      </w:r>
      <w:r w:rsidR="00AD3A59">
        <w:t xml:space="preserve">was reflected in the draft CR to TS38.101-2 in </w:t>
      </w:r>
      <w:r w:rsidR="00AD3A59">
        <w:fldChar w:fldCharType="begin"/>
      </w:r>
      <w:r w:rsidR="00AD3A59">
        <w:instrText xml:space="preserve"> REF _Ref535916663 \r \h </w:instrText>
      </w:r>
      <w:r w:rsidR="00AD3A59">
        <w:fldChar w:fldCharType="separate"/>
      </w:r>
      <w:r w:rsidR="00AD3A59">
        <w:t>[6]</w:t>
      </w:r>
      <w:r w:rsidR="00AD3A59">
        <w:fldChar w:fldCharType="end"/>
      </w:r>
      <w:r w:rsidR="00AD3A59">
        <w:t>, which was not endorsed due to ongoing discussion related to an alternative proposal. The</w:t>
      </w:r>
      <w:r>
        <w:t xml:space="preserve"> alternative proposal, also presented during the RAN4 #89 meeting in </w:t>
      </w:r>
      <w:r>
        <w:fldChar w:fldCharType="begin"/>
      </w:r>
      <w:r>
        <w:instrText xml:space="preserve"> REF _Ref535916560 \r \h </w:instrText>
      </w:r>
      <w:r>
        <w:fldChar w:fldCharType="separate"/>
      </w:r>
      <w:r>
        <w:t>[7]</w:t>
      </w:r>
      <w:r>
        <w:fldChar w:fldCharType="end"/>
      </w:r>
      <w:r>
        <w:t>, can be summarized as follows:</w:t>
      </w:r>
    </w:p>
    <w:p w14:paraId="2C112F0B" w14:textId="6347B748" w:rsidR="007B06E1" w:rsidRDefault="007B06E1" w:rsidP="006B6A1A">
      <w:r>
        <w:rPr>
          <w:noProof/>
        </w:rPr>
        <w:lastRenderedPageBreak/>
        <mc:AlternateContent>
          <mc:Choice Requires="wps">
            <w:drawing>
              <wp:inline distT="0" distB="0" distL="0" distR="0" wp14:anchorId="514F22BE" wp14:editId="6A2F4654">
                <wp:extent cx="6120765" cy="2869763"/>
                <wp:effectExtent l="0" t="0" r="6985" b="10160"/>
                <wp:docPr id="3" name="Text Box 3"/>
                <wp:cNvGraphicFramePr/>
                <a:graphic xmlns:a="http://schemas.openxmlformats.org/drawingml/2006/main">
                  <a:graphicData uri="http://schemas.microsoft.com/office/word/2010/wordprocessingShape">
                    <wps:wsp>
                      <wps:cNvSpPr txBox="1"/>
                      <wps:spPr>
                        <a:xfrm>
                          <a:off x="0" y="0"/>
                          <a:ext cx="6120765" cy="2869763"/>
                        </a:xfrm>
                        <a:prstGeom prst="rect">
                          <a:avLst/>
                        </a:prstGeom>
                        <a:noFill/>
                        <a:ln w="6350">
                          <a:solidFill>
                            <a:prstClr val="black"/>
                          </a:solidFill>
                        </a:ln>
                      </wps:spPr>
                      <wps:txbx>
                        <w:txbxContent>
                          <w:p w14:paraId="25A5B3FF" w14:textId="77777777" w:rsidR="007B06E1" w:rsidRPr="007B06E1" w:rsidRDefault="007B06E1" w:rsidP="007B06E1">
                            <w:pPr>
                              <w:rPr>
                                <w:rFonts w:eastAsia="Batang"/>
                                <w:bCs/>
                                <w:sz w:val="20"/>
                                <w:szCs w:val="20"/>
                              </w:rPr>
                            </w:pPr>
                            <w:r w:rsidRPr="007B06E1">
                              <w:rPr>
                                <w:rFonts w:eastAsia="Batang"/>
                                <w:bCs/>
                                <w:sz w:val="20"/>
                                <w:szCs w:val="20"/>
                              </w:rPr>
                              <w:t>In order to make the absolute requirements more relevant, we propose to</w:t>
                            </w:r>
                          </w:p>
                          <w:p w14:paraId="60F712C1" w14:textId="395CE21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and additional test point at maximum output power with a tentative ±[3.0] dB, applicable when the parameter set for uplink power control are such that the UE has reached it maximum (computed) power</w:t>
                            </w:r>
                          </w:p>
                          <w:p w14:paraId="34CF32D6" w14:textId="0E3E77B3"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the upper 12 dB power range above Pint to equal that of WCDMA conducted at NTC, a tentative ±[9.0] dB at NTC</w:t>
                            </w:r>
                          </w:p>
                          <w:p w14:paraId="071E4437" w14:textId="426D3A2B" w:rsidR="007B06E1" w:rsidRDefault="007B06E1" w:rsidP="007B06E1">
                            <w:pPr>
                              <w:rPr>
                                <w:rFonts w:eastAsia="Batang"/>
                                <w:bCs/>
                                <w:sz w:val="20"/>
                                <w:szCs w:val="20"/>
                              </w:rPr>
                            </w:pPr>
                            <w:r>
                              <w:rPr>
                                <w:rFonts w:eastAsia="Batang"/>
                                <w:bCs/>
                                <w:sz w:val="20"/>
                                <w:szCs w:val="20"/>
                              </w:rPr>
                              <w:t>…</w:t>
                            </w:r>
                          </w:p>
                          <w:p w14:paraId="53289FAE" w14:textId="77777777" w:rsidR="007B06E1" w:rsidRPr="007B06E1" w:rsidRDefault="007B06E1" w:rsidP="007B06E1">
                            <w:pPr>
                              <w:rPr>
                                <w:rFonts w:eastAsia="Batang"/>
                                <w:bCs/>
                                <w:sz w:val="20"/>
                                <w:szCs w:val="20"/>
                              </w:rPr>
                            </w:pPr>
                            <w:r w:rsidRPr="007B06E1">
                              <w:rPr>
                                <w:rFonts w:eastAsia="Batang"/>
                                <w:bCs/>
                                <w:sz w:val="20"/>
                                <w:szCs w:val="20"/>
                              </w:rPr>
                              <w:t>In order to make the relative requirements more relevant, we propose to</w:t>
                            </w:r>
                          </w:p>
                          <w:p w14:paraId="5882BD76" w14:textId="61E4252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 test point for small steps applicable for PUSCH to PUSCH transitions with the allocated resource blocks fixed in frequency, the tentative requirement is  ±[1.0] dB for ΔP ≤ 1 dB and possibly ±[2.0] dB for ΔP = 4 dB steps</w:t>
                            </w:r>
                          </w:p>
                          <w:p w14:paraId="36D50DFE" w14:textId="7774287B"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small steps ΔP &lt; 4 dB with possible changes of resource block allocations.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14F22BE" id="Text Box 3" o:spid="_x0000_s1028" type="#_x0000_t202" style="width:481.95pt;height:225.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" filled="f" strokeweight=".5pt">
                <v:textbox style="mso-fit-shape-to-text:t">
                  <w:txbxContent>
                    <w:p w14:paraId="25A5B3FF" w14:textId="77777777" w:rsidR="007B06E1" w:rsidRPr="007B06E1" w:rsidRDefault="007B06E1" w:rsidP="007B06E1">
                      <w:pPr>
                        <w:rPr>
                          <w:rFonts w:eastAsia="Batang"/>
                          <w:bCs/>
                          <w:sz w:val="20"/>
                          <w:szCs w:val="20"/>
                        </w:rPr>
                      </w:pPr>
                      <w:r w:rsidRPr="007B06E1">
                        <w:rPr>
                          <w:rFonts w:eastAsia="Batang"/>
                          <w:bCs/>
                          <w:sz w:val="20"/>
                          <w:szCs w:val="20"/>
                        </w:rPr>
                        <w:t>In order to make the absolute requirements more relevant, we propose to</w:t>
                      </w:r>
                    </w:p>
                    <w:p w14:paraId="60F712C1" w14:textId="395CE21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and additional test point at maximum output power with a tentative ±[3.0] dB, applicable when the parameter set for uplink power control are such that the UE has reached it maximum (computed) power</w:t>
                      </w:r>
                    </w:p>
                    <w:p w14:paraId="34CF32D6" w14:textId="0E3E77B3"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the upper 12 dB power range above Pint to equal that of WCDMA conducted at NTC, a tentative ±[9.0] dB at NTC</w:t>
                      </w:r>
                    </w:p>
                    <w:p w14:paraId="071E4437" w14:textId="426D3A2B" w:rsidR="007B06E1" w:rsidRDefault="007B06E1" w:rsidP="007B06E1">
                      <w:pPr>
                        <w:rPr>
                          <w:rFonts w:eastAsia="Batang"/>
                          <w:bCs/>
                          <w:sz w:val="20"/>
                          <w:szCs w:val="20"/>
                        </w:rPr>
                      </w:pPr>
                      <w:r>
                        <w:rPr>
                          <w:rFonts w:eastAsia="Batang"/>
                          <w:bCs/>
                          <w:sz w:val="20"/>
                          <w:szCs w:val="20"/>
                        </w:rPr>
                        <w:t>…</w:t>
                      </w:r>
                    </w:p>
                    <w:p w14:paraId="53289FAE" w14:textId="77777777" w:rsidR="007B06E1" w:rsidRPr="007B06E1" w:rsidRDefault="007B06E1" w:rsidP="007B06E1">
                      <w:pPr>
                        <w:rPr>
                          <w:rFonts w:eastAsia="Batang"/>
                          <w:bCs/>
                          <w:sz w:val="20"/>
                          <w:szCs w:val="20"/>
                        </w:rPr>
                      </w:pPr>
                      <w:r w:rsidRPr="007B06E1">
                        <w:rPr>
                          <w:rFonts w:eastAsia="Batang"/>
                          <w:bCs/>
                          <w:sz w:val="20"/>
                          <w:szCs w:val="20"/>
                        </w:rPr>
                        <w:t>In order to make the relative requirements more relevant, we propose to</w:t>
                      </w:r>
                    </w:p>
                    <w:p w14:paraId="5882BD76" w14:textId="61E4252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 test point for small steps applicable for PUSCH to PUSCH transitions with the allocated resource blocks fixed in frequency, the tentative requirement is  ±[1.0] dB for ΔP ≤ 1 dB and possibly ±[2.0] dB for ΔP = 4 dB steps</w:t>
                      </w:r>
                    </w:p>
                    <w:p w14:paraId="36D50DFE" w14:textId="7774287B"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small steps ΔP &lt; 4 dB with possible changes of resource block allocations.</w:t>
                      </w:r>
                    </w:p>
                  </w:txbxContent>
                </v:textbox>
                <w10:anchorlock/>
              </v:shape>
            </w:pict>
          </mc:Fallback>
        </mc:AlternateContent>
      </w:r>
    </w:p>
    <w:p w14:paraId="47E5197D" w14:textId="34514EBD" w:rsidR="007B06E1" w:rsidRDefault="007B06E1" w:rsidP="006B6A1A"/>
    <w:p w14:paraId="2E466E6B" w14:textId="397EFDA8" w:rsidR="00AD3A59" w:rsidRDefault="00AD3A59" w:rsidP="006B6A1A">
      <w:r>
        <w:t>This contribution evaluates the TPC convergence of the alternative proposal, evaluates the impact of BS RSRP accuracy, and proposes an approach to finalize the FR2 TPC requirements.</w:t>
      </w:r>
    </w:p>
    <w:p w14:paraId="442DEB4F" w14:textId="26111B83" w:rsidR="006B6A1A" w:rsidRDefault="006B6A1A" w:rsidP="006B6A1A">
      <w:pPr>
        <w:pStyle w:val="Heading1"/>
        <w:rPr>
          <w:lang w:val="en-US"/>
        </w:rPr>
      </w:pPr>
      <w:r w:rsidRPr="00871EA3">
        <w:rPr>
          <w:lang w:val="en-US"/>
        </w:rPr>
        <w:t>Discussion</w:t>
      </w:r>
    </w:p>
    <w:p w14:paraId="243557BD" w14:textId="41BC2E15" w:rsidR="00413C60" w:rsidRDefault="00413C60" w:rsidP="00413C60">
      <w:pPr>
        <w:pStyle w:val="Heading2"/>
        <w:rPr>
          <w:rFonts w:eastAsia="SimSun"/>
        </w:rPr>
      </w:pPr>
      <w:r>
        <w:rPr>
          <w:rFonts w:eastAsia="SimSun"/>
        </w:rPr>
        <w:t>Simplified simulation setup</w:t>
      </w:r>
    </w:p>
    <w:p w14:paraId="0239BA6A" w14:textId="734E76ED" w:rsidR="0036017F" w:rsidRDefault="00177644" w:rsidP="002B2215">
      <w:pPr>
        <w:rPr>
          <w:rFonts w:eastAsia="SimSun"/>
        </w:rPr>
      </w:pPr>
      <w:r>
        <w:rPr>
          <w:rFonts w:eastAsia="SimSun"/>
        </w:rPr>
        <w:t>Because typical system level simulation platforms do not implement TPC algorithm transitions and convergence from open loop through multiple closed loop steps, a new (and simplified) simulation platform was developed to prepare this analysis.</w:t>
      </w:r>
    </w:p>
    <w:p w14:paraId="7D381BC8" w14:textId="77777777" w:rsidR="00177644" w:rsidRDefault="00177644" w:rsidP="002B2215">
      <w:pPr>
        <w:rPr>
          <w:rFonts w:eastAsia="SimSun"/>
        </w:rPr>
      </w:pPr>
    </w:p>
    <w:p w14:paraId="3A686DC2" w14:textId="08C55815" w:rsidR="00177644" w:rsidRDefault="00177644" w:rsidP="002B2215">
      <w:pPr>
        <w:rPr>
          <w:rFonts w:eastAsia="SimSun"/>
        </w:rPr>
      </w:pPr>
      <w:r>
        <w:rPr>
          <w:rFonts w:eastAsia="SimSun"/>
        </w:rPr>
        <w:t>Since TPC performance is a link-level metric associated with large-scale fading (e.g. path loss, shadowing, antenna directivity and orientation), it is not necessary to consider multiple cells and the associated SLS platform complexity.  Likewise, small-scale fading and frame structure can be abstracted.</w:t>
      </w:r>
    </w:p>
    <w:p w14:paraId="026C1DF1" w14:textId="77777777" w:rsidR="00177644" w:rsidRDefault="00177644" w:rsidP="002B2215">
      <w:pPr>
        <w:rPr>
          <w:rFonts w:eastAsia="SimSun"/>
        </w:rPr>
      </w:pPr>
    </w:p>
    <w:p w14:paraId="15D0D395" w14:textId="12E7887E" w:rsidR="00177644" w:rsidRDefault="00BA2873" w:rsidP="002B2215">
      <w:pPr>
        <w:rPr>
          <w:rFonts w:eastAsia="SimSun"/>
        </w:rPr>
      </w:pPr>
      <w:r>
        <w:rPr>
          <w:rFonts w:eastAsia="SimSun"/>
        </w:rPr>
        <w:t xml:space="preserve">We model </w:t>
      </w:r>
      <w:r w:rsidR="00177644">
        <w:rPr>
          <w:rFonts w:eastAsia="SimSun"/>
        </w:rPr>
        <w:t>the UE-</w:t>
      </w:r>
      <w:r w:rsidR="004E4BD7">
        <w:rPr>
          <w:rFonts w:eastAsia="SimSun"/>
        </w:rPr>
        <w:t>BS</w:t>
      </w:r>
      <w:r w:rsidR="00177644">
        <w:rPr>
          <w:rFonts w:eastAsia="SimSun"/>
        </w:rPr>
        <w:t xml:space="preserve"> path loss as a </w:t>
      </w:r>
      <w:r>
        <w:rPr>
          <w:rFonts w:eastAsia="SimSun"/>
        </w:rPr>
        <w:t xml:space="preserve">stationary </w:t>
      </w:r>
      <w:r w:rsidR="00177644">
        <w:rPr>
          <w:rFonts w:eastAsia="SimSun"/>
        </w:rPr>
        <w:t>random variable</w:t>
      </w:r>
      <w:r>
        <w:rPr>
          <w:rFonts w:eastAsia="SimSun"/>
        </w:rPr>
        <w:t xml:space="preserve"> for the purpose of TPC convergence analysis (i.e. the path loss is assumed to remain fixed over the duration of the TPC loop convergence).  To get a sense of the distribution of path loss in a network, we collected path loss </w:t>
      </w:r>
      <w:r w:rsidR="00ED2A57">
        <w:rPr>
          <w:rFonts w:eastAsia="SimSun"/>
        </w:rPr>
        <w:t xml:space="preserve">samples </w:t>
      </w:r>
      <w:r>
        <w:rPr>
          <w:rFonts w:eastAsia="SimSun"/>
        </w:rPr>
        <w:t xml:space="preserve">from a system level simulation with UMa and ISD=200 m in a vector, normalized the path loss to a minimum of 0 dB, and applied a moment matching technique to estimate the distribution </w:t>
      </w:r>
      <w:r>
        <w:rPr>
          <w:rFonts w:eastAsia="SimSun"/>
        </w:rPr>
        <w:fldChar w:fldCharType="begin"/>
      </w:r>
      <w:r>
        <w:rPr>
          <w:rFonts w:eastAsia="SimSun"/>
        </w:rPr>
        <w:instrText xml:space="preserve"> REF _Ref525859964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w:t>
      </w:r>
      <w:r>
        <w:rPr>
          <w:rFonts w:eastAsia="SimSun"/>
        </w:rPr>
        <w:fldChar w:fldCharType="begin"/>
      </w:r>
      <w:r>
        <w:rPr>
          <w:rFonts w:eastAsia="SimSun"/>
        </w:rPr>
        <w:instrText xml:space="preserve"> REF _Ref525860035 \h </w:instrText>
      </w:r>
      <w:r>
        <w:rPr>
          <w:rFonts w:eastAsia="SimSun"/>
        </w:rPr>
      </w:r>
      <w:r>
        <w:rPr>
          <w:rFonts w:eastAsia="SimSun"/>
        </w:rPr>
        <w:fldChar w:fldCharType="separate"/>
      </w:r>
      <w:r>
        <w:t xml:space="preserve">Figure </w:t>
      </w:r>
      <w:r>
        <w:rPr>
          <w:noProof/>
        </w:rPr>
        <w:t>1</w:t>
      </w:r>
      <w:r>
        <w:rPr>
          <w:rFonts w:eastAsia="SimSun"/>
        </w:rPr>
        <w:fldChar w:fldCharType="end"/>
      </w:r>
      <w:r>
        <w:rPr>
          <w:rFonts w:eastAsia="SimSun"/>
        </w:rPr>
        <w:t xml:space="preserve"> below illustrates the results.</w:t>
      </w:r>
    </w:p>
    <w:p w14:paraId="06FBDC67" w14:textId="77777777" w:rsidR="00BA2873" w:rsidRDefault="00BA2873" w:rsidP="002B2215">
      <w:pPr>
        <w:rPr>
          <w:rFonts w:eastAsia="SimSun"/>
        </w:rPr>
      </w:pPr>
    </w:p>
    <w:p w14:paraId="5AD2E81E" w14:textId="77777777" w:rsidR="00BA2873" w:rsidRDefault="00BA2873" w:rsidP="00BA2873">
      <w:pPr>
        <w:keepNext/>
        <w:jc w:val="center"/>
      </w:pPr>
      <w:r w:rsidRPr="00BA2873">
        <w:rPr>
          <w:rFonts w:eastAsia="SimSun"/>
          <w:noProof/>
        </w:rPr>
        <w:lastRenderedPageBreak/>
        <w:drawing>
          <wp:inline distT="0" distB="0" distL="0" distR="0" wp14:anchorId="55A60307" wp14:editId="0EC27A89">
            <wp:extent cx="3657600" cy="27454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745436"/>
                    </a:xfrm>
                    <a:prstGeom prst="rect">
                      <a:avLst/>
                    </a:prstGeom>
                  </pic:spPr>
                </pic:pic>
              </a:graphicData>
            </a:graphic>
          </wp:inline>
        </w:drawing>
      </w:r>
    </w:p>
    <w:p w14:paraId="30BC4E97" w14:textId="70D72AED" w:rsidR="00BA2873" w:rsidRDefault="00BA2873" w:rsidP="00BA2873">
      <w:pPr>
        <w:pStyle w:val="Caption"/>
        <w:jc w:val="center"/>
        <w:rPr>
          <w:rFonts w:eastAsia="SimSun"/>
        </w:rPr>
      </w:pPr>
      <w:bookmarkStart w:id="1" w:name="_Ref52586003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05D6E">
        <w:rPr>
          <w:noProof/>
        </w:rPr>
        <w:t>1</w:t>
      </w:r>
      <w:r w:rsidR="00106195">
        <w:rPr>
          <w:noProof/>
        </w:rPr>
        <w:fldChar w:fldCharType="end"/>
      </w:r>
      <w:bookmarkEnd w:id="1"/>
      <w:r>
        <w:t>: Distribution of path loss in UMa model with ISD=200</w:t>
      </w:r>
    </w:p>
    <w:p w14:paraId="431FD20B" w14:textId="77777777" w:rsidR="00BA2873" w:rsidRDefault="00BA2873" w:rsidP="002B2215">
      <w:pPr>
        <w:rPr>
          <w:rFonts w:eastAsia="SimSun"/>
        </w:rPr>
      </w:pPr>
    </w:p>
    <w:p w14:paraId="7DA20A1D" w14:textId="3E053FA8" w:rsidR="00BA2873" w:rsidRDefault="00BA2873" w:rsidP="002B2215">
      <w:pPr>
        <w:rPr>
          <w:rFonts w:eastAsia="SimSun"/>
        </w:rPr>
      </w:pPr>
      <w:r>
        <w:rPr>
          <w:rFonts w:eastAsia="SimSun"/>
        </w:rPr>
        <w:t>Based on these results, we selected the normal distribution with mean 45 dB and standard deviation 8.7 dB.</w:t>
      </w:r>
      <w:r w:rsidR="00ED2A57">
        <w:rPr>
          <w:rFonts w:eastAsia="SimSun"/>
        </w:rPr>
        <w:t xml:space="preserve">  A Rician distribution with parameters K = 52 and </w:t>
      </w:r>
      <w:r w:rsidR="00ED2A57">
        <w:rPr>
          <w:rFonts w:eastAsia="SimSun"/>
        </w:rPr>
        <w:sym w:font="Symbol" w:char="F057"/>
      </w:r>
      <w:r w:rsidR="00ED2A57">
        <w:rPr>
          <w:rFonts w:eastAsia="SimSun"/>
        </w:rPr>
        <w:t xml:space="preserve"> (scale) = 45 is also a good candidate.</w:t>
      </w:r>
    </w:p>
    <w:p w14:paraId="53B32109" w14:textId="77777777" w:rsidR="00BA2873" w:rsidRDefault="00BA2873" w:rsidP="002B2215">
      <w:pPr>
        <w:rPr>
          <w:rFonts w:eastAsia="SimSun"/>
        </w:rPr>
      </w:pPr>
    </w:p>
    <w:p w14:paraId="213D8ECD" w14:textId="5FFF1542" w:rsidR="00BA2873" w:rsidRDefault="00061420" w:rsidP="002B2215">
      <w:pPr>
        <w:rPr>
          <w:rFonts w:eastAsia="SimSun"/>
        </w:rPr>
      </w:pPr>
      <w:r>
        <w:rPr>
          <w:rFonts w:eastAsia="SimSun"/>
        </w:rPr>
        <w:t xml:space="preserve">The value of p-Nominal (i.e. the </w:t>
      </w:r>
      <w:r w:rsidR="004E4BD7">
        <w:rPr>
          <w:rFonts w:eastAsia="SimSun"/>
        </w:rPr>
        <w:t>BS</w:t>
      </w:r>
      <w:r>
        <w:rPr>
          <w:rFonts w:eastAsia="SimSun"/>
        </w:rPr>
        <w:t xml:space="preserve"> rx power target for the TPC loop) within this distribution of path losses </w:t>
      </w:r>
      <w:r w:rsidR="00B44A6B">
        <w:rPr>
          <w:rFonts w:eastAsia="SimSun"/>
        </w:rPr>
        <w:t>is</w:t>
      </w:r>
      <w:r>
        <w:rPr>
          <w:rFonts w:eastAsia="SimSun"/>
        </w:rPr>
        <w:t xml:space="preserve"> separated into three scenarios:</w:t>
      </w:r>
    </w:p>
    <w:p w14:paraId="65AEE818" w14:textId="77777777" w:rsidR="00061420" w:rsidRPr="00061420" w:rsidRDefault="00061420" w:rsidP="00061420">
      <w:pPr>
        <w:pStyle w:val="ListParagraph"/>
        <w:numPr>
          <w:ilvl w:val="0"/>
          <w:numId w:val="16"/>
        </w:numPr>
        <w:rPr>
          <w:rFonts w:eastAsia="SimSun"/>
        </w:rPr>
      </w:pPr>
      <w:r w:rsidRPr="00061420">
        <w:rPr>
          <w:rFonts w:eastAsia="SimSun"/>
        </w:rPr>
        <w:t>Scenario 1: most users need large + adjustments in power</w:t>
      </w:r>
    </w:p>
    <w:p w14:paraId="020ACA72" w14:textId="77777777" w:rsidR="00061420" w:rsidRPr="00061420" w:rsidRDefault="00061420" w:rsidP="00061420">
      <w:pPr>
        <w:pStyle w:val="ListParagraph"/>
        <w:numPr>
          <w:ilvl w:val="0"/>
          <w:numId w:val="16"/>
        </w:numPr>
        <w:rPr>
          <w:rFonts w:eastAsia="SimSun"/>
        </w:rPr>
      </w:pPr>
      <w:r w:rsidRPr="00061420">
        <w:rPr>
          <w:rFonts w:eastAsia="SimSun"/>
        </w:rPr>
        <w:t>Scenario 2: most users need small + adjustments in power</w:t>
      </w:r>
    </w:p>
    <w:p w14:paraId="1C41F3C1" w14:textId="73053634" w:rsidR="00061420" w:rsidRDefault="00061420" w:rsidP="00061420">
      <w:pPr>
        <w:pStyle w:val="ListParagraph"/>
        <w:numPr>
          <w:ilvl w:val="0"/>
          <w:numId w:val="16"/>
        </w:numPr>
        <w:rPr>
          <w:rFonts w:eastAsia="SimSun"/>
        </w:rPr>
      </w:pPr>
      <w:r w:rsidRPr="00061420">
        <w:rPr>
          <w:rFonts w:eastAsia="SimSun"/>
        </w:rPr>
        <w:t>Scenario 3: most users need small +/- adjustments in power</w:t>
      </w:r>
    </w:p>
    <w:p w14:paraId="4611E1F7" w14:textId="77777777" w:rsidR="00061420" w:rsidRDefault="00061420" w:rsidP="00061420">
      <w:pPr>
        <w:rPr>
          <w:rFonts w:eastAsia="SimSun"/>
        </w:rPr>
      </w:pPr>
    </w:p>
    <w:p w14:paraId="2B75D454" w14:textId="08858781" w:rsidR="00061420" w:rsidRDefault="00835D6D" w:rsidP="00061420">
      <w:pPr>
        <w:rPr>
          <w:rFonts w:eastAsia="SimSun"/>
        </w:rPr>
      </w:pPr>
      <w:r>
        <w:rPr>
          <w:rFonts w:eastAsia="SimSun"/>
        </w:rPr>
        <w:t>Rec</w:t>
      </w:r>
      <w:r w:rsidR="00B44A6B">
        <w:rPr>
          <w:rFonts w:eastAsia="SimSun"/>
        </w:rPr>
        <w:t>eived signal strength estimators</w:t>
      </w:r>
      <w:r>
        <w:rPr>
          <w:rFonts w:eastAsia="SimSun"/>
        </w:rPr>
        <w:t xml:space="preserve"> at the UE and </w:t>
      </w:r>
      <w:r w:rsidR="004E4BD7">
        <w:rPr>
          <w:rFonts w:eastAsia="SimSun"/>
        </w:rPr>
        <w:t>BS</w:t>
      </w:r>
      <w:r>
        <w:rPr>
          <w:rFonts w:eastAsia="SimSun"/>
        </w:rPr>
        <w:t xml:space="preserve"> </w:t>
      </w:r>
      <w:r w:rsidR="00B44A6B">
        <w:rPr>
          <w:rFonts w:eastAsia="SimSun"/>
        </w:rPr>
        <w:t>are</w:t>
      </w:r>
      <w:r>
        <w:rPr>
          <w:rFonts w:eastAsia="SimSun"/>
        </w:rPr>
        <w:t xml:space="preserve"> modeled as independent normal distributions with expanded uncertainty = 6 dB.  Expanded uncertainty assumes 95% confidence in the estimated value </w:t>
      </w:r>
      <w:r w:rsidR="004F6CEF">
        <w:rPr>
          <w:rFonts w:eastAsia="SimSun"/>
        </w:rPr>
        <w:t>being</w:t>
      </w:r>
      <w:r>
        <w:rPr>
          <w:rFonts w:eastAsia="SimSun"/>
        </w:rPr>
        <w:t xml:space="preserve"> within +/- 6 dB</w:t>
      </w:r>
      <w:r w:rsidR="004F6CEF">
        <w:rPr>
          <w:rFonts w:eastAsia="SimSun"/>
        </w:rPr>
        <w:t xml:space="preserve"> of the true value</w:t>
      </w:r>
      <w:r>
        <w:rPr>
          <w:rFonts w:eastAsia="SimSun"/>
        </w:rPr>
        <w:t xml:space="preserve">.  Thus, the standard deviation of the UE and </w:t>
      </w:r>
      <w:r w:rsidR="004E4BD7">
        <w:rPr>
          <w:rFonts w:eastAsia="SimSun"/>
        </w:rPr>
        <w:t>BS</w:t>
      </w:r>
      <w:r>
        <w:rPr>
          <w:rFonts w:eastAsia="SimSun"/>
        </w:rPr>
        <w:t xml:space="preserve"> RSRP error distribution is 6/1.96 = 3.06 dB.</w:t>
      </w:r>
      <w:r w:rsidR="004E4BD7">
        <w:rPr>
          <w:rFonts w:eastAsia="SimSun"/>
        </w:rPr>
        <w:t xml:space="preserve">  UE output power is assumed to be configurable between -13 dBm and 23 dBm</w:t>
      </w:r>
      <w:r w:rsidR="00413C60">
        <w:rPr>
          <w:rFonts w:eastAsia="SimSun"/>
        </w:rPr>
        <w:t xml:space="preserve"> and is modeled as a normal random variable with the mean corresponding to the desired output power setting and standard deviation corresponding to the power control accuracy (whether open loop or closed loop depends on the simulation step)</w:t>
      </w:r>
      <w:r w:rsidR="004E4BD7">
        <w:rPr>
          <w:rFonts w:eastAsia="SimSun"/>
        </w:rPr>
        <w:t>.</w:t>
      </w:r>
      <w:r w:rsidR="006A62AB">
        <w:rPr>
          <w:rFonts w:eastAsia="SimSun"/>
        </w:rPr>
        <w:t xml:space="preserve">  All UE output power tolerances are also assumed as expanded uncertainty values.</w:t>
      </w:r>
    </w:p>
    <w:p w14:paraId="79BDDA78" w14:textId="77777777" w:rsidR="0090310D" w:rsidRDefault="0090310D" w:rsidP="00061420">
      <w:pPr>
        <w:rPr>
          <w:rFonts w:eastAsia="SimSun"/>
        </w:rPr>
      </w:pPr>
    </w:p>
    <w:p w14:paraId="03732CD3" w14:textId="640541E1" w:rsidR="0090310D" w:rsidRDefault="0090310D" w:rsidP="00061420">
      <w:pPr>
        <w:rPr>
          <w:rFonts w:eastAsia="SimSun"/>
        </w:rPr>
      </w:pPr>
      <w:r>
        <w:rPr>
          <w:rFonts w:eastAsia="SimSun"/>
        </w:rPr>
        <w:t>The multi-step TPC algorithm is modeled in the following way:</w:t>
      </w:r>
    </w:p>
    <w:p w14:paraId="21B97D36" w14:textId="0D5954BC" w:rsidR="0090310D" w:rsidRDefault="0090310D" w:rsidP="0090310D">
      <w:pPr>
        <w:pStyle w:val="ListParagraph"/>
        <w:numPr>
          <w:ilvl w:val="0"/>
          <w:numId w:val="17"/>
        </w:numPr>
        <w:rPr>
          <w:rFonts w:eastAsia="SimSun"/>
        </w:rPr>
      </w:pPr>
      <w:r>
        <w:rPr>
          <w:rFonts w:eastAsia="SimSun"/>
        </w:rPr>
        <w:t>In the first (open loop) step the UE estimates the path loss and sets its output power according to the absolute power tolerance specification</w:t>
      </w:r>
    </w:p>
    <w:p w14:paraId="70FBD71E" w14:textId="32B7C1E5" w:rsidR="0090310D" w:rsidRDefault="0090310D" w:rsidP="0090310D">
      <w:pPr>
        <w:pStyle w:val="ListParagraph"/>
        <w:numPr>
          <w:ilvl w:val="0"/>
          <w:numId w:val="17"/>
        </w:numPr>
        <w:rPr>
          <w:rFonts w:eastAsia="SimSun"/>
        </w:rPr>
      </w:pPr>
      <w:r>
        <w:rPr>
          <w:rFonts w:eastAsia="SimSun"/>
        </w:rPr>
        <w:t xml:space="preserve">In the subsequent (closed loop) steps the </w:t>
      </w:r>
      <w:r w:rsidR="004E4BD7">
        <w:rPr>
          <w:rFonts w:eastAsia="SimSun"/>
        </w:rPr>
        <w:t>BS</w:t>
      </w:r>
      <w:r>
        <w:rPr>
          <w:rFonts w:eastAsia="SimSun"/>
        </w:rPr>
        <w:t xml:space="preserve"> calculates the TPC command and configures the UE output power according to the relative power tolerance specification</w:t>
      </w:r>
    </w:p>
    <w:p w14:paraId="42ED29C7" w14:textId="77777777" w:rsidR="0090310D" w:rsidRDefault="0090310D" w:rsidP="0090310D">
      <w:pPr>
        <w:rPr>
          <w:rFonts w:eastAsia="SimSun"/>
        </w:rPr>
      </w:pPr>
    </w:p>
    <w:p w14:paraId="625F77CD" w14:textId="6170D9A3" w:rsidR="00061420" w:rsidRDefault="00305D6E" w:rsidP="00061420">
      <w:pPr>
        <w:rPr>
          <w:rFonts w:eastAsia="SimSun"/>
        </w:rPr>
      </w:pPr>
      <w:r>
        <w:rPr>
          <w:rFonts w:eastAsia="SimSun"/>
        </w:rPr>
        <w:t>Without input from the network infrastructure vendor community, a simple BS TPC command calculation algorithm has been implemented.  The algorithm is a d</w:t>
      </w:r>
      <w:r w:rsidR="00EE17D7" w:rsidRPr="00EE17D7">
        <w:rPr>
          <w:rFonts w:eastAsia="SimSun"/>
        </w:rPr>
        <w:t xml:space="preserve">irect calculation of </w:t>
      </w:r>
      <w:r>
        <w:rPr>
          <w:rFonts w:eastAsia="SimSun"/>
        </w:rPr>
        <w:t xml:space="preserve">the </w:t>
      </w:r>
      <w:r w:rsidR="00EE17D7">
        <w:rPr>
          <w:rFonts w:eastAsia="SimSun"/>
        </w:rPr>
        <w:t>TPC command</w:t>
      </w:r>
      <w:r w:rsidR="00EE17D7" w:rsidRPr="00EE17D7">
        <w:rPr>
          <w:rFonts w:eastAsia="SimSun"/>
        </w:rPr>
        <w:t xml:space="preserve">: BS measures rx power, calculates </w:t>
      </w:r>
      <w:r>
        <w:rPr>
          <w:rFonts w:eastAsia="SimSun"/>
        </w:rPr>
        <w:t>the difference</w:t>
      </w:r>
      <w:r w:rsidR="00EE17D7" w:rsidRPr="00EE17D7">
        <w:rPr>
          <w:rFonts w:eastAsia="SimSun"/>
        </w:rPr>
        <w:t xml:space="preserve"> with p-Nominal, and sends </w:t>
      </w:r>
      <w:r>
        <w:rPr>
          <w:rFonts w:eastAsia="SimSun"/>
        </w:rPr>
        <w:t xml:space="preserve">this difference as the </w:t>
      </w:r>
      <w:r w:rsidR="00EE17D7" w:rsidRPr="00EE17D7">
        <w:rPr>
          <w:rFonts w:eastAsia="SimSun"/>
        </w:rPr>
        <w:t>TPC</w:t>
      </w:r>
      <w:r w:rsidR="00EE17D7">
        <w:rPr>
          <w:rFonts w:eastAsia="SimSun"/>
        </w:rPr>
        <w:t xml:space="preserve"> command</w:t>
      </w:r>
      <w:r>
        <w:rPr>
          <w:rFonts w:eastAsia="SimSun"/>
        </w:rPr>
        <w:t xml:space="preserve"> to the UE.</w:t>
      </w:r>
    </w:p>
    <w:p w14:paraId="3515A64A" w14:textId="7472156C" w:rsidR="00413C60" w:rsidRDefault="00413C60" w:rsidP="00413C60">
      <w:pPr>
        <w:pStyle w:val="Heading2"/>
        <w:rPr>
          <w:rFonts w:eastAsia="SimSun"/>
        </w:rPr>
      </w:pPr>
      <w:r>
        <w:rPr>
          <w:rFonts w:eastAsia="SimSun"/>
        </w:rPr>
        <w:t>Simulation parameters</w:t>
      </w:r>
    </w:p>
    <w:p w14:paraId="501652B9" w14:textId="44F9AD54" w:rsidR="00EE17D7" w:rsidRDefault="00EE17D7" w:rsidP="00061420">
      <w:pPr>
        <w:rPr>
          <w:rFonts w:eastAsia="SimSun"/>
        </w:rPr>
      </w:pPr>
      <w:r>
        <w:rPr>
          <w:rFonts w:eastAsia="SimSun"/>
        </w:rPr>
        <w:t xml:space="preserve">Convergence of TPC loops is </w:t>
      </w:r>
      <w:r w:rsidR="009629EC">
        <w:rPr>
          <w:rFonts w:eastAsia="SimSun"/>
        </w:rPr>
        <w:t>analyzed</w:t>
      </w:r>
      <w:r>
        <w:rPr>
          <w:rFonts w:eastAsia="SimSun"/>
        </w:rPr>
        <w:t xml:space="preserve"> for </w:t>
      </w:r>
      <w:r w:rsidR="00413C60">
        <w:rPr>
          <w:rFonts w:eastAsia="SimSun"/>
        </w:rPr>
        <w:t xml:space="preserve">four </w:t>
      </w:r>
      <w:r w:rsidR="000666B3">
        <w:rPr>
          <w:rFonts w:eastAsia="SimSun"/>
        </w:rPr>
        <w:t xml:space="preserve">simulation </w:t>
      </w:r>
      <w:r w:rsidR="00413C60">
        <w:rPr>
          <w:rFonts w:eastAsia="SimSun"/>
        </w:rPr>
        <w:t>cases:</w:t>
      </w:r>
    </w:p>
    <w:p w14:paraId="571E6B79" w14:textId="095277C1" w:rsidR="00EE17D7" w:rsidRDefault="00EE17D7" w:rsidP="00EE17D7">
      <w:pPr>
        <w:pStyle w:val="ListParagraph"/>
        <w:numPr>
          <w:ilvl w:val="0"/>
          <w:numId w:val="21"/>
        </w:numPr>
        <w:rPr>
          <w:rFonts w:eastAsia="SimSun"/>
        </w:rPr>
      </w:pPr>
      <w:r>
        <w:rPr>
          <w:rFonts w:eastAsia="SimSun"/>
        </w:rPr>
        <w:t>Baseline: current values in [] in 38.101-2</w:t>
      </w:r>
      <w:r w:rsidR="00413C60">
        <w:rPr>
          <w:rFonts w:eastAsia="SimSun"/>
        </w:rPr>
        <w:t xml:space="preserve"> and BS RSRP tolerance = 6 dB</w:t>
      </w:r>
    </w:p>
    <w:p w14:paraId="5087F5CD" w14:textId="3BC8E42E" w:rsidR="00EE17D7" w:rsidRPr="00EE17D7" w:rsidRDefault="00413C60" w:rsidP="00EE17D7">
      <w:pPr>
        <w:pStyle w:val="ListParagraph"/>
        <w:numPr>
          <w:ilvl w:val="0"/>
          <w:numId w:val="21"/>
        </w:numPr>
      </w:pPr>
      <w:r>
        <w:lastRenderedPageBreak/>
        <w:t xml:space="preserve">Proposed OL and CL values in </w:t>
      </w:r>
      <w:r>
        <w:fldChar w:fldCharType="begin"/>
      </w:r>
      <w:r>
        <w:instrText xml:space="preserve"> REF _Ref535916560 \r \h </w:instrText>
      </w:r>
      <w:r>
        <w:fldChar w:fldCharType="separate"/>
      </w:r>
      <w:r>
        <w:t>[7]</w:t>
      </w:r>
      <w:r>
        <w:fldChar w:fldCharType="end"/>
      </w:r>
      <w:r>
        <w:t xml:space="preserve"> for all channels </w:t>
      </w:r>
      <w:r>
        <w:rPr>
          <w:rFonts w:eastAsia="SimSun"/>
        </w:rPr>
        <w:t>and BS RSRP tolerance = 6 dB</w:t>
      </w:r>
    </w:p>
    <w:p w14:paraId="3CC79A70" w14:textId="5B535B74" w:rsidR="00413C60" w:rsidRDefault="00413C60" w:rsidP="00EE17D7">
      <w:pPr>
        <w:pStyle w:val="ListParagraph"/>
        <w:numPr>
          <w:ilvl w:val="0"/>
          <w:numId w:val="21"/>
        </w:numPr>
        <w:rPr>
          <w:rFonts w:eastAsia="SimSun"/>
        </w:rPr>
      </w:pPr>
      <w:r>
        <w:t xml:space="preserve">Proposed OL and CL values in </w:t>
      </w:r>
      <w:r>
        <w:fldChar w:fldCharType="begin"/>
      </w:r>
      <w:r>
        <w:instrText xml:space="preserve"> REF _Ref535916560 \r \h </w:instrText>
      </w:r>
      <w:r>
        <w:fldChar w:fldCharType="separate"/>
      </w:r>
      <w:r>
        <w:t>[7]</w:t>
      </w:r>
      <w:r>
        <w:fldChar w:fldCharType="end"/>
      </w:r>
      <w:r>
        <w:t xml:space="preserve"> for allocations without gaps </w:t>
      </w:r>
      <w:r>
        <w:rPr>
          <w:rFonts w:eastAsia="SimSun"/>
        </w:rPr>
        <w:t>and BS RSRP tolerance = 6 dB</w:t>
      </w:r>
    </w:p>
    <w:p w14:paraId="27E84C2E" w14:textId="557C005B" w:rsidR="004B712F" w:rsidRDefault="004B712F" w:rsidP="004B712F">
      <w:pPr>
        <w:pStyle w:val="ListParagraph"/>
        <w:numPr>
          <w:ilvl w:val="1"/>
          <w:numId w:val="21"/>
        </w:numPr>
        <w:rPr>
          <w:rFonts w:eastAsia="SimSun"/>
        </w:rPr>
      </w:pPr>
      <w:r>
        <w:rPr>
          <w:rFonts w:eastAsia="SimSun"/>
        </w:rPr>
        <w:t xml:space="preserve">The definition used in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reads: “</w:t>
      </w:r>
      <w:r w:rsidRPr="004B712F">
        <w:rPr>
          <w:rFonts w:eastAsia="SimSun"/>
        </w:rPr>
        <w:t>For PUSCH to PUSCH transitions with the allocated resource blocks fixed in frequency and no transmission gaps other than those generated by downlink subframes, guard periods</w:t>
      </w:r>
      <w:r>
        <w:rPr>
          <w:rFonts w:eastAsia="SimSun"/>
        </w:rPr>
        <w:t>”</w:t>
      </w:r>
    </w:p>
    <w:p w14:paraId="5100E0B3" w14:textId="3CA57157" w:rsidR="00413C60" w:rsidRDefault="00413C60" w:rsidP="00EE17D7">
      <w:pPr>
        <w:pStyle w:val="ListParagraph"/>
        <w:numPr>
          <w:ilvl w:val="0"/>
          <w:numId w:val="21"/>
        </w:numPr>
        <w:rPr>
          <w:rFonts w:eastAsia="SimSun"/>
        </w:rPr>
      </w:pPr>
      <w:r>
        <w:rPr>
          <w:rFonts w:eastAsia="SimSun"/>
        </w:rPr>
        <w:t>Baseline: current values in [] in 38.101-2 and BS RSRP tolerance = 5 dB</w:t>
      </w:r>
    </w:p>
    <w:p w14:paraId="56C0A4E7" w14:textId="77777777" w:rsidR="00F35F43" w:rsidRDefault="00F35F43" w:rsidP="00EE17D7">
      <w:pPr>
        <w:rPr>
          <w:rFonts w:eastAsia="SimSun"/>
        </w:rPr>
      </w:pPr>
    </w:p>
    <w:p w14:paraId="4DAAA43C" w14:textId="10FB0C56" w:rsidR="00EE17D7" w:rsidRDefault="004536B5" w:rsidP="00EE17D7">
      <w:pPr>
        <w:rPr>
          <w:rFonts w:eastAsia="SimSun"/>
        </w:rPr>
      </w:pPr>
      <w:r>
        <w:rPr>
          <w:rFonts w:eastAsia="SimSun"/>
        </w:rPr>
        <w:t xml:space="preserve">The </w:t>
      </w:r>
      <w:r w:rsidR="004B712F">
        <w:rPr>
          <w:rFonts w:eastAsia="SimSun"/>
        </w:rPr>
        <w:t xml:space="preserve">three </w:t>
      </w:r>
      <w:r>
        <w:rPr>
          <w:rFonts w:eastAsia="SimSun"/>
        </w:rPr>
        <w:t>requirement types</w:t>
      </w:r>
      <w:r w:rsidR="004B712F">
        <w:rPr>
          <w:rFonts w:eastAsia="SimSun"/>
        </w:rPr>
        <w:t xml:space="preserve"> (baseline, proposal from </w:t>
      </w:r>
      <w:r w:rsidR="004B712F">
        <w:rPr>
          <w:rFonts w:eastAsia="SimSun"/>
        </w:rPr>
        <w:fldChar w:fldCharType="begin"/>
      </w:r>
      <w:r w:rsidR="004B712F">
        <w:rPr>
          <w:rFonts w:eastAsia="SimSun"/>
        </w:rPr>
        <w:instrText xml:space="preserve"> REF _Ref535916560 \r \h </w:instrText>
      </w:r>
      <w:r w:rsidR="004B712F">
        <w:rPr>
          <w:rFonts w:eastAsia="SimSun"/>
        </w:rPr>
      </w:r>
      <w:r w:rsidR="004B712F">
        <w:rPr>
          <w:rFonts w:eastAsia="SimSun"/>
        </w:rPr>
        <w:fldChar w:fldCharType="separate"/>
      </w:r>
      <w:r w:rsidR="004B712F">
        <w:rPr>
          <w:rFonts w:eastAsia="SimSun"/>
        </w:rPr>
        <w:t>[7]</w:t>
      </w:r>
      <w:r w:rsidR="004B712F">
        <w:rPr>
          <w:rFonts w:eastAsia="SimSun"/>
        </w:rPr>
        <w:fldChar w:fldCharType="end"/>
      </w:r>
      <w:r w:rsidR="004B712F">
        <w:rPr>
          <w:rFonts w:eastAsia="SimSun"/>
        </w:rPr>
        <w:t xml:space="preserve"> for all channels, and proposal from </w:t>
      </w:r>
      <w:r w:rsidR="004B712F">
        <w:rPr>
          <w:rFonts w:eastAsia="SimSun"/>
        </w:rPr>
        <w:fldChar w:fldCharType="begin"/>
      </w:r>
      <w:r w:rsidR="004B712F">
        <w:rPr>
          <w:rFonts w:eastAsia="SimSun"/>
        </w:rPr>
        <w:instrText xml:space="preserve"> REF _Ref535916560 \r \h </w:instrText>
      </w:r>
      <w:r w:rsidR="004B712F">
        <w:rPr>
          <w:rFonts w:eastAsia="SimSun"/>
        </w:rPr>
      </w:r>
      <w:r w:rsidR="004B712F">
        <w:rPr>
          <w:rFonts w:eastAsia="SimSun"/>
        </w:rPr>
        <w:fldChar w:fldCharType="separate"/>
      </w:r>
      <w:r w:rsidR="004B712F">
        <w:rPr>
          <w:rFonts w:eastAsia="SimSun"/>
        </w:rPr>
        <w:t>[7]</w:t>
      </w:r>
      <w:r w:rsidR="004B712F">
        <w:rPr>
          <w:rFonts w:eastAsia="SimSun"/>
        </w:rPr>
        <w:fldChar w:fldCharType="end"/>
      </w:r>
      <w:r w:rsidR="004B712F">
        <w:rPr>
          <w:rFonts w:eastAsia="SimSun"/>
        </w:rPr>
        <w:t xml:space="preserve"> for allocated resource blocks fixed in frequency and without gaps) </w:t>
      </w:r>
      <w:r>
        <w:rPr>
          <w:rFonts w:eastAsia="SimSun"/>
        </w:rPr>
        <w:t>are shown in Tables 1 and 2 below.</w:t>
      </w:r>
      <w:r w:rsidR="005E3DAA">
        <w:rPr>
          <w:rFonts w:eastAsia="SimSun"/>
        </w:rPr>
        <w:t xml:space="preserve">  Yellow and orange highlighting is used to emphasize the tightening of the baseline requirements, as proposed in </w:t>
      </w:r>
      <w:r w:rsidR="005E3DAA">
        <w:rPr>
          <w:rFonts w:eastAsia="SimSun"/>
        </w:rPr>
        <w:fldChar w:fldCharType="begin"/>
      </w:r>
      <w:r w:rsidR="005E3DAA">
        <w:rPr>
          <w:rFonts w:eastAsia="SimSun"/>
        </w:rPr>
        <w:instrText xml:space="preserve"> REF _Ref535916560 \r \h </w:instrText>
      </w:r>
      <w:r w:rsidR="005E3DAA">
        <w:rPr>
          <w:rFonts w:eastAsia="SimSun"/>
        </w:rPr>
      </w:r>
      <w:r w:rsidR="005E3DAA">
        <w:rPr>
          <w:rFonts w:eastAsia="SimSun"/>
        </w:rPr>
        <w:fldChar w:fldCharType="separate"/>
      </w:r>
      <w:r w:rsidR="005E3DAA">
        <w:rPr>
          <w:rFonts w:eastAsia="SimSun"/>
        </w:rPr>
        <w:t>[7]</w:t>
      </w:r>
      <w:r w:rsidR="005E3DAA">
        <w:rPr>
          <w:rFonts w:eastAsia="SimSun"/>
        </w:rPr>
        <w:fldChar w:fldCharType="end"/>
      </w:r>
      <w:r w:rsidR="005E3DAA">
        <w:rPr>
          <w:rFonts w:eastAsia="SimSun"/>
        </w:rPr>
        <w:t>.</w:t>
      </w:r>
    </w:p>
    <w:p w14:paraId="13C094F4" w14:textId="77777777" w:rsidR="004536B5" w:rsidRDefault="004536B5" w:rsidP="00EE17D7">
      <w:pPr>
        <w:rPr>
          <w:rFonts w:eastAsia="SimSun"/>
        </w:rPr>
      </w:pPr>
    </w:p>
    <w:p w14:paraId="01D7C74B" w14:textId="6C0D3173" w:rsidR="00234779" w:rsidRDefault="00234779" w:rsidP="00C163EA">
      <w:pPr>
        <w:pStyle w:val="Caption"/>
        <w:jc w:val="center"/>
      </w:pPr>
      <w:r>
        <w:t xml:space="preserve">Table </w:t>
      </w:r>
      <w:r w:rsidR="00106195">
        <w:rPr>
          <w:noProof/>
        </w:rPr>
        <w:fldChar w:fldCharType="begin"/>
      </w:r>
      <w:r w:rsidR="00106195">
        <w:rPr>
          <w:noProof/>
        </w:rPr>
        <w:instrText xml:space="preserve"> SEQ Table \* ARABIC </w:instrText>
      </w:r>
      <w:r w:rsidR="00106195">
        <w:rPr>
          <w:noProof/>
        </w:rPr>
        <w:fldChar w:fldCharType="separate"/>
      </w:r>
      <w:r w:rsidR="00C163EA">
        <w:rPr>
          <w:noProof/>
        </w:rPr>
        <w:t>1</w:t>
      </w:r>
      <w:r w:rsidR="00106195">
        <w:rPr>
          <w:noProof/>
        </w:rPr>
        <w:fldChar w:fldCharType="end"/>
      </w:r>
      <w:r>
        <w:t xml:space="preserve">: OL </w:t>
      </w:r>
      <w:r w:rsidR="00C163EA">
        <w:t>tolerance requirement types</w:t>
      </w:r>
    </w:p>
    <w:tbl>
      <w:tblPr>
        <w:tblW w:w="0" w:type="auto"/>
        <w:jc w:val="center"/>
        <w:tblCellMar>
          <w:left w:w="0" w:type="dxa"/>
          <w:right w:w="0" w:type="dxa"/>
        </w:tblCellMar>
        <w:tblLook w:val="04A0" w:firstRow="1" w:lastRow="0" w:firstColumn="1" w:lastColumn="0" w:noHBand="0" w:noVBand="1"/>
      </w:tblPr>
      <w:tblGrid>
        <w:gridCol w:w="2565"/>
        <w:gridCol w:w="2565"/>
        <w:gridCol w:w="2700"/>
      </w:tblGrid>
      <w:tr w:rsidR="00234779" w:rsidRPr="00234779" w14:paraId="28AB9446" w14:textId="77777777" w:rsidTr="00C163EA">
        <w:trPr>
          <w:trHeight w:val="20"/>
          <w:jc w:val="center"/>
        </w:trPr>
        <w:tc>
          <w:tcPr>
            <w:tcW w:w="2565"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306CC301"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Type</w:t>
            </w:r>
          </w:p>
        </w:tc>
        <w:tc>
          <w:tcPr>
            <w:tcW w:w="5265" w:type="dxa"/>
            <w:gridSpan w:val="2"/>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5781C691"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OL Tolerance</w:t>
            </w:r>
          </w:p>
        </w:tc>
      </w:tr>
      <w:tr w:rsidR="00234779" w:rsidRPr="00234779" w14:paraId="6B445AFD"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6414F9" w14:textId="77777777" w:rsidR="00234779" w:rsidRPr="00234779" w:rsidRDefault="00234779" w:rsidP="004845F3">
            <w:pPr>
              <w:rPr>
                <w:rFonts w:ascii="Arial" w:hAnsi="Arial" w:cs="Arial"/>
                <w:sz w:val="18"/>
                <w:szCs w:val="18"/>
              </w:rPr>
            </w:pPr>
          </w:p>
        </w:tc>
        <w:tc>
          <w:tcPr>
            <w:tcW w:w="2565"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F858299"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Pmin ≤ P ≤ Pint</w:t>
            </w:r>
          </w:p>
        </w:tc>
        <w:tc>
          <w:tcPr>
            <w:tcW w:w="2700"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FF0283B"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Pint &lt; P ≤ Pmax</w:t>
            </w:r>
          </w:p>
        </w:tc>
      </w:tr>
      <w:tr w:rsidR="00234779" w:rsidRPr="00234779" w14:paraId="1A1F88FE" w14:textId="77777777" w:rsidTr="00C163EA">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86389FB" w14:textId="77777777" w:rsidR="00234779" w:rsidRPr="00234779" w:rsidRDefault="00234779" w:rsidP="004845F3">
            <w:pPr>
              <w:jc w:val="center"/>
              <w:rPr>
                <w:rFonts w:ascii="Arial" w:hAnsi="Arial" w:cs="Arial"/>
                <w:sz w:val="18"/>
                <w:szCs w:val="18"/>
              </w:rPr>
            </w:pPr>
            <w:r w:rsidRPr="00234779">
              <w:rPr>
                <w:rFonts w:ascii="Arial" w:hAnsi="Arial" w:cs="Arial"/>
                <w:color w:val="000000"/>
                <w:sz w:val="18"/>
                <w:szCs w:val="18"/>
              </w:rPr>
              <w:t>Baseline</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B13594" w14:textId="77777777" w:rsidR="00234779" w:rsidRPr="00234779" w:rsidRDefault="00234779" w:rsidP="004845F3">
            <w:pPr>
              <w:jc w:val="right"/>
              <w:rPr>
                <w:rFonts w:ascii="Arial" w:hAnsi="Arial" w:cs="Arial"/>
                <w:sz w:val="18"/>
                <w:szCs w:val="18"/>
              </w:rPr>
            </w:pPr>
            <w:r w:rsidRPr="00234779">
              <w:rPr>
                <w:rFonts w:ascii="Arial" w:hAnsi="Arial" w:cs="Arial"/>
                <w:color w:val="000000"/>
                <w:sz w:val="18"/>
                <w:szCs w:val="18"/>
              </w:rPr>
              <w:t>14.0</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2614EF9" w14:textId="77777777" w:rsidR="00234779" w:rsidRPr="00234779" w:rsidRDefault="00234779" w:rsidP="004845F3">
            <w:pPr>
              <w:jc w:val="right"/>
              <w:rPr>
                <w:rFonts w:ascii="Arial" w:hAnsi="Arial" w:cs="Arial"/>
                <w:sz w:val="18"/>
                <w:szCs w:val="18"/>
              </w:rPr>
            </w:pPr>
            <w:r w:rsidRPr="00234779">
              <w:rPr>
                <w:rFonts w:ascii="Arial" w:hAnsi="Arial" w:cs="Arial"/>
                <w:color w:val="000000"/>
                <w:sz w:val="18"/>
                <w:szCs w:val="18"/>
              </w:rPr>
              <w:t>12.0</w:t>
            </w:r>
          </w:p>
        </w:tc>
      </w:tr>
      <w:tr w:rsidR="00234779" w:rsidRPr="00234779" w14:paraId="745887C0" w14:textId="77777777" w:rsidTr="004B712F">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6D7265B" w14:textId="1EE0D82A" w:rsidR="00234779" w:rsidRPr="00234779" w:rsidRDefault="00413C60" w:rsidP="004845F3">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sidR="004B712F">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for all channels</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6E73FBC" w14:textId="51A1D691" w:rsidR="00234779" w:rsidRPr="00234779" w:rsidRDefault="00234779" w:rsidP="004845F3">
            <w:pPr>
              <w:jc w:val="right"/>
              <w:rPr>
                <w:rFonts w:ascii="Arial" w:hAnsi="Arial" w:cs="Arial"/>
                <w:sz w:val="18"/>
                <w:szCs w:val="18"/>
              </w:rPr>
            </w:pPr>
            <w:r w:rsidRPr="00234779">
              <w:rPr>
                <w:rFonts w:ascii="Arial" w:hAnsi="Arial" w:cs="Arial"/>
                <w:color w:val="000000"/>
                <w:sz w:val="18"/>
                <w:szCs w:val="18"/>
              </w:rPr>
              <w:t>1</w:t>
            </w:r>
            <w:r w:rsidR="00413C60">
              <w:rPr>
                <w:rFonts w:ascii="Arial" w:hAnsi="Arial" w:cs="Arial"/>
                <w:color w:val="000000"/>
                <w:sz w:val="18"/>
                <w:szCs w:val="18"/>
              </w:rPr>
              <w:t>4</w:t>
            </w:r>
            <w:r w:rsidRPr="00234779">
              <w:rPr>
                <w:rFonts w:ascii="Arial" w:hAnsi="Arial" w:cs="Arial"/>
                <w:color w:val="000000"/>
                <w:sz w:val="18"/>
                <w:szCs w:val="18"/>
              </w:rPr>
              <w:t>.0</w:t>
            </w:r>
          </w:p>
        </w:tc>
        <w:tc>
          <w:tcPr>
            <w:tcW w:w="2700"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3084DE7F" w14:textId="396514F8" w:rsidR="00234779" w:rsidRPr="00234779" w:rsidRDefault="00413C60" w:rsidP="004845F3">
            <w:pPr>
              <w:jc w:val="right"/>
              <w:rPr>
                <w:rFonts w:ascii="Arial" w:hAnsi="Arial" w:cs="Arial"/>
                <w:sz w:val="18"/>
                <w:szCs w:val="18"/>
              </w:rPr>
            </w:pPr>
            <w:r>
              <w:rPr>
                <w:rFonts w:ascii="Arial" w:hAnsi="Arial" w:cs="Arial"/>
                <w:color w:val="000000"/>
                <w:sz w:val="18"/>
                <w:szCs w:val="18"/>
              </w:rPr>
              <w:t>9.0</w:t>
            </w:r>
          </w:p>
        </w:tc>
      </w:tr>
      <w:tr w:rsidR="00234779" w:rsidRPr="00234779" w14:paraId="01F4CB96" w14:textId="77777777" w:rsidTr="004B712F">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35CB3E2" w14:textId="17324378" w:rsidR="00234779" w:rsidRPr="00234779" w:rsidRDefault="00413C60" w:rsidP="004845F3">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sidR="004B712F">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no gaps</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66DA492" w14:textId="21A369A8" w:rsidR="00234779" w:rsidRPr="00234779" w:rsidRDefault="00413C60" w:rsidP="004845F3">
            <w:pPr>
              <w:jc w:val="right"/>
              <w:rPr>
                <w:rFonts w:ascii="Arial" w:hAnsi="Arial" w:cs="Arial"/>
                <w:sz w:val="18"/>
                <w:szCs w:val="18"/>
              </w:rPr>
            </w:pPr>
            <w:r>
              <w:rPr>
                <w:rFonts w:ascii="Arial" w:hAnsi="Arial" w:cs="Arial"/>
                <w:color w:val="000000"/>
                <w:sz w:val="18"/>
                <w:szCs w:val="18"/>
              </w:rPr>
              <w:t>14.0</w:t>
            </w:r>
          </w:p>
        </w:tc>
        <w:tc>
          <w:tcPr>
            <w:tcW w:w="2700"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074F22C0" w14:textId="79E37F8B" w:rsidR="00234779" w:rsidRPr="00234779" w:rsidRDefault="00413C60" w:rsidP="004845F3">
            <w:pPr>
              <w:jc w:val="right"/>
              <w:rPr>
                <w:rFonts w:ascii="Arial" w:hAnsi="Arial" w:cs="Arial"/>
                <w:sz w:val="18"/>
                <w:szCs w:val="18"/>
              </w:rPr>
            </w:pPr>
            <w:r>
              <w:rPr>
                <w:rFonts w:ascii="Arial" w:hAnsi="Arial" w:cs="Arial"/>
                <w:color w:val="000000"/>
                <w:sz w:val="18"/>
                <w:szCs w:val="18"/>
              </w:rPr>
              <w:t>9.0</w:t>
            </w:r>
          </w:p>
        </w:tc>
      </w:tr>
    </w:tbl>
    <w:p w14:paraId="4B1B48AB" w14:textId="3C249D20" w:rsidR="00C163EA" w:rsidRDefault="00C163EA" w:rsidP="00EE17D7">
      <w:pPr>
        <w:rPr>
          <w:rFonts w:eastAsia="SimSun"/>
        </w:rPr>
      </w:pPr>
    </w:p>
    <w:p w14:paraId="556588AC" w14:textId="3C97168B" w:rsidR="005E3DAA" w:rsidRDefault="005E3DAA" w:rsidP="005E3DAA">
      <w:pPr>
        <w:rPr>
          <w:rFonts w:eastAsia="SimSun"/>
        </w:rPr>
      </w:pPr>
      <w:r>
        <w:rPr>
          <w:rFonts w:eastAsia="SimSun"/>
        </w:rPr>
        <w:t xml:space="preserve">The proposals in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also included the following note related to the open loop power control tolerance requirements:  “i</w:t>
      </w:r>
      <w:r w:rsidRPr="005E3DAA">
        <w:rPr>
          <w:rFonts w:eastAsia="SimSun"/>
        </w:rPr>
        <w:t>f the UE is configured with a parameter set for uplink power control such that the UE determines that the maximum power is reached, the absolute power tolerance is ± [3.0] dB.</w:t>
      </w:r>
      <w:r>
        <w:rPr>
          <w:rFonts w:eastAsia="SimSun"/>
        </w:rPr>
        <w:t xml:space="preserve">”  However, because abosolute power control tolerance includes the UE’s RSRP accuracy, it is not possible to evaluate this requirement within a simulation platform which provides a range of path loss values to the UE.  Instead, the following procedure was modeled for open loop power control when simulating the cases associated with the proposals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w:t>
      </w:r>
    </w:p>
    <w:p w14:paraId="4EDD0747" w14:textId="12AD99C8" w:rsidR="005E3DAA" w:rsidRDefault="005E3DAA" w:rsidP="005E3DAA">
      <w:pPr>
        <w:pStyle w:val="ListParagraph"/>
        <w:numPr>
          <w:ilvl w:val="0"/>
          <w:numId w:val="26"/>
        </w:numPr>
        <w:rPr>
          <w:rFonts w:eastAsia="SimSun"/>
        </w:rPr>
      </w:pPr>
      <w:r>
        <w:rPr>
          <w:rFonts w:eastAsia="SimSun"/>
        </w:rPr>
        <w:t>UE estimates the DL signal strength (with estimator error modeled as a normal random variable with expanded uncertainty = 6 dB)</w:t>
      </w:r>
    </w:p>
    <w:p w14:paraId="2D0F2F14" w14:textId="77777777" w:rsidR="005E3DAA" w:rsidRDefault="005E3DAA" w:rsidP="005E3DAA">
      <w:pPr>
        <w:pStyle w:val="ListParagraph"/>
        <w:numPr>
          <w:ilvl w:val="0"/>
          <w:numId w:val="26"/>
        </w:numPr>
        <w:rPr>
          <w:rFonts w:eastAsia="SimSun"/>
        </w:rPr>
      </w:pPr>
      <w:r>
        <w:rPr>
          <w:rFonts w:eastAsia="SimSun"/>
        </w:rPr>
        <w:t>UE calculates the UL power level according to the OL power control equation</w:t>
      </w:r>
    </w:p>
    <w:p w14:paraId="63ACA0FA" w14:textId="4F48060A" w:rsidR="005E3DAA" w:rsidRPr="005E3DAA" w:rsidRDefault="005E3DAA" w:rsidP="00EE17D7">
      <w:pPr>
        <w:pStyle w:val="ListParagraph"/>
        <w:numPr>
          <w:ilvl w:val="0"/>
          <w:numId w:val="26"/>
        </w:numPr>
        <w:rPr>
          <w:rFonts w:eastAsia="SimSun"/>
        </w:rPr>
      </w:pPr>
      <w:r>
        <w:rPr>
          <w:rFonts w:eastAsia="SimSun"/>
        </w:rPr>
        <w:t xml:space="preserve">If the calculated UL power level is within 3 dB of the maximum power level, the UE sets its output power directly to the maximum power level </w:t>
      </w:r>
    </w:p>
    <w:p w14:paraId="097DEEFE" w14:textId="77777777" w:rsidR="005E3DAA" w:rsidRDefault="005E3DAA" w:rsidP="00EE17D7">
      <w:pPr>
        <w:rPr>
          <w:rFonts w:eastAsia="SimSun"/>
        </w:rPr>
      </w:pPr>
    </w:p>
    <w:p w14:paraId="4415747E" w14:textId="625B48C0" w:rsidR="00C163EA" w:rsidRDefault="00C163EA" w:rsidP="00C163EA">
      <w:pPr>
        <w:pStyle w:val="Caption"/>
        <w:jc w:val="center"/>
      </w:pPr>
      <w:r>
        <w:t xml:space="preserve">Table </w:t>
      </w:r>
      <w:r w:rsidR="00106195">
        <w:rPr>
          <w:noProof/>
        </w:rPr>
        <w:fldChar w:fldCharType="begin"/>
      </w:r>
      <w:r w:rsidR="00106195">
        <w:rPr>
          <w:noProof/>
        </w:rPr>
        <w:instrText xml:space="preserve"> SEQ Table \* ARABIC </w:instrText>
      </w:r>
      <w:r w:rsidR="00106195">
        <w:rPr>
          <w:noProof/>
        </w:rPr>
        <w:fldChar w:fldCharType="separate"/>
      </w:r>
      <w:r>
        <w:rPr>
          <w:noProof/>
        </w:rPr>
        <w:t>2</w:t>
      </w:r>
      <w:r w:rsidR="00106195">
        <w:rPr>
          <w:noProof/>
        </w:rPr>
        <w:fldChar w:fldCharType="end"/>
      </w:r>
      <w:r>
        <w:t>: CL tolerance requirement types</w:t>
      </w:r>
    </w:p>
    <w:tbl>
      <w:tblPr>
        <w:tblW w:w="0" w:type="auto"/>
        <w:jc w:val="center"/>
        <w:tblCellMar>
          <w:left w:w="0" w:type="dxa"/>
          <w:right w:w="0" w:type="dxa"/>
        </w:tblCellMar>
        <w:tblLook w:val="04A0" w:firstRow="1" w:lastRow="0" w:firstColumn="1" w:lastColumn="0" w:noHBand="0" w:noVBand="1"/>
      </w:tblPr>
      <w:tblGrid>
        <w:gridCol w:w="2395"/>
        <w:gridCol w:w="2362"/>
        <w:gridCol w:w="2370"/>
        <w:gridCol w:w="2496"/>
      </w:tblGrid>
      <w:tr w:rsidR="00C163EA" w:rsidRPr="00C163EA" w14:paraId="37DDD32D"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25F27754"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Type</w:t>
            </w:r>
          </w:p>
        </w:tc>
        <w:tc>
          <w:tcPr>
            <w:tcW w:w="2362"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1D89BB1"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w:t>
            </w:r>
          </w:p>
        </w:tc>
        <w:tc>
          <w:tcPr>
            <w:tcW w:w="4866" w:type="dxa"/>
            <w:gridSpan w:val="2"/>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4DD9CEC2"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CL Tolerance</w:t>
            </w:r>
          </w:p>
        </w:tc>
      </w:tr>
      <w:tr w:rsidR="00C163EA" w:rsidRPr="00C163EA" w14:paraId="364B23F1"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B3200" w14:textId="77777777" w:rsidR="00C163EA" w:rsidRPr="00C163EA" w:rsidRDefault="00C163EA" w:rsidP="00C163EA">
            <w:pPr>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9FCDE" w14:textId="77777777" w:rsidR="00C163EA" w:rsidRPr="00C163EA" w:rsidRDefault="00C163EA" w:rsidP="00C163EA">
            <w:pPr>
              <w:rPr>
                <w:rFonts w:ascii="Arial" w:hAnsi="Arial" w:cs="Arial"/>
                <w:sz w:val="18"/>
                <w:szCs w:val="18"/>
              </w:rPr>
            </w:pPr>
          </w:p>
        </w:tc>
        <w:tc>
          <w:tcPr>
            <w:tcW w:w="2370"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0826CCCF"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Pmin ≤ P ≤ Pint</w:t>
            </w:r>
          </w:p>
        </w:tc>
        <w:tc>
          <w:tcPr>
            <w:tcW w:w="2496"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538BD3DA"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Pint &lt; P ≤ Pmax</w:t>
            </w:r>
          </w:p>
        </w:tc>
      </w:tr>
      <w:tr w:rsidR="00C163EA" w:rsidRPr="00C163EA" w14:paraId="6F8D6546"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BAEB4E8" w14:textId="77777777" w:rsidR="00C163EA" w:rsidRPr="00C163EA" w:rsidRDefault="00C163EA" w:rsidP="00C163EA">
            <w:pPr>
              <w:jc w:val="center"/>
              <w:rPr>
                <w:rFonts w:ascii="Arial" w:hAnsi="Arial" w:cs="Arial"/>
                <w:sz w:val="18"/>
                <w:szCs w:val="18"/>
              </w:rPr>
            </w:pPr>
            <w:r w:rsidRPr="00C163EA">
              <w:rPr>
                <w:rFonts w:ascii="Arial" w:hAnsi="Arial" w:cs="Arial"/>
                <w:color w:val="000000"/>
                <w:sz w:val="18"/>
                <w:szCs w:val="18"/>
              </w:rPr>
              <w:t>Baseline</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5F18BF" w14:textId="796BE174" w:rsidR="00C163EA" w:rsidRPr="00C163EA" w:rsidRDefault="0096225F" w:rsidP="00C163EA">
            <w:pPr>
              <w:jc w:val="right"/>
              <w:rPr>
                <w:rFonts w:ascii="Arial" w:hAnsi="Arial" w:cs="Arial"/>
                <w:sz w:val="18"/>
                <w:szCs w:val="18"/>
              </w:rPr>
            </w:pPr>
            <w:r>
              <w:rPr>
                <w:rFonts w:ascii="Arial" w:hAnsi="Arial" w:cs="Arial"/>
                <w:color w:val="000000"/>
                <w:sz w:val="18"/>
                <w:szCs w:val="18"/>
              </w:rPr>
              <w:t xml:space="preserve">≤ </w:t>
            </w:r>
            <w:r w:rsidR="00C163EA"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34549F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432E52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157E08ED"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732E69"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3C82EE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1BC8665"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7CC427"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r>
      <w:tr w:rsidR="00C163EA" w:rsidRPr="00C163EA" w14:paraId="59552742"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293023"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A285F7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9E4482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AFEE4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r>
      <w:tr w:rsidR="00C163EA" w:rsidRPr="00C163EA" w14:paraId="09456C65"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FE66B"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CC76FBC"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A16697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8D9094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r>
      <w:tr w:rsidR="00C163EA" w:rsidRPr="00C163EA" w14:paraId="16354BAC"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5C0761"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093DFE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401FF6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BAF113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r>
      <w:tr w:rsidR="00C163EA" w:rsidRPr="00C163EA" w14:paraId="0052B738"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A4B84A"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3EA83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C7AB0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FF8369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9.0</w:t>
            </w:r>
          </w:p>
        </w:tc>
      </w:tr>
      <w:tr w:rsidR="00413C60" w:rsidRPr="00C163EA" w14:paraId="5E6F1FDD" w14:textId="77777777" w:rsidTr="004B712F">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04B7E98" w14:textId="779DA8FD" w:rsidR="00413C60" w:rsidRPr="00C163EA" w:rsidRDefault="00413C60" w:rsidP="00413C60">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sidR="004B712F">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for all channels</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4436E1" w14:textId="08D63476" w:rsidR="00413C60" w:rsidRPr="00C163EA" w:rsidRDefault="0096225F" w:rsidP="00413C60">
            <w:pPr>
              <w:jc w:val="right"/>
              <w:rPr>
                <w:rFonts w:ascii="Arial" w:hAnsi="Arial" w:cs="Arial"/>
                <w:sz w:val="18"/>
                <w:szCs w:val="18"/>
              </w:rPr>
            </w:pPr>
            <w:r>
              <w:rPr>
                <w:rFonts w:ascii="Arial" w:hAnsi="Arial" w:cs="Arial"/>
                <w:color w:val="000000"/>
                <w:sz w:val="18"/>
                <w:szCs w:val="18"/>
              </w:rPr>
              <w:t xml:space="preserve">≤ </w:t>
            </w:r>
            <w:r w:rsidR="00413C60"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2FA3DA7" w14:textId="2C32615D"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451C016A" w14:textId="61A6E48D" w:rsidR="00413C60" w:rsidRPr="00C163EA" w:rsidRDefault="00AC3110" w:rsidP="00413C60">
            <w:pPr>
              <w:jc w:val="right"/>
              <w:rPr>
                <w:rFonts w:ascii="Arial" w:hAnsi="Arial" w:cs="Arial"/>
                <w:sz w:val="18"/>
                <w:szCs w:val="18"/>
              </w:rPr>
            </w:pPr>
            <w:r>
              <w:rPr>
                <w:rFonts w:ascii="Arial" w:hAnsi="Arial" w:cs="Arial"/>
                <w:color w:val="000000"/>
                <w:sz w:val="18"/>
                <w:szCs w:val="18"/>
              </w:rPr>
              <w:t>2.5</w:t>
            </w:r>
          </w:p>
        </w:tc>
      </w:tr>
      <w:tr w:rsidR="00413C60" w:rsidRPr="00C163EA" w14:paraId="4F128542" w14:textId="77777777" w:rsidTr="004B712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651C0"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1B253E" w14:textId="5C14F427"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7083FB" w14:textId="09458C1B"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5C840076" w14:textId="4E285C00" w:rsidR="00413C60" w:rsidRPr="00C163EA" w:rsidRDefault="00AC3110" w:rsidP="00413C60">
            <w:pPr>
              <w:jc w:val="right"/>
              <w:rPr>
                <w:rFonts w:ascii="Arial" w:hAnsi="Arial" w:cs="Arial"/>
                <w:sz w:val="18"/>
                <w:szCs w:val="18"/>
              </w:rPr>
            </w:pPr>
            <w:r>
              <w:rPr>
                <w:rFonts w:ascii="Arial" w:hAnsi="Arial" w:cs="Arial"/>
                <w:color w:val="000000"/>
                <w:sz w:val="18"/>
                <w:szCs w:val="18"/>
              </w:rPr>
              <w:t>3.5</w:t>
            </w:r>
          </w:p>
        </w:tc>
      </w:tr>
      <w:tr w:rsidR="00413C60" w:rsidRPr="00C163EA" w14:paraId="0B8F6AF4" w14:textId="77777777" w:rsidTr="004B712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F1F61"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1B37D04" w14:textId="1260FB1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DCFE5CE" w14:textId="0AA14E0D"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5BB00A7E" w14:textId="1D86289E" w:rsidR="00413C60" w:rsidRPr="00C163EA" w:rsidRDefault="00AC3110" w:rsidP="00413C60">
            <w:pPr>
              <w:jc w:val="right"/>
              <w:rPr>
                <w:rFonts w:ascii="Arial" w:hAnsi="Arial" w:cs="Arial"/>
                <w:sz w:val="18"/>
                <w:szCs w:val="18"/>
              </w:rPr>
            </w:pPr>
            <w:r>
              <w:rPr>
                <w:rFonts w:ascii="Arial" w:hAnsi="Arial" w:cs="Arial"/>
                <w:color w:val="000000"/>
                <w:sz w:val="18"/>
                <w:szCs w:val="18"/>
              </w:rPr>
              <w:t>4.5</w:t>
            </w:r>
          </w:p>
        </w:tc>
      </w:tr>
      <w:tr w:rsidR="00413C60" w:rsidRPr="00C163EA" w14:paraId="2EA570B3"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06CAB1"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79A96AE" w14:textId="52664CCC"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0937BC2" w14:textId="5BD8DDD2"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4FFA68F" w14:textId="2E88DBD4"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6.0</w:t>
            </w:r>
          </w:p>
        </w:tc>
      </w:tr>
      <w:tr w:rsidR="00413C60" w:rsidRPr="00C163EA" w14:paraId="42389A53"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E15813"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EFC8A99" w14:textId="0EC3E139"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5DE42E" w14:textId="2B3E9EE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2076EF6" w14:textId="003C7D8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r>
      <w:tr w:rsidR="00413C60" w:rsidRPr="00C163EA" w14:paraId="35635EA6"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853C85"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6F700A" w14:textId="5E75555D"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2A1289" w14:textId="247F37D0"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1608FB" w14:textId="1DC2D33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9.0</w:t>
            </w:r>
          </w:p>
        </w:tc>
      </w:tr>
      <w:tr w:rsidR="0096225F" w:rsidRPr="00C163EA" w14:paraId="763AE6E5" w14:textId="77777777" w:rsidTr="004B712F">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032DB80" w14:textId="61D79A7F" w:rsidR="0096225F" w:rsidRPr="00C163EA" w:rsidRDefault="0096225F" w:rsidP="0096225F">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no gaps</w:t>
            </w:r>
          </w:p>
        </w:tc>
        <w:tc>
          <w:tcPr>
            <w:tcW w:w="2362"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7A1B8521" w14:textId="6A9CC9FE" w:rsidR="0096225F" w:rsidRPr="00C163EA" w:rsidRDefault="0096225F" w:rsidP="0096225F">
            <w:pPr>
              <w:jc w:val="right"/>
              <w:rPr>
                <w:rFonts w:ascii="Arial" w:hAnsi="Arial" w:cs="Arial"/>
                <w:sz w:val="18"/>
                <w:szCs w:val="18"/>
              </w:rPr>
            </w:pPr>
            <w:r>
              <w:rPr>
                <w:rFonts w:ascii="Arial" w:hAnsi="Arial" w:cs="Arial"/>
                <w:color w:val="000000"/>
                <w:sz w:val="18"/>
                <w:szCs w:val="18"/>
              </w:rPr>
              <w:t>≤ 1</w:t>
            </w:r>
            <w:r w:rsidRPr="00C163EA">
              <w:rPr>
                <w:rFonts w:ascii="Arial" w:hAnsi="Arial" w:cs="Arial"/>
                <w:color w:val="000000"/>
                <w:sz w:val="18"/>
                <w:szCs w:val="18"/>
              </w:rPr>
              <w:t>.0</w:t>
            </w:r>
          </w:p>
        </w:tc>
        <w:tc>
          <w:tcPr>
            <w:tcW w:w="2370"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0CCF35B5" w14:textId="67AD37CC" w:rsidR="0096225F" w:rsidRPr="00C163EA" w:rsidRDefault="0096225F" w:rsidP="0096225F">
            <w:pPr>
              <w:jc w:val="right"/>
              <w:rPr>
                <w:rFonts w:ascii="Arial" w:hAnsi="Arial" w:cs="Arial"/>
                <w:sz w:val="18"/>
                <w:szCs w:val="18"/>
              </w:rPr>
            </w:pPr>
            <w:r>
              <w:rPr>
                <w:rFonts w:ascii="Arial" w:hAnsi="Arial" w:cs="Arial"/>
                <w:color w:val="000000"/>
                <w:sz w:val="18"/>
                <w:szCs w:val="18"/>
              </w:rPr>
              <w:t>-</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044C17D5" w14:textId="7DE28F3A" w:rsidR="0096225F" w:rsidRPr="00C163EA" w:rsidRDefault="0096225F" w:rsidP="0096225F">
            <w:pPr>
              <w:jc w:val="right"/>
              <w:rPr>
                <w:rFonts w:ascii="Arial" w:hAnsi="Arial" w:cs="Arial"/>
                <w:sz w:val="18"/>
                <w:szCs w:val="18"/>
              </w:rPr>
            </w:pPr>
            <w:r>
              <w:rPr>
                <w:rFonts w:ascii="Arial" w:hAnsi="Arial" w:cs="Arial"/>
                <w:color w:val="000000"/>
                <w:sz w:val="18"/>
                <w:szCs w:val="18"/>
              </w:rPr>
              <w:t>1.0</w:t>
            </w:r>
          </w:p>
        </w:tc>
      </w:tr>
      <w:tr w:rsidR="0096225F" w:rsidRPr="00C163EA" w14:paraId="5186E97E" w14:textId="77777777" w:rsidTr="0096225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280F0CBF" w14:textId="77777777" w:rsidR="0096225F" w:rsidRPr="00C163EA" w:rsidRDefault="0096225F" w:rsidP="0096225F">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68B90D" w14:textId="5FF6C0D5" w:rsidR="0096225F" w:rsidRPr="00C163EA" w:rsidRDefault="0096225F" w:rsidP="0096225F">
            <w:pPr>
              <w:jc w:val="right"/>
              <w:rPr>
                <w:rFonts w:ascii="Arial" w:hAnsi="Arial" w:cs="Arial"/>
                <w:color w:val="000000"/>
                <w:sz w:val="18"/>
                <w:szCs w:val="18"/>
              </w:rPr>
            </w:pPr>
            <w:r>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090145F" w14:textId="48128F3E" w:rsidR="0096225F" w:rsidRPr="00C163EA" w:rsidRDefault="0096225F" w:rsidP="0096225F">
            <w:pPr>
              <w:jc w:val="right"/>
              <w:rPr>
                <w:rFonts w:ascii="Arial" w:hAnsi="Arial" w:cs="Arial"/>
                <w:color w:val="000000"/>
                <w:sz w:val="18"/>
                <w:szCs w:val="18"/>
              </w:rPr>
            </w:pPr>
            <w:r>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tcPr>
          <w:p w14:paraId="526A4286" w14:textId="7B1695D1" w:rsidR="0096225F" w:rsidRPr="00C163EA" w:rsidRDefault="0096225F" w:rsidP="0096225F">
            <w:pPr>
              <w:jc w:val="right"/>
              <w:rPr>
                <w:rFonts w:ascii="Arial" w:hAnsi="Arial" w:cs="Arial"/>
                <w:sz w:val="18"/>
                <w:szCs w:val="18"/>
              </w:rPr>
            </w:pPr>
            <w:r>
              <w:rPr>
                <w:rFonts w:ascii="Arial" w:hAnsi="Arial" w:cs="Arial"/>
                <w:sz w:val="18"/>
                <w:szCs w:val="18"/>
              </w:rPr>
              <w:t>2.0</w:t>
            </w:r>
          </w:p>
        </w:tc>
      </w:tr>
      <w:tr w:rsidR="0096225F" w:rsidRPr="00C163EA" w14:paraId="058849A1" w14:textId="77777777" w:rsidTr="0096225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B8D8F3" w14:textId="77777777" w:rsidR="0096225F" w:rsidRPr="00C163EA" w:rsidRDefault="0096225F" w:rsidP="0096225F">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67C28F" w14:textId="1DBB51A0"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9FD173" w14:textId="363736DA"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tcPr>
          <w:p w14:paraId="7332F906" w14:textId="23E48AA8" w:rsidR="0096225F" w:rsidRPr="00C163EA" w:rsidRDefault="0096225F" w:rsidP="0096225F">
            <w:pPr>
              <w:jc w:val="right"/>
              <w:rPr>
                <w:rFonts w:ascii="Arial" w:hAnsi="Arial" w:cs="Arial"/>
                <w:sz w:val="18"/>
                <w:szCs w:val="18"/>
              </w:rPr>
            </w:pPr>
            <w:r>
              <w:rPr>
                <w:rFonts w:ascii="Arial" w:hAnsi="Arial" w:cs="Arial"/>
                <w:sz w:val="18"/>
                <w:szCs w:val="18"/>
              </w:rPr>
              <w:t>2.0</w:t>
            </w:r>
          </w:p>
        </w:tc>
      </w:tr>
      <w:tr w:rsidR="0096225F" w:rsidRPr="00C163EA" w14:paraId="24E644A5" w14:textId="77777777" w:rsidTr="00B16450">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D4F13" w14:textId="77777777" w:rsidR="0096225F" w:rsidRPr="00C163EA" w:rsidRDefault="0096225F" w:rsidP="0096225F">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14:paraId="5A4F5E79" w14:textId="56541291"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14:paraId="31E8283E" w14:textId="6227E646"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325C95A9" w14:textId="531B8559" w:rsidR="0096225F" w:rsidRPr="00C163EA" w:rsidRDefault="0096225F" w:rsidP="0096225F">
            <w:pPr>
              <w:jc w:val="right"/>
              <w:rPr>
                <w:rFonts w:ascii="Arial" w:hAnsi="Arial" w:cs="Arial"/>
                <w:sz w:val="18"/>
                <w:szCs w:val="18"/>
              </w:rPr>
            </w:pPr>
            <w:r>
              <w:rPr>
                <w:rFonts w:ascii="Arial" w:hAnsi="Arial" w:cs="Arial"/>
                <w:color w:val="000000"/>
                <w:sz w:val="18"/>
                <w:szCs w:val="18"/>
              </w:rPr>
              <w:t>2</w:t>
            </w:r>
            <w:r w:rsidRPr="00C163EA">
              <w:rPr>
                <w:rFonts w:ascii="Arial" w:hAnsi="Arial" w:cs="Arial"/>
                <w:color w:val="000000"/>
                <w:sz w:val="18"/>
                <w:szCs w:val="18"/>
              </w:rPr>
              <w:t>.0</w:t>
            </w:r>
          </w:p>
        </w:tc>
      </w:tr>
      <w:tr w:rsidR="00413C60" w:rsidRPr="00C163EA" w14:paraId="5DACFE87"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E43606"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F953FB" w14:textId="2AC46B3B"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1788D2" w14:textId="133F8417"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EE8A274" w14:textId="56F122FA"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6.0</w:t>
            </w:r>
          </w:p>
        </w:tc>
      </w:tr>
      <w:tr w:rsidR="00413C60" w:rsidRPr="00C163EA" w14:paraId="594FD4A9"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AD5855"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522A62C" w14:textId="1B142E92"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4DB209" w14:textId="14B86D25"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B3EB1E" w14:textId="6611A6A1"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r>
      <w:tr w:rsidR="00413C60" w:rsidRPr="00C163EA" w14:paraId="20BEBCDE"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9E2D69"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410310" w14:textId="7AD6DE22"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21F6890" w14:textId="58353004"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FB176F" w14:textId="47840049"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9.0</w:t>
            </w:r>
          </w:p>
        </w:tc>
      </w:tr>
    </w:tbl>
    <w:p w14:paraId="78AC74FC" w14:textId="0A150BBF" w:rsidR="00C163EA" w:rsidRDefault="00C163EA" w:rsidP="00EE17D7">
      <w:pPr>
        <w:rPr>
          <w:rFonts w:eastAsia="SimSun"/>
        </w:rPr>
      </w:pPr>
    </w:p>
    <w:p w14:paraId="302C9659" w14:textId="77777777" w:rsidR="005E3DAA" w:rsidRDefault="005E3DAA" w:rsidP="00EE17D7">
      <w:pPr>
        <w:rPr>
          <w:rFonts w:eastAsia="SimSun"/>
        </w:rPr>
      </w:pPr>
    </w:p>
    <w:p w14:paraId="2EF033E9" w14:textId="1B047415" w:rsidR="00A16A4C" w:rsidRDefault="00A16A4C" w:rsidP="00A16A4C">
      <w:pPr>
        <w:pStyle w:val="Heading2"/>
        <w:rPr>
          <w:rFonts w:eastAsia="SimSun"/>
        </w:rPr>
      </w:pPr>
      <w:r>
        <w:rPr>
          <w:rFonts w:eastAsia="SimSun"/>
        </w:rPr>
        <w:t>Simulation Results</w:t>
      </w:r>
    </w:p>
    <w:p w14:paraId="4F3E5502" w14:textId="699EAEE2" w:rsidR="004E4BD7" w:rsidRDefault="004E4BD7" w:rsidP="00EE17D7">
      <w:pPr>
        <w:rPr>
          <w:rFonts w:eastAsia="SimSun"/>
        </w:rPr>
      </w:pPr>
      <w:r>
        <w:rPr>
          <w:rFonts w:eastAsia="SimSun"/>
        </w:rPr>
        <w:t>A</w:t>
      </w:r>
      <w:r w:rsidR="000666B3">
        <w:rPr>
          <w:rFonts w:eastAsia="SimSun"/>
        </w:rPr>
        <w:t>n example of the</w:t>
      </w:r>
      <w:r>
        <w:rPr>
          <w:rFonts w:eastAsia="SimSun"/>
        </w:rPr>
        <w:t xml:space="preserve"> comparison of the </w:t>
      </w:r>
      <w:r w:rsidR="000666B3">
        <w:rPr>
          <w:rFonts w:eastAsia="SimSun"/>
        </w:rPr>
        <w:t xml:space="preserve">TPC </w:t>
      </w:r>
      <w:r>
        <w:rPr>
          <w:rFonts w:eastAsia="SimSun"/>
        </w:rPr>
        <w:t xml:space="preserve">convergence of the </w:t>
      </w:r>
      <w:r w:rsidR="000666B3">
        <w:rPr>
          <w:rFonts w:eastAsia="SimSun"/>
        </w:rPr>
        <w:t>four simulation cases for path loss Scenario 2</w:t>
      </w:r>
      <w:r>
        <w:rPr>
          <w:rFonts w:eastAsia="SimSun"/>
        </w:rPr>
        <w:t xml:space="preserve"> is shown in </w:t>
      </w:r>
      <w:r>
        <w:rPr>
          <w:rFonts w:eastAsia="SimSun"/>
        </w:rPr>
        <w:fldChar w:fldCharType="begin"/>
      </w:r>
      <w:r>
        <w:rPr>
          <w:rFonts w:eastAsia="SimSun"/>
        </w:rPr>
        <w:instrText xml:space="preserve"> REF _Ref525861575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r w:rsidR="000666B3">
        <w:rPr>
          <w:rFonts w:eastAsia="SimSun"/>
        </w:rPr>
        <w:t xml:space="preserve"> (please see the Annex for the complete set of figures)</w:t>
      </w:r>
      <w:r>
        <w:rPr>
          <w:rFonts w:eastAsia="SimSun"/>
        </w:rPr>
        <w:t>.</w:t>
      </w:r>
    </w:p>
    <w:p w14:paraId="3A262D91" w14:textId="602DC6D1" w:rsidR="004E4BD7" w:rsidRDefault="00305D6E" w:rsidP="004E4BD7">
      <w:pPr>
        <w:keepNext/>
        <w:jc w:val="center"/>
      </w:pPr>
      <w:r w:rsidRPr="00305D6E">
        <w:rPr>
          <w:noProof/>
        </w:rPr>
        <w:drawing>
          <wp:inline distT="0" distB="0" distL="0" distR="0" wp14:anchorId="57311F75" wp14:editId="369233A5">
            <wp:extent cx="4572000" cy="34288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3428881"/>
                    </a:xfrm>
                    <a:prstGeom prst="rect">
                      <a:avLst/>
                    </a:prstGeom>
                  </pic:spPr>
                </pic:pic>
              </a:graphicData>
            </a:graphic>
          </wp:inline>
        </w:drawing>
      </w:r>
    </w:p>
    <w:p w14:paraId="704BD086" w14:textId="6DEF07D5" w:rsidR="004E4BD7" w:rsidRDefault="004E4BD7" w:rsidP="004E4BD7">
      <w:pPr>
        <w:pStyle w:val="Caption"/>
        <w:jc w:val="center"/>
        <w:rPr>
          <w:rFonts w:eastAsia="SimSun"/>
        </w:rPr>
      </w:pPr>
      <w:bookmarkStart w:id="2" w:name="_Ref52586157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05D6E">
        <w:rPr>
          <w:noProof/>
        </w:rPr>
        <w:t>2</w:t>
      </w:r>
      <w:r w:rsidR="00106195">
        <w:rPr>
          <w:noProof/>
        </w:rPr>
        <w:fldChar w:fldCharType="end"/>
      </w:r>
      <w:bookmarkEnd w:id="2"/>
      <w:r>
        <w:t>: Comparison of TPC algorithms</w:t>
      </w:r>
    </w:p>
    <w:p w14:paraId="6072B615" w14:textId="299F31CA" w:rsidR="00EE17D7" w:rsidRDefault="00EE17D7" w:rsidP="00EE17D7">
      <w:pPr>
        <w:rPr>
          <w:rFonts w:eastAsia="SimSun"/>
        </w:rPr>
      </w:pPr>
    </w:p>
    <w:p w14:paraId="5B45DD89" w14:textId="3A444AD4" w:rsidR="00A16A4C" w:rsidRDefault="00A16A4C" w:rsidP="00EE17D7">
      <w:pPr>
        <w:rPr>
          <w:rFonts w:eastAsia="SimSun"/>
        </w:rPr>
      </w:pPr>
      <w:r>
        <w:rPr>
          <w:rFonts w:eastAsia="SimSun"/>
        </w:rPr>
        <w:t xml:space="preserve">We define two metrics to quantify the performance of these algorithms:  the converged TPC error, which is achieved after sufficient number of TPC steps, and the practical TPC error, which is achieved within fewer steps and is within a </w:t>
      </w:r>
      <w:r w:rsidR="00246C4A">
        <w:rPr>
          <w:rFonts w:eastAsia="SimSun"/>
        </w:rPr>
        <w:t>fixed threshold of the converged error (a value of 0.5 dB was used in these simulations).</w:t>
      </w:r>
    </w:p>
    <w:p w14:paraId="0CBF0810" w14:textId="77777777" w:rsidR="00A16A4C" w:rsidRDefault="00A16A4C" w:rsidP="00EE17D7">
      <w:pPr>
        <w:rPr>
          <w:rFonts w:eastAsia="SimSun"/>
        </w:rPr>
      </w:pPr>
    </w:p>
    <w:p w14:paraId="356842DF" w14:textId="6FC2C814" w:rsidR="00B3014B" w:rsidRDefault="00305D6E" w:rsidP="00B3014B">
      <w:pPr>
        <w:rPr>
          <w:rFonts w:eastAsia="SimSun"/>
        </w:rPr>
      </w:pPr>
      <w:r>
        <w:rPr>
          <w:rFonts w:eastAsia="SimSun"/>
        </w:rPr>
        <w:t xml:space="preserve">To summarize the results across the three scenarios, the average improvement of performance over the baseline TPC error (calculated over all power levels) can be plotted for each simulation case, as shown in </w:t>
      </w:r>
      <w:r>
        <w:rPr>
          <w:rFonts w:eastAsia="SimSun"/>
        </w:rPr>
        <w:fldChar w:fldCharType="begin"/>
      </w:r>
      <w:r>
        <w:rPr>
          <w:rFonts w:eastAsia="SimSun"/>
        </w:rPr>
        <w:instrText xml:space="preserve"> REF _Ref535930401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r w:rsidR="000549BF">
        <w:rPr>
          <w:rFonts w:eastAsia="SimSun"/>
        </w:rPr>
        <w:t xml:space="preserve">  NOTE: TPC error is plotted as expanded error and corresponds to 1.96 * standard deviation of the TPC error distribution.</w:t>
      </w:r>
    </w:p>
    <w:p w14:paraId="4B8F382D" w14:textId="506B0098" w:rsidR="00305D6E" w:rsidRDefault="00305D6E" w:rsidP="00B3014B">
      <w:pPr>
        <w:rPr>
          <w:rFonts w:eastAsia="SimSun"/>
        </w:rPr>
      </w:pPr>
    </w:p>
    <w:p w14:paraId="3402B6CA" w14:textId="7254B846" w:rsidR="00305D6E" w:rsidRDefault="00305D6E" w:rsidP="00305D6E">
      <w:pPr>
        <w:jc w:val="center"/>
        <w:rPr>
          <w:rFonts w:eastAsia="SimSun"/>
        </w:rPr>
      </w:pPr>
      <w:r>
        <w:rPr>
          <w:rFonts w:eastAsia="SimSun"/>
        </w:rPr>
        <w:lastRenderedPageBreak/>
        <w:t>a)</w:t>
      </w:r>
      <w:r w:rsidRPr="00305D6E">
        <w:rPr>
          <w:rFonts w:eastAsia="SimSun"/>
          <w:noProof/>
        </w:rPr>
        <w:drawing>
          <wp:inline distT="0" distB="0" distL="0" distR="0" wp14:anchorId="1D151799" wp14:editId="339CB942">
            <wp:extent cx="4572000" cy="2653838"/>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000" cy="2653838"/>
                    </a:xfrm>
                    <a:prstGeom prst="rect">
                      <a:avLst/>
                    </a:prstGeom>
                  </pic:spPr>
                </pic:pic>
              </a:graphicData>
            </a:graphic>
          </wp:inline>
        </w:drawing>
      </w:r>
    </w:p>
    <w:p w14:paraId="0435B17D" w14:textId="7112A0B2" w:rsidR="00305D6E" w:rsidRDefault="00305D6E" w:rsidP="00305D6E">
      <w:pPr>
        <w:keepNext/>
        <w:jc w:val="center"/>
      </w:pPr>
      <w:r>
        <w:t>b)</w:t>
      </w:r>
      <w:r w:rsidR="00877D7F" w:rsidRPr="00877D7F">
        <w:rPr>
          <w:noProof/>
        </w:rPr>
        <w:t xml:space="preserve"> </w:t>
      </w:r>
      <w:r w:rsidR="00877D7F" w:rsidRPr="00877D7F">
        <w:rPr>
          <w:noProof/>
        </w:rPr>
        <w:drawing>
          <wp:inline distT="0" distB="0" distL="0" distR="0" wp14:anchorId="782B2C03" wp14:editId="7E8DE505">
            <wp:extent cx="4572000" cy="2385391"/>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000" cy="2385391"/>
                    </a:xfrm>
                    <a:prstGeom prst="rect">
                      <a:avLst/>
                    </a:prstGeom>
                  </pic:spPr>
                </pic:pic>
              </a:graphicData>
            </a:graphic>
          </wp:inline>
        </w:drawing>
      </w:r>
    </w:p>
    <w:p w14:paraId="1380F4B7" w14:textId="4928E9BB" w:rsidR="00305D6E" w:rsidRDefault="00305D6E" w:rsidP="00305D6E">
      <w:pPr>
        <w:pStyle w:val="Caption"/>
        <w:jc w:val="center"/>
        <w:rPr>
          <w:rFonts w:eastAsia="SimSun"/>
        </w:rPr>
      </w:pPr>
      <w:bookmarkStart w:id="3" w:name="_Ref535930401"/>
      <w:r>
        <w:t xml:space="preserve">Figure </w:t>
      </w:r>
      <w:r w:rsidR="00976875">
        <w:rPr>
          <w:noProof/>
        </w:rPr>
        <w:fldChar w:fldCharType="begin"/>
      </w:r>
      <w:r w:rsidR="00976875">
        <w:rPr>
          <w:noProof/>
        </w:rPr>
        <w:instrText xml:space="preserve"> SEQ Figure \* ARABIC </w:instrText>
      </w:r>
      <w:r w:rsidR="00976875">
        <w:rPr>
          <w:noProof/>
        </w:rPr>
        <w:fldChar w:fldCharType="separate"/>
      </w:r>
      <w:r>
        <w:rPr>
          <w:noProof/>
        </w:rPr>
        <w:t>3</w:t>
      </w:r>
      <w:r w:rsidR="00976875">
        <w:rPr>
          <w:noProof/>
        </w:rPr>
        <w:fldChar w:fldCharType="end"/>
      </w:r>
      <w:bookmarkEnd w:id="3"/>
      <w:r>
        <w:t>: Normalized TPC error reduction per simulation case; a) over all power levels; b) over p &gt; p_int</w:t>
      </w:r>
    </w:p>
    <w:p w14:paraId="324B0D97" w14:textId="04551DE5" w:rsidR="007073C4" w:rsidRDefault="007073C4" w:rsidP="00B3014B">
      <w:pPr>
        <w:rPr>
          <w:rFonts w:eastAsia="SimSun"/>
        </w:rPr>
      </w:pPr>
    </w:p>
    <w:p w14:paraId="50688AF8" w14:textId="370A5FA3" w:rsidR="007073C4" w:rsidRDefault="00511233" w:rsidP="00B3014B">
      <w:pPr>
        <w:rPr>
          <w:rFonts w:eastAsia="SimSun"/>
        </w:rPr>
      </w:pPr>
      <w:r w:rsidRPr="001D0421">
        <w:rPr>
          <w:rFonts w:eastAsia="SimSun"/>
          <w:b/>
        </w:rPr>
        <w:t>Observation 1</w:t>
      </w:r>
      <w:r>
        <w:rPr>
          <w:rFonts w:eastAsia="SimSun"/>
        </w:rPr>
        <w:t>: When considering TPC error over all power levels</w:t>
      </w:r>
      <w:r w:rsidR="00097DB3">
        <w:rPr>
          <w:rFonts w:eastAsia="SimSun"/>
        </w:rPr>
        <w:t xml:space="preserve"> and practical TPC convergence</w:t>
      </w:r>
      <w:r>
        <w:rPr>
          <w:rFonts w:eastAsia="SimSun"/>
        </w:rPr>
        <w:t xml:space="preserve">, both requirement proposals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 in less than 0.5 dB improvement over the baseline</w:t>
      </w:r>
      <w:r w:rsidR="00DF1C4D">
        <w:rPr>
          <w:rFonts w:eastAsia="SimSun"/>
        </w:rPr>
        <w:t xml:space="preserve"> and demonstrate worse </w:t>
      </w:r>
      <w:r w:rsidR="005005E4">
        <w:rPr>
          <w:rFonts w:eastAsia="SimSun"/>
        </w:rPr>
        <w:t>performance than retaining the baseline requirements and tightening the BS RSRP estimator error by 1 dB</w:t>
      </w:r>
      <w:r w:rsidR="000549BF">
        <w:rPr>
          <w:rFonts w:eastAsia="SimSun"/>
        </w:rPr>
        <w:t>.</w:t>
      </w:r>
    </w:p>
    <w:p w14:paraId="51CA4F36" w14:textId="594D9FA9" w:rsidR="000549BF" w:rsidRDefault="000549BF" w:rsidP="00B3014B">
      <w:pPr>
        <w:rPr>
          <w:rFonts w:eastAsia="SimSun"/>
        </w:rPr>
      </w:pPr>
    </w:p>
    <w:p w14:paraId="0D191855" w14:textId="033FD13B" w:rsidR="000549BF" w:rsidRDefault="000549BF" w:rsidP="00B3014B">
      <w:pPr>
        <w:rPr>
          <w:rFonts w:eastAsia="SimSun"/>
        </w:rPr>
      </w:pPr>
      <w:r w:rsidRPr="001D0421">
        <w:rPr>
          <w:rFonts w:eastAsia="SimSun"/>
          <w:b/>
        </w:rPr>
        <w:t xml:space="preserve">Observation </w:t>
      </w:r>
      <w:r w:rsidR="005005E4" w:rsidRPr="001D0421">
        <w:rPr>
          <w:rFonts w:eastAsia="SimSun"/>
          <w:b/>
        </w:rPr>
        <w:t>2</w:t>
      </w:r>
      <w:r>
        <w:rPr>
          <w:rFonts w:eastAsia="SimSun"/>
        </w:rPr>
        <w:t>: When considering TPC error over power levels greater than P</w:t>
      </w:r>
      <w:r w:rsidRPr="000549BF">
        <w:rPr>
          <w:rFonts w:eastAsia="SimSun"/>
          <w:vertAlign w:val="subscript"/>
        </w:rPr>
        <w:t>int</w:t>
      </w:r>
      <w:r w:rsidR="00097DB3">
        <w:rPr>
          <w:rFonts w:eastAsia="SimSun"/>
        </w:rPr>
        <w:t xml:space="preserve"> and practical TPC convergence,</w:t>
      </w:r>
      <w:r>
        <w:rPr>
          <w:rFonts w:eastAsia="SimSun"/>
        </w:rPr>
        <w:t xml:space="preserve"> </w:t>
      </w:r>
      <w:r w:rsidR="00DF1C4D">
        <w:rPr>
          <w:rFonts w:eastAsia="SimSun"/>
        </w:rPr>
        <w:t xml:space="preserve">the requirement proposal for all channels from </w:t>
      </w:r>
      <w:r w:rsidR="00DF1C4D">
        <w:rPr>
          <w:rFonts w:eastAsia="SimSun"/>
        </w:rPr>
        <w:fldChar w:fldCharType="begin"/>
      </w:r>
      <w:r w:rsidR="00DF1C4D">
        <w:rPr>
          <w:rFonts w:eastAsia="SimSun"/>
        </w:rPr>
        <w:instrText xml:space="preserve"> REF _Ref535916560 \r \h </w:instrText>
      </w:r>
      <w:r w:rsidR="00DF1C4D">
        <w:rPr>
          <w:rFonts w:eastAsia="SimSun"/>
        </w:rPr>
      </w:r>
      <w:r w:rsidR="00DF1C4D">
        <w:rPr>
          <w:rFonts w:eastAsia="SimSun"/>
        </w:rPr>
        <w:fldChar w:fldCharType="separate"/>
      </w:r>
      <w:r w:rsidR="00DF1C4D">
        <w:rPr>
          <w:rFonts w:eastAsia="SimSun"/>
        </w:rPr>
        <w:t>[7]</w:t>
      </w:r>
      <w:r w:rsidR="00DF1C4D">
        <w:rPr>
          <w:rFonts w:eastAsia="SimSun"/>
        </w:rPr>
        <w:fldChar w:fldCharType="end"/>
      </w:r>
      <w:r w:rsidR="00DF1C4D">
        <w:rPr>
          <w:rFonts w:eastAsia="SimSun"/>
        </w:rPr>
        <w:t xml:space="preserve"> results in less than 0.25 dB improvement over the baseline </w:t>
      </w:r>
      <w:r w:rsidR="005005E4">
        <w:rPr>
          <w:rFonts w:eastAsia="SimSun"/>
        </w:rPr>
        <w:t>and demonstrates worse performance than retaining the baseline requirements and tightening the BS RSRP estimator error by 1 dB.</w:t>
      </w:r>
    </w:p>
    <w:p w14:paraId="693C2667" w14:textId="77777777" w:rsidR="009F045F" w:rsidRDefault="009F045F" w:rsidP="00B3014B">
      <w:pPr>
        <w:rPr>
          <w:rFonts w:eastAsia="SimSun"/>
        </w:rPr>
      </w:pPr>
    </w:p>
    <w:p w14:paraId="1AE2826A" w14:textId="31F257F1" w:rsidR="00DF1C4D" w:rsidRDefault="00DF1C4D" w:rsidP="00B3014B">
      <w:pPr>
        <w:rPr>
          <w:rFonts w:eastAsia="SimSun"/>
        </w:rPr>
      </w:pPr>
      <w:r w:rsidRPr="001D0421">
        <w:rPr>
          <w:rFonts w:eastAsia="SimSun"/>
          <w:b/>
        </w:rPr>
        <w:t xml:space="preserve">Observation </w:t>
      </w:r>
      <w:r w:rsidR="009F045F" w:rsidRPr="001D0421">
        <w:rPr>
          <w:rFonts w:eastAsia="SimSun"/>
          <w:b/>
        </w:rPr>
        <w:t>3</w:t>
      </w:r>
      <w:r>
        <w:rPr>
          <w:rFonts w:eastAsia="SimSun"/>
        </w:rPr>
        <w:t>: When considering TPC error over power levels greater than P</w:t>
      </w:r>
      <w:r w:rsidRPr="000549BF">
        <w:rPr>
          <w:rFonts w:eastAsia="SimSun"/>
          <w:vertAlign w:val="subscript"/>
        </w:rPr>
        <w:t>int</w:t>
      </w:r>
      <w:r>
        <w:rPr>
          <w:rFonts w:eastAsia="SimSun"/>
        </w:rPr>
        <w:t xml:space="preserve"> </w:t>
      </w:r>
      <w:r w:rsidR="00097DB3">
        <w:rPr>
          <w:rFonts w:eastAsia="SimSun"/>
        </w:rPr>
        <w:t xml:space="preserve">and practical TPC convergence, </w:t>
      </w:r>
      <w:r>
        <w:rPr>
          <w:rFonts w:eastAsia="SimSun"/>
        </w:rPr>
        <w:t xml:space="preserve">the requirement proposal for allocations without gaps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results in slightly greater than 0.5 dB improvement over the baseline</w:t>
      </w:r>
      <w:r w:rsidR="00097DB3">
        <w:rPr>
          <w:rFonts w:eastAsia="SimSun"/>
        </w:rPr>
        <w:t xml:space="preserve"> requirements and essentially the same performance as tightening the BS RSRP estimator error by 1 dB</w:t>
      </w:r>
      <w:r>
        <w:rPr>
          <w:rFonts w:eastAsia="SimSun"/>
        </w:rPr>
        <w:t>.</w:t>
      </w:r>
    </w:p>
    <w:p w14:paraId="2C8F0262" w14:textId="2BDA9B67" w:rsidR="00DF1C4D" w:rsidRDefault="00DF1C4D" w:rsidP="00B3014B">
      <w:pPr>
        <w:rPr>
          <w:rFonts w:eastAsia="SimSun"/>
        </w:rPr>
      </w:pPr>
    </w:p>
    <w:p w14:paraId="7C889B1A" w14:textId="08FA3204" w:rsidR="009932FB" w:rsidRDefault="009932FB" w:rsidP="00B3014B">
      <w:pPr>
        <w:rPr>
          <w:rFonts w:eastAsia="SimSun"/>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14:paraId="7DB6511F" w14:textId="77777777" w:rsidR="009932FB" w:rsidRDefault="009932FB" w:rsidP="00B3014B">
      <w:pPr>
        <w:rPr>
          <w:rFonts w:eastAsia="SimSun"/>
        </w:rPr>
      </w:pPr>
    </w:p>
    <w:p w14:paraId="196AD566" w14:textId="75DD786C" w:rsidR="00DF1C4D" w:rsidRPr="007073C4" w:rsidRDefault="009932FB" w:rsidP="00B3014B">
      <w:pPr>
        <w:rPr>
          <w:rFonts w:eastAsia="SimSun"/>
        </w:rPr>
      </w:pPr>
      <w:r w:rsidRPr="009932FB">
        <w:rPr>
          <w:rFonts w:eastAsia="SimSun"/>
          <w:b/>
        </w:rPr>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r w:rsidR="00097DB3">
        <w:rPr>
          <w:rFonts w:eastAsia="SimSun"/>
        </w:rPr>
        <w:t xml:space="preserve"> </w:t>
      </w:r>
    </w:p>
    <w:p w14:paraId="022DEB65" w14:textId="6CA0B7C7" w:rsidR="00D14C26" w:rsidRPr="00871EA3" w:rsidRDefault="0036017F" w:rsidP="00F93EB0">
      <w:pPr>
        <w:pStyle w:val="Heading1"/>
        <w:rPr>
          <w:lang w:val="en-US"/>
        </w:rPr>
      </w:pPr>
      <w:r>
        <w:rPr>
          <w:lang w:val="en-US"/>
        </w:rPr>
        <w:t>Conclusions</w:t>
      </w:r>
    </w:p>
    <w:p w14:paraId="38AD26A9" w14:textId="4A70AB9A"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A61863" w:rsidRPr="00871EA3">
        <w:t>can be made:</w:t>
      </w:r>
    </w:p>
    <w:p w14:paraId="3E31C800" w14:textId="77777777" w:rsidR="00A61863" w:rsidRDefault="00A61863" w:rsidP="00B9532A"/>
    <w:p w14:paraId="369E50AD" w14:textId="77777777" w:rsidR="009932FB" w:rsidRDefault="009932FB" w:rsidP="009932FB">
      <w:pPr>
        <w:rPr>
          <w:rFonts w:eastAsia="SimSun"/>
        </w:rPr>
      </w:pPr>
      <w:r w:rsidRPr="001D0421">
        <w:rPr>
          <w:rFonts w:eastAsia="SimSun"/>
          <w:b/>
        </w:rPr>
        <w:t>Observation 1</w:t>
      </w:r>
      <w:r>
        <w:rPr>
          <w:rFonts w:eastAsia="SimSun"/>
        </w:rPr>
        <w:t xml:space="preserve">: When considering TPC error over all power levels and practical TPC convergence, both requirement proposals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 in less than 0.5 dB improvement over the baseline and demonstrate worse performance than retaining the baseline requirements and tightening the BS RSRP estimator error by 1 dB.</w:t>
      </w:r>
    </w:p>
    <w:p w14:paraId="7289CAD8" w14:textId="77777777" w:rsidR="009932FB" w:rsidRDefault="009932FB" w:rsidP="009932FB">
      <w:pPr>
        <w:rPr>
          <w:rFonts w:eastAsia="SimSun"/>
        </w:rPr>
      </w:pPr>
    </w:p>
    <w:p w14:paraId="2B37C40B" w14:textId="77777777" w:rsidR="009932FB" w:rsidRDefault="009932FB" w:rsidP="009932FB">
      <w:pPr>
        <w:rPr>
          <w:rFonts w:eastAsia="SimSun"/>
        </w:rPr>
      </w:pPr>
      <w:r w:rsidRPr="001D0421">
        <w:rPr>
          <w:rFonts w:eastAsia="SimSun"/>
          <w:b/>
        </w:rPr>
        <w:t>Observation 2</w:t>
      </w:r>
      <w:r>
        <w:rPr>
          <w:rFonts w:eastAsia="SimSun"/>
        </w:rPr>
        <w:t>: When considering TPC error over power levels greater than P</w:t>
      </w:r>
      <w:r w:rsidRPr="000549BF">
        <w:rPr>
          <w:rFonts w:eastAsia="SimSun"/>
          <w:vertAlign w:val="subscript"/>
        </w:rPr>
        <w:t>int</w:t>
      </w:r>
      <w:r>
        <w:rPr>
          <w:rFonts w:eastAsia="SimSun"/>
        </w:rPr>
        <w:t xml:space="preserve"> and practical TPC convergence, the requirement proposal for all channels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results in less than 0.25 dB improvement over the baseline and demonstrates worse performance than retaining the baseline requirements and tightening the BS RSRP estimator error by 1 dB.</w:t>
      </w:r>
    </w:p>
    <w:p w14:paraId="1568B257" w14:textId="77777777" w:rsidR="009932FB" w:rsidRDefault="009932FB" w:rsidP="009932FB">
      <w:pPr>
        <w:rPr>
          <w:rFonts w:eastAsia="SimSun"/>
        </w:rPr>
      </w:pPr>
    </w:p>
    <w:p w14:paraId="6C8E6D00" w14:textId="77777777" w:rsidR="009932FB" w:rsidRDefault="009932FB" w:rsidP="009932FB">
      <w:pPr>
        <w:rPr>
          <w:rFonts w:eastAsia="SimSun"/>
        </w:rPr>
      </w:pPr>
      <w:r w:rsidRPr="001D0421">
        <w:rPr>
          <w:rFonts w:eastAsia="SimSun"/>
          <w:b/>
        </w:rPr>
        <w:t>Observation 3</w:t>
      </w:r>
      <w:r>
        <w:rPr>
          <w:rFonts w:eastAsia="SimSun"/>
        </w:rPr>
        <w:t>: When considering TPC error over power levels greater than P</w:t>
      </w:r>
      <w:r w:rsidRPr="000549BF">
        <w:rPr>
          <w:rFonts w:eastAsia="SimSun"/>
          <w:vertAlign w:val="subscript"/>
        </w:rPr>
        <w:t>int</w:t>
      </w:r>
      <w:r>
        <w:rPr>
          <w:rFonts w:eastAsia="SimSun"/>
        </w:rPr>
        <w:t xml:space="preserve"> and practical TPC convergence, the requirement proposal for allocations without gaps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results in slightly greater than 0.5 dB improvement over the baseline requirements and essentially the same performance as tightening the BS RSRP estimator error by 1 dB.</w:t>
      </w:r>
    </w:p>
    <w:p w14:paraId="2EF87816" w14:textId="77777777" w:rsidR="009932FB" w:rsidRDefault="009932FB" w:rsidP="009932FB">
      <w:pPr>
        <w:rPr>
          <w:rFonts w:eastAsia="SimSun"/>
        </w:rPr>
      </w:pPr>
    </w:p>
    <w:p w14:paraId="0D23AACE" w14:textId="77777777" w:rsidR="009932FB" w:rsidRDefault="009932FB" w:rsidP="009932FB">
      <w:pPr>
        <w:rPr>
          <w:rFonts w:eastAsia="SimSun"/>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14:paraId="2C5C46E7" w14:textId="77777777" w:rsidR="009932FB" w:rsidRDefault="009932FB" w:rsidP="009932FB">
      <w:pPr>
        <w:rPr>
          <w:rFonts w:eastAsia="SimSun"/>
        </w:rPr>
      </w:pPr>
    </w:p>
    <w:p w14:paraId="0FABAC6A" w14:textId="6B18C9E2" w:rsidR="00B3014B" w:rsidRPr="0036017F" w:rsidRDefault="009932FB" w:rsidP="009932FB">
      <w:pPr>
        <w:rPr>
          <w:rFonts w:eastAsia="SimSun"/>
        </w:rPr>
      </w:pPr>
      <w:r w:rsidRPr="009932FB">
        <w:rPr>
          <w:rFonts w:eastAsia="SimSun"/>
          <w:b/>
        </w:rPr>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p>
    <w:p w14:paraId="47BA569A" w14:textId="77777777" w:rsidR="0017048A" w:rsidRPr="00871EA3" w:rsidRDefault="0017048A" w:rsidP="00342BBF">
      <w:pPr>
        <w:pStyle w:val="Heading1"/>
        <w:rPr>
          <w:lang w:val="en-US"/>
        </w:rPr>
      </w:pPr>
      <w:r w:rsidRPr="00871EA3">
        <w:rPr>
          <w:lang w:val="en-US"/>
        </w:rPr>
        <w:t>References</w:t>
      </w:r>
    </w:p>
    <w:p w14:paraId="32EC013D" w14:textId="668B6245" w:rsidR="005007F2" w:rsidRDefault="0036017F" w:rsidP="00A60163">
      <w:pPr>
        <w:widowControl w:val="0"/>
        <w:numPr>
          <w:ilvl w:val="0"/>
          <w:numId w:val="5"/>
        </w:numPr>
      </w:pPr>
      <w:bookmarkStart w:id="4" w:name="_Ref525858808"/>
      <w:r>
        <w:t>TS38.101-2 v15.3.0</w:t>
      </w:r>
      <w:bookmarkEnd w:id="4"/>
    </w:p>
    <w:p w14:paraId="58F267F7" w14:textId="35CB5397" w:rsidR="0036017F" w:rsidRDefault="0036017F" w:rsidP="00A60163">
      <w:pPr>
        <w:widowControl w:val="0"/>
        <w:numPr>
          <w:ilvl w:val="0"/>
          <w:numId w:val="5"/>
        </w:numPr>
      </w:pPr>
      <w:bookmarkStart w:id="5" w:name="_Ref525858913"/>
      <w:r w:rsidRPr="0036017F">
        <w:t>R4-1809791</w:t>
      </w:r>
      <w:r>
        <w:t>, “</w:t>
      </w:r>
      <w:r w:rsidRPr="0036017F">
        <w:t>Network Performance Analysis for Power Control Tolerance</w:t>
      </w:r>
      <w:r>
        <w:t>,” Apple Inc., 3GPP RAN4 #88, August 2018</w:t>
      </w:r>
      <w:bookmarkEnd w:id="5"/>
    </w:p>
    <w:p w14:paraId="45698189" w14:textId="647EA9B3" w:rsidR="00BA2873" w:rsidRDefault="00BA2873" w:rsidP="00A60163">
      <w:pPr>
        <w:widowControl w:val="0"/>
        <w:numPr>
          <w:ilvl w:val="0"/>
          <w:numId w:val="5"/>
        </w:numPr>
      </w:pPr>
      <w:bookmarkStart w:id="6" w:name="_Ref525859964"/>
      <w:r w:rsidRPr="00BA2873">
        <w:t>L. J. Greenste</w:t>
      </w:r>
      <w:r>
        <w:t>in, D. G. Michelson, V. Erceg, “</w:t>
      </w:r>
      <w:r w:rsidRPr="00BA2873">
        <w:t>Moment-Method Est</w:t>
      </w:r>
      <w:r>
        <w:t>imation of the Ricean K-Factor,”</w:t>
      </w:r>
      <w:r w:rsidRPr="00BA2873">
        <w:t xml:space="preserve"> IEEE June 199</w:t>
      </w:r>
      <w:r>
        <w:t>9</w:t>
      </w:r>
      <w:bookmarkEnd w:id="6"/>
    </w:p>
    <w:p w14:paraId="7880F137" w14:textId="3C7F5C1C" w:rsidR="00546E72" w:rsidRDefault="00546E72" w:rsidP="00A60163">
      <w:pPr>
        <w:widowControl w:val="0"/>
        <w:numPr>
          <w:ilvl w:val="0"/>
          <w:numId w:val="5"/>
        </w:numPr>
      </w:pPr>
      <w:r w:rsidRPr="00546E72">
        <w:t>R4-1812001</w:t>
      </w:r>
      <w:r w:rsidR="0036017F">
        <w:t>, “RAN4 #88 meeting report,” 3GPP RAN4</w:t>
      </w:r>
    </w:p>
    <w:p w14:paraId="3C7D63AC" w14:textId="71CC7A29" w:rsidR="00546E72" w:rsidRDefault="00546E72" w:rsidP="00A60163">
      <w:pPr>
        <w:widowControl w:val="0"/>
        <w:numPr>
          <w:ilvl w:val="0"/>
          <w:numId w:val="5"/>
        </w:numPr>
      </w:pPr>
      <w:bookmarkStart w:id="7" w:name="_Ref535916320"/>
      <w:r w:rsidRPr="00546E72">
        <w:t>R4-1812394</w:t>
      </w:r>
      <w:r>
        <w:t>, “</w:t>
      </w:r>
      <w:r w:rsidRPr="00546E72">
        <w:t>Further analysis of FR2 power control tolerance</w:t>
      </w:r>
      <w:r>
        <w:t>,” Apple Inc., 3GPP RAN4 #88bis, October 2018</w:t>
      </w:r>
      <w:bookmarkEnd w:id="7"/>
    </w:p>
    <w:p w14:paraId="4C777BD1" w14:textId="06BF41EB" w:rsidR="00546E72" w:rsidRDefault="00546E72" w:rsidP="00A60163">
      <w:pPr>
        <w:widowControl w:val="0"/>
        <w:numPr>
          <w:ilvl w:val="0"/>
          <w:numId w:val="5"/>
        </w:numPr>
      </w:pPr>
      <w:bookmarkStart w:id="8" w:name="_Ref535916663"/>
      <w:r w:rsidRPr="00546E72">
        <w:t>R4-1814701</w:t>
      </w:r>
      <w:r>
        <w:t>, “</w:t>
      </w:r>
      <w:r w:rsidRPr="00546E72">
        <w:t>Draft CR to TS38.101-2 correcting the TPC requirement</w:t>
      </w:r>
      <w:r>
        <w:t>,” Apple Inc., 3GPP RAN4 #90, November 2018</w:t>
      </w:r>
      <w:bookmarkEnd w:id="8"/>
    </w:p>
    <w:p w14:paraId="1ADD45CC" w14:textId="4AEEFFB8" w:rsidR="0036017F" w:rsidRDefault="0036017F" w:rsidP="00A60163">
      <w:pPr>
        <w:widowControl w:val="0"/>
        <w:numPr>
          <w:ilvl w:val="0"/>
          <w:numId w:val="5"/>
        </w:numPr>
      </w:pPr>
      <w:r>
        <w:t xml:space="preserve"> </w:t>
      </w:r>
      <w:bookmarkStart w:id="9" w:name="_Ref535916560"/>
      <w:r w:rsidR="00546E72" w:rsidRPr="00546E72">
        <w:t>R4-1816021</w:t>
      </w:r>
      <w:r w:rsidR="00546E72">
        <w:t>, “</w:t>
      </w:r>
      <w:r w:rsidR="00546E72" w:rsidRPr="00546E72">
        <w:t>Open and closed-loop power tolerance</w:t>
      </w:r>
      <w:r w:rsidR="00546E72">
        <w:t>,” Ericsson, 3GPP RAN4 #89, November 2018</w:t>
      </w:r>
      <w:bookmarkEnd w:id="9"/>
    </w:p>
    <w:p w14:paraId="5E0B0D33" w14:textId="77777777" w:rsidR="00341803" w:rsidRDefault="00341803" w:rsidP="00341803">
      <w:pPr>
        <w:widowControl w:val="0"/>
      </w:pPr>
    </w:p>
    <w:p w14:paraId="6096748A" w14:textId="77777777" w:rsidR="0067706B" w:rsidRDefault="0067706B">
      <w:pPr>
        <w:rPr>
          <w:rFonts w:ascii="Arial" w:eastAsia="SimSun" w:hAnsi="Arial"/>
          <w:sz w:val="36"/>
          <w:szCs w:val="20"/>
        </w:rPr>
      </w:pPr>
      <w:r>
        <w:br w:type="page"/>
      </w:r>
    </w:p>
    <w:p w14:paraId="3F97CF13" w14:textId="1251A0E7" w:rsidR="00341803" w:rsidRPr="00871EA3" w:rsidRDefault="00341803" w:rsidP="00341803">
      <w:pPr>
        <w:pStyle w:val="Heading1"/>
        <w:numPr>
          <w:ilvl w:val="0"/>
          <w:numId w:val="0"/>
        </w:numPr>
        <w:ind w:left="567" w:hanging="567"/>
        <w:rPr>
          <w:lang w:val="en-US"/>
        </w:rPr>
      </w:pPr>
      <w:r>
        <w:rPr>
          <w:lang w:val="en-US"/>
        </w:rPr>
        <w:t>Annex</w:t>
      </w:r>
    </w:p>
    <w:p w14:paraId="340AE2EB" w14:textId="5CD2C681" w:rsidR="00341803" w:rsidRDefault="00305D6E" w:rsidP="00546E72">
      <w:pPr>
        <w:widowControl w:val="0"/>
      </w:pPr>
      <w:r w:rsidRPr="00305D6E">
        <w:rPr>
          <w:noProof/>
        </w:rPr>
        <w:drawing>
          <wp:inline distT="0" distB="0" distL="0" distR="0" wp14:anchorId="53931F55" wp14:editId="07016D82">
            <wp:extent cx="4572000" cy="34288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2000" cy="3428881"/>
                    </a:xfrm>
                    <a:prstGeom prst="rect">
                      <a:avLst/>
                    </a:prstGeom>
                  </pic:spPr>
                </pic:pic>
              </a:graphicData>
            </a:graphic>
          </wp:inline>
        </w:drawing>
      </w:r>
    </w:p>
    <w:p w14:paraId="1D161822" w14:textId="6F54D10A" w:rsidR="00305D6E" w:rsidRDefault="00305D6E" w:rsidP="00546E72">
      <w:pPr>
        <w:widowControl w:val="0"/>
      </w:pPr>
      <w:r w:rsidRPr="00305D6E">
        <w:rPr>
          <w:noProof/>
        </w:rPr>
        <w:drawing>
          <wp:inline distT="0" distB="0" distL="0" distR="0" wp14:anchorId="31F1C157" wp14:editId="4CB24D85">
            <wp:extent cx="4572000" cy="34288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72000" cy="3428881"/>
                    </a:xfrm>
                    <a:prstGeom prst="rect">
                      <a:avLst/>
                    </a:prstGeom>
                  </pic:spPr>
                </pic:pic>
              </a:graphicData>
            </a:graphic>
          </wp:inline>
        </w:drawing>
      </w:r>
    </w:p>
    <w:p w14:paraId="23E451CA" w14:textId="34D61DF0" w:rsidR="00305D6E" w:rsidRDefault="00305D6E" w:rsidP="00546E72">
      <w:pPr>
        <w:widowControl w:val="0"/>
      </w:pPr>
      <w:r w:rsidRPr="00305D6E">
        <w:rPr>
          <w:noProof/>
        </w:rPr>
        <w:drawing>
          <wp:inline distT="0" distB="0" distL="0" distR="0" wp14:anchorId="1547401B" wp14:editId="537BA1FE">
            <wp:extent cx="4572000" cy="34288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72000" cy="3428881"/>
                    </a:xfrm>
                    <a:prstGeom prst="rect">
                      <a:avLst/>
                    </a:prstGeom>
                  </pic:spPr>
                </pic:pic>
              </a:graphicData>
            </a:graphic>
          </wp:inline>
        </w:drawing>
      </w:r>
    </w:p>
    <w:p w14:paraId="774865BF" w14:textId="77777777" w:rsidR="00546E72" w:rsidRPr="00871EA3" w:rsidRDefault="00546E72" w:rsidP="00546E72">
      <w:pPr>
        <w:widowControl w:val="0"/>
      </w:pPr>
    </w:p>
    <w:sectPr w:rsidR="00546E72" w:rsidRPr="00871EA3"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3323" w14:textId="77777777" w:rsidR="00913EDB" w:rsidRDefault="00913EDB">
      <w:r>
        <w:separator/>
      </w:r>
    </w:p>
  </w:endnote>
  <w:endnote w:type="continuationSeparator" w:id="0">
    <w:p w14:paraId="20B7BE42" w14:textId="77777777" w:rsidR="00913EDB" w:rsidRDefault="00913EDB">
      <w:r>
        <w:continuationSeparator/>
      </w:r>
    </w:p>
  </w:endnote>
  <w:endnote w:type="continuationNotice" w:id="1">
    <w:p w14:paraId="66A8F86A" w14:textId="77777777" w:rsidR="00913EDB" w:rsidRDefault="00913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DD31" w14:textId="77777777" w:rsidR="00913EDB" w:rsidRDefault="00913EDB">
      <w:r>
        <w:separator/>
      </w:r>
    </w:p>
  </w:footnote>
  <w:footnote w:type="continuationSeparator" w:id="0">
    <w:p w14:paraId="11C1DB68" w14:textId="77777777" w:rsidR="00913EDB" w:rsidRDefault="00913EDB">
      <w:r>
        <w:continuationSeparator/>
      </w:r>
    </w:p>
  </w:footnote>
  <w:footnote w:type="continuationNotice" w:id="1">
    <w:p w14:paraId="1F89A5F3" w14:textId="77777777" w:rsidR="00913EDB" w:rsidRDefault="00913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5"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9"/>
  </w:num>
  <w:num w:numId="8">
    <w:abstractNumId w:val="14"/>
  </w:num>
  <w:num w:numId="9">
    <w:abstractNumId w:val="16"/>
  </w:num>
  <w:num w:numId="10">
    <w:abstractNumId w:val="25"/>
  </w:num>
  <w:num w:numId="11">
    <w:abstractNumId w:val="4"/>
  </w:num>
  <w:num w:numId="12">
    <w:abstractNumId w:val="2"/>
  </w:num>
  <w:num w:numId="13">
    <w:abstractNumId w:val="17"/>
  </w:num>
  <w:num w:numId="14">
    <w:abstractNumId w:val="22"/>
  </w:num>
  <w:num w:numId="15">
    <w:abstractNumId w:val="21"/>
  </w:num>
  <w:num w:numId="16">
    <w:abstractNumId w:val="7"/>
  </w:num>
  <w:num w:numId="17">
    <w:abstractNumId w:val="15"/>
  </w:num>
  <w:num w:numId="18">
    <w:abstractNumId w:val="18"/>
  </w:num>
  <w:num w:numId="19">
    <w:abstractNumId w:val="11"/>
  </w:num>
  <w:num w:numId="20">
    <w:abstractNumId w:val="13"/>
  </w:num>
  <w:num w:numId="21">
    <w:abstractNumId w:val="20"/>
  </w:num>
  <w:num w:numId="22">
    <w:abstractNumId w:val="0"/>
  </w:num>
  <w:num w:numId="23">
    <w:abstractNumId w:val="6"/>
  </w:num>
  <w:num w:numId="24">
    <w:abstractNumId w:val="12"/>
  </w:num>
  <w:num w:numId="25">
    <w:abstractNumId w:val="3"/>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19"/>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06B"/>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38F9"/>
    <w:rsid w:val="00913B37"/>
    <w:rsid w:val="00913EDB"/>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875"/>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2FB"/>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4C8E"/>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2CC"/>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30"/>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4D3"/>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2B063B6-825B-5742-98E0-90F410E9609F}">
  <ds:schemaRefs>
    <ds:schemaRef ds:uri="http://schemas.openxmlformats.org/officeDocument/2006/bibliography"/>
  </ds:schemaRefs>
</ds:datastoreItem>
</file>

<file path=customXml/itemProps4.xml><?xml version="1.0" encoding="utf-8"?>
<ds:datastoreItem xmlns:ds="http://schemas.openxmlformats.org/officeDocument/2006/customXml" ds:itemID="{A3FBA0EF-9DE7-6442-8D49-27F32970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245</TotalTime>
  <Pages>6</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76</cp:revision>
  <cp:lastPrinted>2017-11-08T23:02:00Z</cp:lastPrinted>
  <dcterms:created xsi:type="dcterms:W3CDTF">2018-09-26T22:02:00Z</dcterms:created>
  <dcterms:modified xsi:type="dcterms:W3CDTF">2019-03-30T05:57:00Z</dcterms:modified>
  <cp:category/>
</cp:coreProperties>
</file>