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8809D3" w14:textId="3C042A32"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BA724E">
        <w:rPr>
          <w:rFonts w:ascii="Arial" w:eastAsia="SimSun" w:hAnsi="Arial" w:cs="Times New Roman"/>
          <w:b/>
          <w:sz w:val="24"/>
          <w:szCs w:val="20"/>
          <w:lang w:val="en-GB"/>
        </w:rPr>
        <w:t>WG4 Meeting#</w:t>
      </w:r>
      <w:r w:rsidR="0075615A">
        <w:rPr>
          <w:rFonts w:ascii="Arial" w:eastAsia="SimSun" w:hAnsi="Arial" w:cs="Times New Roman"/>
          <w:b/>
          <w:sz w:val="24"/>
          <w:szCs w:val="20"/>
          <w:lang w:val="en-GB"/>
        </w:rPr>
        <w:t>90</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683220">
        <w:rPr>
          <w:rFonts w:ascii="Arial" w:eastAsia="SimSun" w:hAnsi="Arial" w:cs="Times New Roman"/>
          <w:b/>
          <w:bCs/>
          <w:sz w:val="24"/>
          <w:szCs w:val="20"/>
          <w:lang w:val="en-GB" w:eastAsia="zh-CN"/>
        </w:rPr>
        <w:t>1</w:t>
      </w:r>
      <w:r w:rsidR="0075615A">
        <w:rPr>
          <w:rFonts w:ascii="Arial" w:eastAsia="SimSun" w:hAnsi="Arial" w:cs="Times New Roman"/>
          <w:b/>
          <w:bCs/>
          <w:sz w:val="24"/>
          <w:szCs w:val="20"/>
          <w:lang w:val="en-GB" w:eastAsia="zh-CN"/>
        </w:rPr>
        <w:t>9</w:t>
      </w:r>
      <w:bookmarkStart w:id="3" w:name="_GoBack"/>
      <w:r w:rsidR="00257C48" w:rsidRPr="00257C48">
        <w:rPr>
          <w:rFonts w:ascii="Arial" w:eastAsia="SimSun" w:hAnsi="Arial" w:cs="Times New Roman"/>
          <w:b/>
          <w:bCs/>
          <w:sz w:val="24"/>
          <w:szCs w:val="20"/>
          <w:lang w:val="en-GB" w:eastAsia="zh-CN"/>
        </w:rPr>
        <w:t>01779</w:t>
      </w:r>
      <w:bookmarkEnd w:id="3"/>
    </w:p>
    <w:p w14:paraId="3DEDC117" w14:textId="51CB9F86" w:rsidR="00841BCD" w:rsidRPr="00841BCD" w:rsidRDefault="0075615A"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Athens</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Greece</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February</w:t>
      </w:r>
      <w:r w:rsidR="001C2F6D">
        <w:rPr>
          <w:rFonts w:ascii="Arial" w:eastAsia="SimSun" w:hAnsi="Arial" w:cs="Times New Roman"/>
          <w:b/>
          <w:sz w:val="24"/>
          <w:szCs w:val="20"/>
          <w:lang w:val="en-GB"/>
        </w:rPr>
        <w:t xml:space="preserve"> 2</w:t>
      </w:r>
      <w:r>
        <w:rPr>
          <w:rFonts w:ascii="Arial" w:eastAsia="SimSun" w:hAnsi="Arial" w:cs="Times New Roman"/>
          <w:b/>
          <w:sz w:val="24"/>
          <w:szCs w:val="20"/>
          <w:lang w:val="en-GB"/>
        </w:rPr>
        <w:t>5</w:t>
      </w:r>
      <w:r w:rsidR="00BA724E" w:rsidRPr="00BA724E">
        <w:rPr>
          <w:rFonts w:ascii="Arial" w:eastAsia="SimSun" w:hAnsi="Arial" w:cs="Times New Roman"/>
          <w:b/>
          <w:sz w:val="24"/>
          <w:szCs w:val="20"/>
          <w:vertAlign w:val="superscript"/>
          <w:lang w:val="en-GB"/>
        </w:rPr>
        <w:t>th</w:t>
      </w:r>
      <w:r w:rsidR="00BA724E">
        <w:rPr>
          <w:rFonts w:ascii="Arial" w:eastAsia="SimSun" w:hAnsi="Arial" w:cs="Times New Roman"/>
          <w:b/>
          <w:sz w:val="24"/>
          <w:szCs w:val="20"/>
          <w:lang w:val="en-GB"/>
        </w:rPr>
        <w:t xml:space="preserve"> </w:t>
      </w:r>
      <w:r w:rsidR="00176671">
        <w:rPr>
          <w:rFonts w:ascii="Arial" w:eastAsia="SimSun" w:hAnsi="Arial" w:cs="Times New Roman"/>
          <w:b/>
          <w:sz w:val="24"/>
          <w:szCs w:val="20"/>
          <w:lang w:val="en-GB"/>
        </w:rPr>
        <w:t xml:space="preserve">– </w:t>
      </w:r>
      <w:r>
        <w:rPr>
          <w:rFonts w:ascii="Arial" w:eastAsia="SimSun" w:hAnsi="Arial" w:cs="Times New Roman"/>
          <w:b/>
          <w:sz w:val="24"/>
          <w:szCs w:val="20"/>
          <w:lang w:val="en-GB"/>
        </w:rPr>
        <w:t>March 1</w:t>
      </w:r>
      <w:r w:rsidRPr="0075615A">
        <w:rPr>
          <w:rFonts w:ascii="Arial" w:eastAsia="SimSun" w:hAnsi="Arial" w:cs="Times New Roman"/>
          <w:b/>
          <w:sz w:val="24"/>
          <w:szCs w:val="20"/>
          <w:vertAlign w:val="superscript"/>
          <w:lang w:val="en-GB"/>
        </w:rPr>
        <w:t>st</w:t>
      </w:r>
      <w:proofErr w:type="gramStart"/>
      <w:r>
        <w:rPr>
          <w:rFonts w:ascii="Arial" w:eastAsia="SimSun" w:hAnsi="Arial" w:cs="Times New Roman"/>
          <w:b/>
          <w:sz w:val="24"/>
          <w:szCs w:val="20"/>
          <w:lang w:val="en-GB"/>
        </w:rPr>
        <w:t xml:space="preserve"> </w:t>
      </w:r>
      <w:r w:rsidR="00176671"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9</w:t>
      </w:r>
      <w:proofErr w:type="gramEnd"/>
    </w:p>
    <w:bookmarkEnd w:id="0"/>
    <w:bookmarkEnd w:id="1"/>
    <w:p w14:paraId="6515563C"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7E9A358D"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14:paraId="7D0568CA" w14:textId="47A440E9"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75615A">
        <w:rPr>
          <w:rFonts w:ascii="Arial" w:eastAsia="Calibri" w:hAnsi="Arial" w:cs="Arial"/>
          <w:b/>
          <w:bCs/>
          <w:sz w:val="24"/>
          <w:lang w:val="en-GB"/>
        </w:rPr>
        <w:t xml:space="preserve">UE </w:t>
      </w:r>
      <w:r w:rsidR="0075615A" w:rsidRPr="0075615A">
        <w:rPr>
          <w:rFonts w:ascii="Arial" w:eastAsia="Calibri" w:hAnsi="Arial" w:cs="Arial"/>
          <w:b/>
          <w:bCs/>
          <w:sz w:val="24"/>
          <w:lang w:val="en-GB"/>
        </w:rPr>
        <w:t>TCI state requirements discussion</w:t>
      </w:r>
      <w:r w:rsidRPr="00841BCD" w:rsidDel="000A742C">
        <w:rPr>
          <w:rFonts w:ascii="Arial" w:eastAsia="Calibri" w:hAnsi="Arial" w:cs="Arial"/>
          <w:b/>
          <w:bCs/>
          <w:sz w:val="24"/>
          <w:lang w:val="en-GB"/>
        </w:rPr>
        <w:t xml:space="preserve"> </w:t>
      </w:r>
    </w:p>
    <w:p w14:paraId="53921647" w14:textId="40474FCB" w:rsidR="00841BCD" w:rsidRPr="00257C48" w:rsidRDefault="00841BCD" w:rsidP="00841BCD">
      <w:pPr>
        <w:tabs>
          <w:tab w:val="left" w:pos="1985"/>
        </w:tabs>
        <w:spacing w:after="120"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0E5325" w:rsidRPr="00257C48">
        <w:rPr>
          <w:rFonts w:ascii="Arial" w:eastAsia="MS Mincho" w:hAnsi="Arial" w:cs="Arial"/>
          <w:b/>
          <w:bCs/>
          <w:sz w:val="24"/>
          <w:szCs w:val="20"/>
          <w:lang w:val="en-GB"/>
        </w:rPr>
        <w:t>6.12.7.6</w:t>
      </w:r>
    </w:p>
    <w:p w14:paraId="266D763D" w14:textId="77777777" w:rsidR="00841BCD" w:rsidRPr="00841BCD" w:rsidRDefault="00841BCD" w:rsidP="00841BCD">
      <w:pPr>
        <w:tabs>
          <w:tab w:val="left" w:pos="1985"/>
        </w:tabs>
        <w:rPr>
          <w:rFonts w:ascii="Arial" w:eastAsia="Calibri" w:hAnsi="Arial" w:cs="Arial"/>
          <w:b/>
          <w:bCs/>
          <w:sz w:val="24"/>
          <w:lang w:val="en-GB"/>
        </w:rPr>
      </w:pPr>
      <w:r w:rsidRPr="00257C48">
        <w:rPr>
          <w:rFonts w:ascii="Arial" w:eastAsia="Calibri" w:hAnsi="Arial" w:cs="Arial"/>
          <w:b/>
          <w:bCs/>
          <w:sz w:val="24"/>
          <w:lang w:val="en-GB"/>
        </w:rPr>
        <w:t>Document for:</w:t>
      </w:r>
      <w:r w:rsidRPr="00257C48">
        <w:rPr>
          <w:rFonts w:ascii="Arial" w:eastAsia="Calibri" w:hAnsi="Arial" w:cs="Arial"/>
          <w:b/>
          <w:bCs/>
          <w:sz w:val="24"/>
          <w:lang w:val="en-GB"/>
        </w:rPr>
        <w:tab/>
        <w:t>Discussion</w:t>
      </w:r>
    </w:p>
    <w:p w14:paraId="505DD0D6" w14:textId="77777777" w:rsidR="00841BCD" w:rsidRPr="00841BCD" w:rsidRDefault="00841BCD" w:rsidP="00A37002">
      <w:pPr>
        <w:pStyle w:val="RAN4H1"/>
      </w:pPr>
      <w:r w:rsidRPr="00AE56B1">
        <w:t>Intro</w:t>
      </w:r>
      <w:r w:rsidRPr="00AE56B1">
        <w:rPr>
          <w:rStyle w:val="RAN4H1Char"/>
        </w:rPr>
        <w:t>ductio</w:t>
      </w:r>
      <w:r w:rsidRPr="00AE56B1">
        <w:t>n</w:t>
      </w:r>
    </w:p>
    <w:p w14:paraId="3A2170F1" w14:textId="1A2968F4" w:rsidR="00A22B78" w:rsidRDefault="00BF6727" w:rsidP="00841BCD">
      <w:pPr>
        <w:ind w:right="-22"/>
        <w:rPr>
          <w:rFonts w:eastAsia="Calibri" w:cs="Times New Roman"/>
          <w:szCs w:val="20"/>
          <w:lang w:val="en-GB"/>
        </w:rPr>
      </w:pPr>
      <w:r>
        <w:rPr>
          <w:rFonts w:eastAsia="Calibri" w:cs="Times New Roman"/>
          <w:szCs w:val="20"/>
          <w:lang w:val="en-GB"/>
        </w:rPr>
        <w:t>In</w:t>
      </w:r>
      <w:r w:rsidR="000E5325">
        <w:rPr>
          <w:rFonts w:eastAsia="Calibri" w:cs="Times New Roman"/>
          <w:szCs w:val="20"/>
          <w:lang w:val="en-GB"/>
        </w:rPr>
        <w:t xml:space="preserve"> </w:t>
      </w:r>
      <w:r>
        <w:rPr>
          <w:rFonts w:eastAsia="Calibri" w:cs="Times New Roman"/>
          <w:szCs w:val="20"/>
          <w:lang w:val="en-GB"/>
        </w:rPr>
        <w:t xml:space="preserve">RAN4 meeting in Spokane RAN4 had initial discussions related to the UE requirements regarding TCI state and switching delay as well as TCI state details for </w:t>
      </w:r>
      <w:proofErr w:type="spellStart"/>
      <w:r>
        <w:rPr>
          <w:rFonts w:eastAsia="Calibri" w:cs="Times New Roman"/>
          <w:szCs w:val="20"/>
          <w:lang w:val="en-GB"/>
        </w:rPr>
        <w:t>SCells</w:t>
      </w:r>
      <w:proofErr w:type="spellEnd"/>
      <w:r>
        <w:rPr>
          <w:rFonts w:eastAsia="Calibri" w:cs="Times New Roman"/>
          <w:szCs w:val="20"/>
          <w:lang w:val="en-GB"/>
        </w:rPr>
        <w:t xml:space="preserve"> upon activation. Based on the discussions a WF was agreed in [</w:t>
      </w:r>
      <w:r w:rsidR="00E6775A">
        <w:rPr>
          <w:rFonts w:eastAsia="Calibri" w:cs="Times New Roman"/>
          <w:szCs w:val="20"/>
        </w:rPr>
        <w:t>1</w:t>
      </w:r>
      <w:r>
        <w:rPr>
          <w:rFonts w:eastAsia="Calibri" w:cs="Times New Roman"/>
          <w:szCs w:val="20"/>
          <w:lang w:val="en-GB"/>
        </w:rPr>
        <w:t xml:space="preserve">] </w:t>
      </w:r>
      <w:r w:rsidRPr="00BF6727">
        <w:rPr>
          <w:rFonts w:eastAsia="Calibri" w:cs="Times New Roman"/>
          <w:szCs w:val="20"/>
        </w:rPr>
        <w:t>WF on delay for TCI state switch and SCell activation with multiple TCI states</w:t>
      </w:r>
      <w:r w:rsidR="002C2D19">
        <w:rPr>
          <w:rFonts w:eastAsia="Calibri" w:cs="Times New Roman"/>
          <w:szCs w:val="20"/>
          <w:lang w:val="en-GB"/>
        </w:rPr>
        <w:t xml:space="preserve">. </w:t>
      </w:r>
    </w:p>
    <w:p w14:paraId="397F5B17" w14:textId="4B6C7E96" w:rsidR="00BF6727" w:rsidRDefault="00BF6727" w:rsidP="00841BCD">
      <w:pPr>
        <w:ind w:right="-22"/>
        <w:rPr>
          <w:rFonts w:eastAsia="Calibri" w:cs="Times New Roman"/>
          <w:szCs w:val="20"/>
          <w:lang w:val="en-GB"/>
        </w:rPr>
      </w:pPr>
      <w:r>
        <w:rPr>
          <w:rFonts w:eastAsia="Calibri" w:cs="Times New Roman"/>
          <w:szCs w:val="20"/>
          <w:lang w:val="en-GB"/>
        </w:rPr>
        <w:t>In this paper we discuss the issues raised in the WF.</w:t>
      </w:r>
    </w:p>
    <w:p w14:paraId="2FF6A72B" w14:textId="77777777" w:rsidR="003B659E" w:rsidRPr="00841BCD" w:rsidRDefault="003B659E" w:rsidP="00AE56B1">
      <w:pPr>
        <w:pStyle w:val="RAN4H1"/>
      </w:pPr>
      <w:r w:rsidRPr="00AE56B1">
        <w:t>Discussion</w:t>
      </w:r>
    </w:p>
    <w:p w14:paraId="6FAF2449" w14:textId="39F40991" w:rsidR="00945A35" w:rsidRDefault="00945A35" w:rsidP="00945A35">
      <w:pPr>
        <w:ind w:right="-22"/>
        <w:rPr>
          <w:rFonts w:eastAsia="Calibri" w:cs="Times New Roman"/>
          <w:szCs w:val="20"/>
          <w:lang w:val="en-GB"/>
        </w:rPr>
      </w:pPr>
      <w:r>
        <w:rPr>
          <w:rFonts w:eastAsia="Calibri" w:cs="Times New Roman"/>
          <w:szCs w:val="20"/>
          <w:lang w:val="en-GB"/>
        </w:rPr>
        <w:t>The WF raised two points to be discussed further in RAN4:</w:t>
      </w:r>
    </w:p>
    <w:p w14:paraId="621FCEB9" w14:textId="668442D6" w:rsidR="00945A35" w:rsidRDefault="00945A35" w:rsidP="00945A35">
      <w:pPr>
        <w:pStyle w:val="ListParagraph"/>
        <w:numPr>
          <w:ilvl w:val="0"/>
          <w:numId w:val="21"/>
        </w:numPr>
        <w:ind w:right="-22"/>
        <w:rPr>
          <w:rFonts w:eastAsia="Calibri" w:cs="Times New Roman"/>
          <w:szCs w:val="20"/>
          <w:lang w:val="en-GB"/>
        </w:rPr>
      </w:pPr>
      <w:r>
        <w:rPr>
          <w:rFonts w:eastAsia="Calibri" w:cs="Times New Roman"/>
          <w:szCs w:val="20"/>
          <w:lang w:val="en-GB"/>
        </w:rPr>
        <w:t>TCI switching Delay</w:t>
      </w:r>
    </w:p>
    <w:p w14:paraId="7B0507AC" w14:textId="560CEEEF" w:rsidR="00945A35" w:rsidRDefault="00945A35" w:rsidP="00945A35">
      <w:pPr>
        <w:pStyle w:val="ListParagraph"/>
        <w:numPr>
          <w:ilvl w:val="0"/>
          <w:numId w:val="21"/>
        </w:numPr>
        <w:ind w:right="-22"/>
        <w:rPr>
          <w:rFonts w:eastAsia="Calibri" w:cs="Times New Roman"/>
          <w:szCs w:val="20"/>
          <w:lang w:val="en-GB"/>
        </w:rPr>
      </w:pPr>
      <w:r>
        <w:rPr>
          <w:rFonts w:eastAsia="Calibri" w:cs="Times New Roman"/>
          <w:szCs w:val="20"/>
          <w:lang w:val="en-GB"/>
        </w:rPr>
        <w:t>TCI details for SCell activation in FR2</w:t>
      </w:r>
    </w:p>
    <w:p w14:paraId="49371D38" w14:textId="452268F3" w:rsidR="00945A35" w:rsidRDefault="00945A35" w:rsidP="00945A35">
      <w:pPr>
        <w:ind w:right="-22"/>
        <w:rPr>
          <w:rFonts w:eastAsia="Calibri" w:cs="Times New Roman"/>
          <w:szCs w:val="20"/>
          <w:lang w:val="en-GB"/>
        </w:rPr>
      </w:pPr>
      <w:r>
        <w:rPr>
          <w:rFonts w:eastAsia="Calibri" w:cs="Times New Roman"/>
          <w:szCs w:val="20"/>
          <w:lang w:val="en-GB"/>
        </w:rPr>
        <w:t xml:space="preserve">For each topic </w:t>
      </w:r>
      <w:proofErr w:type="gramStart"/>
      <w:r>
        <w:rPr>
          <w:rFonts w:eastAsia="Calibri" w:cs="Times New Roman"/>
          <w:szCs w:val="20"/>
          <w:lang w:val="en-GB"/>
        </w:rPr>
        <w:t>a number of</w:t>
      </w:r>
      <w:proofErr w:type="gramEnd"/>
      <w:r>
        <w:rPr>
          <w:rFonts w:eastAsia="Calibri" w:cs="Times New Roman"/>
          <w:szCs w:val="20"/>
          <w:lang w:val="en-GB"/>
        </w:rPr>
        <w:t xml:space="preserve"> open aspects were pointed out and would need some discussed in order to reach common understanding in RAN4. Next sections we discuss each of the topics.</w:t>
      </w:r>
    </w:p>
    <w:p w14:paraId="54211C3A" w14:textId="761B43C7" w:rsidR="00945A35" w:rsidRDefault="00945A35" w:rsidP="00945A35">
      <w:pPr>
        <w:ind w:right="-22"/>
        <w:rPr>
          <w:rFonts w:eastAsia="Calibri" w:cs="Times New Roman"/>
          <w:szCs w:val="20"/>
          <w:lang w:val="en-GB"/>
        </w:rPr>
      </w:pPr>
    </w:p>
    <w:p w14:paraId="2D2065D0" w14:textId="0E18523C" w:rsidR="00945A35" w:rsidRPr="008826C1" w:rsidRDefault="00945A35" w:rsidP="00945A35">
      <w:pPr>
        <w:pStyle w:val="RAN4H2"/>
      </w:pPr>
      <w:r>
        <w:rPr>
          <w:rFonts w:eastAsia="Calibri"/>
          <w:lang w:val="en-GB"/>
        </w:rPr>
        <w:t>TCI switching Delay</w:t>
      </w:r>
    </w:p>
    <w:p w14:paraId="1CD1D943" w14:textId="41CC261E" w:rsidR="000B0FD6" w:rsidRDefault="000B0FD6" w:rsidP="00945A35">
      <w:pPr>
        <w:ind w:right="-22"/>
        <w:rPr>
          <w:rFonts w:eastAsia="Calibri" w:cs="Times New Roman"/>
          <w:szCs w:val="20"/>
          <w:lang w:val="en-GB"/>
        </w:rPr>
      </w:pPr>
      <w:r>
        <w:rPr>
          <w:rFonts w:eastAsia="Calibri" w:cs="Times New Roman"/>
          <w:szCs w:val="20"/>
          <w:lang w:val="en-GB"/>
        </w:rPr>
        <w:t xml:space="preserve">In NR the </w:t>
      </w:r>
      <w:proofErr w:type="spellStart"/>
      <w:r>
        <w:rPr>
          <w:rFonts w:eastAsia="Calibri" w:cs="Times New Roman"/>
          <w:szCs w:val="20"/>
          <w:lang w:val="en-GB"/>
        </w:rPr>
        <w:t>gNB</w:t>
      </w:r>
      <w:proofErr w:type="spellEnd"/>
      <w:r>
        <w:rPr>
          <w:rFonts w:eastAsia="Calibri" w:cs="Times New Roman"/>
          <w:szCs w:val="20"/>
          <w:lang w:val="en-GB"/>
        </w:rPr>
        <w:t xml:space="preserve"> can configure the UE with </w:t>
      </w:r>
      <w:proofErr w:type="gramStart"/>
      <w:r>
        <w:rPr>
          <w:rFonts w:eastAsia="Calibri" w:cs="Times New Roman"/>
          <w:szCs w:val="20"/>
          <w:lang w:val="en-GB"/>
        </w:rPr>
        <w:t>a number of</w:t>
      </w:r>
      <w:proofErr w:type="gramEnd"/>
      <w:r>
        <w:rPr>
          <w:rFonts w:eastAsia="Calibri" w:cs="Times New Roman"/>
          <w:szCs w:val="20"/>
          <w:lang w:val="en-GB"/>
        </w:rPr>
        <w:t xml:space="preserve"> TCI states which can then be controlled (switched) by </w:t>
      </w:r>
      <w:proofErr w:type="spellStart"/>
      <w:r>
        <w:rPr>
          <w:rFonts w:eastAsia="Calibri" w:cs="Times New Roman"/>
          <w:szCs w:val="20"/>
          <w:lang w:val="en-GB"/>
        </w:rPr>
        <w:t>gNB</w:t>
      </w:r>
      <w:proofErr w:type="spellEnd"/>
      <w:r>
        <w:rPr>
          <w:rFonts w:eastAsia="Calibri" w:cs="Times New Roman"/>
          <w:szCs w:val="20"/>
          <w:lang w:val="en-GB"/>
        </w:rPr>
        <w:t xml:space="preserve"> on a need base to ensure that the UE is served/using the best beam. This is part of the beam management framework. For switching the TCI state</w:t>
      </w:r>
      <w:r w:rsidR="009A3A0A">
        <w:rPr>
          <w:rFonts w:eastAsia="Calibri" w:cs="Times New Roman"/>
          <w:szCs w:val="20"/>
          <w:lang w:val="en-GB"/>
        </w:rPr>
        <w:t>,</w:t>
      </w:r>
      <w:r>
        <w:rPr>
          <w:rFonts w:eastAsia="Calibri" w:cs="Times New Roman"/>
          <w:szCs w:val="20"/>
          <w:lang w:val="en-GB"/>
        </w:rPr>
        <w:t xml:space="preserve"> the </w:t>
      </w:r>
      <w:proofErr w:type="spellStart"/>
      <w:r>
        <w:rPr>
          <w:rFonts w:eastAsia="Calibri" w:cs="Times New Roman"/>
          <w:szCs w:val="20"/>
          <w:lang w:val="en-GB"/>
        </w:rPr>
        <w:t>gNB</w:t>
      </w:r>
      <w:proofErr w:type="spellEnd"/>
      <w:r>
        <w:rPr>
          <w:rFonts w:eastAsia="Calibri" w:cs="Times New Roman"/>
          <w:szCs w:val="20"/>
          <w:lang w:val="en-GB"/>
        </w:rPr>
        <w:t xml:space="preserve"> uses MAC command</w:t>
      </w:r>
      <w:r w:rsidR="00141C74">
        <w:rPr>
          <w:rFonts w:eastAsia="Calibri" w:cs="Times New Roman"/>
          <w:szCs w:val="20"/>
          <w:lang w:val="en-GB"/>
        </w:rPr>
        <w:t xml:space="preserve"> as defined in 38.321 section 6.1.3.15</w:t>
      </w:r>
      <w:r>
        <w:rPr>
          <w:rFonts w:eastAsia="Calibri" w:cs="Times New Roman"/>
          <w:szCs w:val="20"/>
          <w:lang w:val="en-GB"/>
        </w:rPr>
        <w:t>:</w:t>
      </w:r>
    </w:p>
    <w:p w14:paraId="474435B5" w14:textId="77777777" w:rsidR="00141C74" w:rsidRDefault="00141C74" w:rsidP="00141C74">
      <w:pPr>
        <w:keepNext/>
        <w:ind w:right="-22"/>
        <w:jc w:val="center"/>
      </w:pPr>
      <w:r w:rsidRPr="00141C74">
        <w:rPr>
          <w:noProof/>
        </w:rPr>
        <w:drawing>
          <wp:inline distT="0" distB="0" distL="0" distR="0" wp14:anchorId="23A36C8D" wp14:editId="5FBDB903">
            <wp:extent cx="3609975" cy="1123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09975" cy="1123950"/>
                    </a:xfrm>
                    <a:prstGeom prst="rect">
                      <a:avLst/>
                    </a:prstGeom>
                    <a:noFill/>
                    <a:ln>
                      <a:noFill/>
                    </a:ln>
                  </pic:spPr>
                </pic:pic>
              </a:graphicData>
            </a:graphic>
          </wp:inline>
        </w:drawing>
      </w:r>
    </w:p>
    <w:p w14:paraId="22D41E12" w14:textId="4AF162C9" w:rsidR="000B0FD6" w:rsidRDefault="00141C74" w:rsidP="00141C74">
      <w:pPr>
        <w:pStyle w:val="Caption"/>
        <w:rPr>
          <w:rFonts w:eastAsia="Calibri" w:cs="Times New Roman"/>
          <w:szCs w:val="20"/>
          <w:lang w:val="en-GB"/>
        </w:rPr>
      </w:pPr>
      <w:r>
        <w:t xml:space="preserve">Figure </w:t>
      </w:r>
      <w:r w:rsidR="00950BF8">
        <w:rPr>
          <w:noProof/>
        </w:rPr>
        <w:fldChar w:fldCharType="begin"/>
      </w:r>
      <w:r w:rsidR="00950BF8">
        <w:rPr>
          <w:noProof/>
        </w:rPr>
        <w:instrText xml:space="preserve"> SEQ Figure \* ARABIC </w:instrText>
      </w:r>
      <w:r w:rsidR="00950BF8">
        <w:rPr>
          <w:noProof/>
        </w:rPr>
        <w:fldChar w:fldCharType="separate"/>
      </w:r>
      <w:r>
        <w:rPr>
          <w:noProof/>
        </w:rPr>
        <w:t>1</w:t>
      </w:r>
      <w:r w:rsidR="00950BF8">
        <w:rPr>
          <w:noProof/>
        </w:rPr>
        <w:fldChar w:fldCharType="end"/>
      </w:r>
      <w:r w:rsidRPr="00BF1032">
        <w:t>TCI State Indication for UE-specific PDCCH MAC CE</w:t>
      </w:r>
    </w:p>
    <w:p w14:paraId="4B7FFF0A" w14:textId="304CA873" w:rsidR="000B0FD6" w:rsidRDefault="00141C74" w:rsidP="00945A35">
      <w:pPr>
        <w:ind w:right="-22"/>
        <w:rPr>
          <w:rFonts w:eastAsia="Calibri" w:cs="Times New Roman"/>
          <w:szCs w:val="20"/>
          <w:lang w:val="en-GB"/>
        </w:rPr>
      </w:pPr>
      <w:r>
        <w:rPr>
          <w:rFonts w:eastAsia="Calibri" w:cs="Times New Roman"/>
          <w:szCs w:val="20"/>
          <w:lang w:val="en-GB"/>
        </w:rPr>
        <w:t>A similar MAC command exists for changing the TCI state for PDSCH.</w:t>
      </w:r>
    </w:p>
    <w:p w14:paraId="39CB0B26" w14:textId="77777777" w:rsidR="009A3A0A" w:rsidRDefault="009A3A0A" w:rsidP="00945A35">
      <w:pPr>
        <w:ind w:right="-22"/>
        <w:rPr>
          <w:rFonts w:eastAsia="Calibri" w:cs="Times New Roman"/>
          <w:szCs w:val="20"/>
          <w:lang w:val="en-GB"/>
        </w:rPr>
      </w:pPr>
      <w:r>
        <w:rPr>
          <w:rFonts w:eastAsia="Calibri" w:cs="Times New Roman"/>
          <w:szCs w:val="20"/>
          <w:lang w:val="en-GB"/>
        </w:rPr>
        <w:t>It has earlier been discussed in RAN4 what delay should be allowed when UE receives a TCI state change. Based on the discussion and LS was sent to RAN1 and the following requirement is now captured in 38.214:</w:t>
      </w:r>
    </w:p>
    <w:p w14:paraId="2DAFDD59" w14:textId="27EF2F18" w:rsidR="009A3A0A" w:rsidRDefault="009A3A0A" w:rsidP="00945A35">
      <w:pPr>
        <w:ind w:right="-22"/>
        <w:rPr>
          <w:rFonts w:eastAsia="Calibri" w:cs="Times New Roman"/>
          <w:szCs w:val="20"/>
          <w:lang w:val="en-GB"/>
        </w:rPr>
      </w:pPr>
      <w:r>
        <w:rPr>
          <w:rFonts w:eastAsia="Calibri" w:cs="Times New Roman"/>
          <w:szCs w:val="20"/>
          <w:lang w:val="en-GB"/>
        </w:rPr>
        <w:t>‘</w:t>
      </w:r>
      <w:r w:rsidRPr="009A3A0A">
        <w:rPr>
          <w:i/>
          <w:szCs w:val="20"/>
        </w:rPr>
        <w:t xml:space="preserve">The UE receives an activation command [10, TS 38.321] used to map up to 8 TCI states to the codepoints of the DCI field </w:t>
      </w:r>
      <w:r w:rsidRPr="009A3A0A">
        <w:rPr>
          <w:i/>
          <w:iCs/>
          <w:szCs w:val="20"/>
        </w:rPr>
        <w:t>'Transmission Configuration Indication'</w:t>
      </w:r>
      <w:r w:rsidRPr="009A3A0A">
        <w:rPr>
          <w:i/>
          <w:szCs w:val="20"/>
        </w:rPr>
        <w:t xml:space="preserve">. When the HARQ-ACK corresponding to the PDSCH carrying the activation command is transmitted in slot n, the indicated mapping between TCI states and codepoints of the DCI field </w:t>
      </w:r>
      <w:r w:rsidRPr="009A3A0A">
        <w:rPr>
          <w:i/>
          <w:iCs/>
          <w:szCs w:val="20"/>
        </w:rPr>
        <w:t xml:space="preserve">'Transmission Configuration Indication' </w:t>
      </w:r>
      <w:r w:rsidRPr="009A3A0A">
        <w:rPr>
          <w:i/>
          <w:szCs w:val="20"/>
        </w:rPr>
        <w:t xml:space="preserve">should be applied starting </w:t>
      </w:r>
      <w:r w:rsidRPr="009B1398">
        <w:rPr>
          <w:i/>
          <w:szCs w:val="20"/>
        </w:rPr>
        <w:t>from</w:t>
      </w:r>
      <w:r w:rsidR="009B1398" w:rsidRPr="009B1398">
        <w:rPr>
          <w:i/>
          <w:szCs w:val="20"/>
        </w:rPr>
        <w:t xml:space="preserve"> </w:t>
      </w:r>
      <m:oMath>
        <m:r>
          <w:rPr>
            <w:rFonts w:ascii="Cambria Math" w:hAnsi="Cambria Math"/>
            <w:szCs w:val="20"/>
          </w:rPr>
          <m:t>n+3</m:t>
        </m:r>
        <m:sSubSup>
          <m:sSubSupPr>
            <m:ctrlPr>
              <w:rPr>
                <w:rFonts w:ascii="Cambria Math" w:hAnsi="Cambria Math"/>
                <w:i/>
                <w:szCs w:val="20"/>
              </w:rPr>
            </m:ctrlPr>
          </m:sSubSupPr>
          <m:e>
            <m:r>
              <w:rPr>
                <w:rFonts w:ascii="Cambria Math" w:hAnsi="Cambria Math"/>
                <w:szCs w:val="20"/>
              </w:rPr>
              <m:t>N</m:t>
            </m:r>
          </m:e>
          <m:sub>
            <m:r>
              <w:rPr>
                <w:rFonts w:ascii="Cambria Math" w:hAnsi="Cambria Math"/>
                <w:szCs w:val="20"/>
              </w:rPr>
              <m:t>slot</m:t>
            </m:r>
          </m:sub>
          <m:sup>
            <m:r>
              <w:rPr>
                <w:rFonts w:ascii="Cambria Math" w:hAnsi="Cambria Math"/>
                <w:szCs w:val="20"/>
              </w:rPr>
              <m:t>subframe,μ</m:t>
            </m:r>
          </m:sup>
        </m:sSubSup>
        <m:r>
          <w:rPr>
            <w:rFonts w:ascii="Cambria Math" w:eastAsiaTheme="minorEastAsia" w:hAnsi="Cambria Math"/>
            <w:szCs w:val="20"/>
          </w:rPr>
          <m:t>+1</m:t>
        </m:r>
      </m:oMath>
      <w:r w:rsidRPr="009A3A0A">
        <w:rPr>
          <w:i/>
          <w:szCs w:val="20"/>
        </w:rPr>
        <w:t xml:space="preserve"> .</w:t>
      </w:r>
      <w:r>
        <w:rPr>
          <w:rFonts w:eastAsia="Calibri" w:cs="Times New Roman"/>
          <w:szCs w:val="20"/>
          <w:lang w:val="en-GB"/>
        </w:rPr>
        <w:t>’</w:t>
      </w:r>
    </w:p>
    <w:p w14:paraId="077F6EF4" w14:textId="30064274" w:rsidR="009A3A0A" w:rsidRDefault="009A3A0A" w:rsidP="00945A35">
      <w:pPr>
        <w:ind w:right="-22"/>
        <w:rPr>
          <w:rFonts w:eastAsia="Calibri" w:cs="Times New Roman"/>
          <w:szCs w:val="20"/>
          <w:lang w:val="en-GB"/>
        </w:rPr>
      </w:pPr>
      <w:r>
        <w:rPr>
          <w:rFonts w:eastAsia="Calibri" w:cs="Times New Roman"/>
          <w:szCs w:val="20"/>
          <w:lang w:val="en-GB"/>
        </w:rPr>
        <w:t xml:space="preserve">I.e. from when the </w:t>
      </w:r>
      <w:r w:rsidR="009B1398">
        <w:rPr>
          <w:rFonts w:eastAsia="Calibri" w:cs="Times New Roman"/>
          <w:szCs w:val="20"/>
          <w:lang w:val="en-GB"/>
        </w:rPr>
        <w:t>UE has sent the ACK for PDSCH containing the TCI switch command, the UE shall apply the new TCI state starting from 3 slots after ACK has been transmitted.</w:t>
      </w:r>
    </w:p>
    <w:p w14:paraId="1CC21869" w14:textId="7B4437B6" w:rsidR="009B1398" w:rsidRDefault="009B1398" w:rsidP="009B1398">
      <w:pPr>
        <w:pStyle w:val="RAN4Observation"/>
      </w:pPr>
      <w:r>
        <w:lastRenderedPageBreak/>
        <w:t xml:space="preserve">a new TCI state shall be applied starting from 3 slots after transmitting ACK for </w:t>
      </w:r>
      <w:r w:rsidR="00A97DB8">
        <w:t>PDSCH carrying the TCI change command</w:t>
      </w:r>
      <w:r w:rsidRPr="0008612A">
        <w:t>.</w:t>
      </w:r>
    </w:p>
    <w:p w14:paraId="4256DEFF" w14:textId="763EE666" w:rsidR="00F8793A" w:rsidRDefault="00F8793A" w:rsidP="00F8793A">
      <w:pPr>
        <w:pStyle w:val="RAN4proposal"/>
      </w:pPr>
      <w:bookmarkStart w:id="4" w:name="_Hlk1158384"/>
      <w:r>
        <w:t>Use defined RAN1 delay as baseline for defining RAN4 TCI switch delay requirements</w:t>
      </w:r>
      <w:r w:rsidRPr="0008612A">
        <w:t>.</w:t>
      </w:r>
    </w:p>
    <w:bookmarkEnd w:id="4"/>
    <w:p w14:paraId="70DA7C9A" w14:textId="16BAFCC0" w:rsidR="00A97DB8" w:rsidRDefault="00A97DB8" w:rsidP="00945A35">
      <w:pPr>
        <w:ind w:right="-22"/>
        <w:rPr>
          <w:rFonts w:eastAsia="Calibri" w:cs="Times New Roman"/>
          <w:szCs w:val="20"/>
          <w:lang w:val="en-GB"/>
        </w:rPr>
      </w:pPr>
      <w:r>
        <w:rPr>
          <w:rFonts w:eastAsia="Calibri" w:cs="Times New Roman"/>
          <w:szCs w:val="20"/>
          <w:lang w:val="en-GB"/>
        </w:rPr>
        <w:t>Second issue related to interruption due the TCI switch was raised. Looking at the history and reasoning why interruptions were introduced in LTE (and later NR), a TCI state change should not cause interru</w:t>
      </w:r>
      <w:r w:rsidR="00F8793A">
        <w:rPr>
          <w:rFonts w:eastAsia="Calibri" w:cs="Times New Roman"/>
          <w:szCs w:val="20"/>
          <w:lang w:val="en-GB"/>
        </w:rPr>
        <w:t>p</w:t>
      </w:r>
      <w:r>
        <w:rPr>
          <w:rFonts w:eastAsia="Calibri" w:cs="Times New Roman"/>
          <w:szCs w:val="20"/>
          <w:lang w:val="en-GB"/>
        </w:rPr>
        <w:t xml:space="preserve">tions. </w:t>
      </w:r>
      <w:r w:rsidR="00F8793A">
        <w:rPr>
          <w:rFonts w:eastAsia="Calibri" w:cs="Times New Roman"/>
          <w:szCs w:val="20"/>
          <w:lang w:val="en-GB"/>
        </w:rPr>
        <w:t>Basic reasoning is that a TCI state change does not involve turning on or off any receivers.</w:t>
      </w:r>
    </w:p>
    <w:p w14:paraId="2C15BD9B" w14:textId="6034292E" w:rsidR="00F8793A" w:rsidRDefault="00F8793A" w:rsidP="00F8793A">
      <w:pPr>
        <w:pStyle w:val="RAN4Observation"/>
      </w:pPr>
      <w:r>
        <w:t>A TCI state change does not involve turning on or off any receivers</w:t>
      </w:r>
      <w:r w:rsidRPr="0008612A">
        <w:t>.</w:t>
      </w:r>
    </w:p>
    <w:p w14:paraId="745181D8" w14:textId="0B7DFC49" w:rsidR="00F8793A" w:rsidRDefault="00F8793A" w:rsidP="00F8793A">
      <w:pPr>
        <w:pStyle w:val="RAN4Observation"/>
      </w:pPr>
      <w:r>
        <w:t>A TCI state change does not cause interruptions on other active cells</w:t>
      </w:r>
      <w:r w:rsidRPr="0008612A">
        <w:t>.</w:t>
      </w:r>
    </w:p>
    <w:p w14:paraId="07E71168" w14:textId="58901F83" w:rsidR="00141C74" w:rsidRDefault="00141C74" w:rsidP="00945A35">
      <w:pPr>
        <w:ind w:right="-22"/>
        <w:rPr>
          <w:rFonts w:eastAsia="Calibri" w:cs="Times New Roman"/>
          <w:szCs w:val="20"/>
          <w:lang w:val="en-GB"/>
        </w:rPr>
      </w:pPr>
    </w:p>
    <w:p w14:paraId="5CDC9884" w14:textId="6C10E79A" w:rsidR="000B0FD6" w:rsidRPr="008826C1" w:rsidRDefault="000B0FD6" w:rsidP="000B0FD6">
      <w:pPr>
        <w:pStyle w:val="RAN4H2"/>
      </w:pPr>
      <w:r>
        <w:rPr>
          <w:rFonts w:eastAsia="Calibri"/>
          <w:lang w:val="en-GB"/>
        </w:rPr>
        <w:t>TCI details for SCell activation in FR2</w:t>
      </w:r>
    </w:p>
    <w:p w14:paraId="0F042587" w14:textId="727B9E6B" w:rsidR="00945A35" w:rsidRDefault="007F3BB6" w:rsidP="00945A35">
      <w:pPr>
        <w:ind w:right="-22"/>
        <w:rPr>
          <w:rFonts w:eastAsia="Calibri" w:cs="Times New Roman"/>
          <w:szCs w:val="20"/>
          <w:lang w:val="en-GB"/>
        </w:rPr>
      </w:pPr>
      <w:r w:rsidRPr="000B0FD6">
        <w:rPr>
          <w:rFonts w:eastAsia="Calibri" w:cs="Times New Roman"/>
          <w:szCs w:val="20"/>
          <w:lang w:val="en-GB"/>
        </w:rPr>
        <w:t xml:space="preserve">For this case the question to be discussed was related to the fact that the UE </w:t>
      </w:r>
      <w:r w:rsidR="000B0FD6" w:rsidRPr="000B0FD6">
        <w:rPr>
          <w:rFonts w:eastAsia="Calibri" w:cs="Times New Roman"/>
          <w:szCs w:val="20"/>
          <w:lang w:val="en-GB"/>
        </w:rPr>
        <w:t xml:space="preserve">can be configured </w:t>
      </w:r>
      <w:r w:rsidR="000B0FD6">
        <w:rPr>
          <w:rFonts w:eastAsia="Calibri" w:cs="Times New Roman"/>
          <w:szCs w:val="20"/>
          <w:lang w:val="en-GB"/>
        </w:rPr>
        <w:t xml:space="preserve">with multiple TCI states </w:t>
      </w:r>
      <w:r w:rsidR="006C6B24">
        <w:rPr>
          <w:rFonts w:eastAsia="Calibri" w:cs="Times New Roman"/>
          <w:szCs w:val="20"/>
          <w:lang w:val="en-GB"/>
        </w:rPr>
        <w:t xml:space="preserve">and the SCell </w:t>
      </w:r>
      <w:r w:rsidR="008A138C">
        <w:rPr>
          <w:rFonts w:eastAsia="Calibri" w:cs="Times New Roman"/>
          <w:szCs w:val="20"/>
          <w:lang w:val="en-GB"/>
        </w:rPr>
        <w:t>being present in a band without PCell/</w:t>
      </w:r>
      <w:proofErr w:type="spellStart"/>
      <w:r w:rsidR="008A138C">
        <w:rPr>
          <w:rFonts w:eastAsia="Calibri" w:cs="Times New Roman"/>
          <w:szCs w:val="20"/>
          <w:lang w:val="en-GB"/>
        </w:rPr>
        <w:t>PSCell</w:t>
      </w:r>
      <w:proofErr w:type="spellEnd"/>
      <w:r w:rsidR="008A138C">
        <w:rPr>
          <w:rFonts w:eastAsia="Calibri" w:cs="Times New Roman"/>
          <w:szCs w:val="20"/>
          <w:lang w:val="en-GB"/>
        </w:rPr>
        <w:t xml:space="preserve"> is being activated as first cell.</w:t>
      </w:r>
    </w:p>
    <w:p w14:paraId="4C9311F0" w14:textId="5A6670E9" w:rsidR="008A138C" w:rsidRDefault="008A138C" w:rsidP="00945A35">
      <w:pPr>
        <w:ind w:right="-22"/>
        <w:rPr>
          <w:rFonts w:eastAsia="Calibri" w:cs="Times New Roman"/>
          <w:szCs w:val="20"/>
          <w:lang w:val="en-GB"/>
        </w:rPr>
      </w:pPr>
      <w:r>
        <w:rPr>
          <w:rFonts w:eastAsia="Calibri" w:cs="Times New Roman"/>
          <w:szCs w:val="20"/>
          <w:lang w:val="en-GB"/>
        </w:rPr>
        <w:t>For this case RAN4 should consider the discussions carried out when discussing the number of cells and SSBs the UE should be able to measure. During this discussion it became clear that in Rel-15 the UE is only capable of receiving in one ‘direction’ at a time. Similar would then still need to be accounted in the discussion.</w:t>
      </w:r>
    </w:p>
    <w:p w14:paraId="0B7961F7" w14:textId="0971B647" w:rsidR="008A138C" w:rsidRDefault="008A138C" w:rsidP="00945A35">
      <w:pPr>
        <w:ind w:right="-22"/>
        <w:rPr>
          <w:rFonts w:eastAsia="Calibri" w:cs="Times New Roman"/>
          <w:szCs w:val="20"/>
          <w:lang w:val="en-GB"/>
        </w:rPr>
      </w:pPr>
      <w:r>
        <w:rPr>
          <w:rFonts w:eastAsia="Calibri" w:cs="Times New Roman"/>
          <w:szCs w:val="20"/>
          <w:lang w:val="en-GB"/>
        </w:rPr>
        <w:t xml:space="preserve">Additionally, RAN4 would need to look at the SCell activation delays discussion and </w:t>
      </w:r>
      <w:r w:rsidR="00B10A05">
        <w:rPr>
          <w:rFonts w:eastAsia="Calibri" w:cs="Times New Roman"/>
          <w:szCs w:val="20"/>
          <w:lang w:val="en-GB"/>
        </w:rPr>
        <w:t>which delays are considered for that.</w:t>
      </w:r>
    </w:p>
    <w:p w14:paraId="6A6A68D4" w14:textId="469DBFB0" w:rsidR="00B10A05" w:rsidRDefault="00B10A05" w:rsidP="00945A35">
      <w:pPr>
        <w:ind w:right="-22"/>
        <w:rPr>
          <w:rFonts w:eastAsia="Calibri" w:cs="Times New Roman"/>
          <w:szCs w:val="20"/>
          <w:lang w:val="en-GB"/>
        </w:rPr>
      </w:pPr>
      <w:r>
        <w:rPr>
          <w:rFonts w:eastAsia="Calibri" w:cs="Times New Roman"/>
          <w:szCs w:val="20"/>
          <w:lang w:val="en-GB"/>
        </w:rPr>
        <w:t>Basically, the SCell configuration will include one or more BWP including a default BWP</w:t>
      </w:r>
      <w:r w:rsidR="00823B2A">
        <w:rPr>
          <w:rFonts w:eastAsia="Calibri" w:cs="Times New Roman"/>
          <w:szCs w:val="20"/>
          <w:lang w:val="en-GB"/>
        </w:rPr>
        <w:t xml:space="preserve"> in the</w:t>
      </w:r>
      <w:r>
        <w:rPr>
          <w:rFonts w:eastAsia="Calibri" w:cs="Times New Roman"/>
          <w:szCs w:val="20"/>
          <w:lang w:val="en-GB"/>
        </w:rPr>
        <w:t xml:space="preserve"> </w:t>
      </w:r>
      <w:r w:rsidR="00823B2A" w:rsidRPr="00823B2A">
        <w:rPr>
          <w:rFonts w:eastAsia="Calibri" w:cs="Times New Roman"/>
          <w:szCs w:val="20"/>
          <w:lang w:val="en-GB"/>
        </w:rPr>
        <w:t>initial downlink BWP common configuration</w:t>
      </w:r>
      <w:r w:rsidR="00823B2A">
        <w:rPr>
          <w:rFonts w:eastAsia="Calibri" w:cs="Times New Roman"/>
          <w:szCs w:val="20"/>
          <w:lang w:val="en-GB"/>
        </w:rPr>
        <w:t xml:space="preserve"> (</w:t>
      </w:r>
      <w:proofErr w:type="spellStart"/>
      <w:r w:rsidR="00823B2A" w:rsidRPr="00823B2A">
        <w:rPr>
          <w:rFonts w:eastAsia="Calibri" w:cs="Times New Roman"/>
          <w:i/>
          <w:szCs w:val="20"/>
          <w:lang w:val="en-GB"/>
        </w:rPr>
        <w:t>downlinkConfigCommon</w:t>
      </w:r>
      <w:proofErr w:type="spellEnd"/>
      <w:r w:rsidR="00823B2A">
        <w:rPr>
          <w:rFonts w:eastAsia="Calibri" w:cs="Times New Roman"/>
          <w:szCs w:val="20"/>
          <w:lang w:val="en-GB"/>
        </w:rPr>
        <w:t xml:space="preserve">) which is </w:t>
      </w:r>
      <w:r>
        <w:rPr>
          <w:rFonts w:eastAsia="Calibri" w:cs="Times New Roman"/>
          <w:szCs w:val="20"/>
          <w:lang w:val="en-GB"/>
        </w:rPr>
        <w:t>used when the SCell is being activated.</w:t>
      </w:r>
      <w:r w:rsidR="00CA1869">
        <w:rPr>
          <w:rFonts w:eastAsia="Calibri" w:cs="Times New Roman"/>
          <w:szCs w:val="20"/>
          <w:lang w:val="en-GB"/>
        </w:rPr>
        <w:t xml:space="preserve"> If this is the initial SCell in the band the SCell would need to broadcast SSB, which would have been detected and reported by the UE – unless we’re discussing blind SCell activation.</w:t>
      </w:r>
    </w:p>
    <w:p w14:paraId="5FDA3EBC" w14:textId="4A284FA2" w:rsidR="00CA1869" w:rsidRDefault="00CA1869" w:rsidP="00945A35">
      <w:pPr>
        <w:ind w:right="-22"/>
        <w:rPr>
          <w:rFonts w:eastAsia="Calibri" w:cs="Times New Roman"/>
          <w:szCs w:val="20"/>
          <w:lang w:val="en-GB"/>
        </w:rPr>
      </w:pPr>
      <w:r>
        <w:rPr>
          <w:rFonts w:eastAsia="Calibri" w:cs="Times New Roman"/>
          <w:szCs w:val="20"/>
          <w:lang w:val="en-GB"/>
        </w:rPr>
        <w:t>Based on the SSB and BWP the UE would possibly also be configured with CSI-RS linked to the BWP. In the end the three open issues in the WF:</w:t>
      </w:r>
    </w:p>
    <w:p w14:paraId="57BEE7E0" w14:textId="77777777" w:rsidR="00E718E4" w:rsidRPr="00CA1869" w:rsidRDefault="00823B2A" w:rsidP="00CA1869">
      <w:pPr>
        <w:numPr>
          <w:ilvl w:val="0"/>
          <w:numId w:val="22"/>
        </w:numPr>
        <w:ind w:right="-22"/>
        <w:rPr>
          <w:rFonts w:eastAsia="Calibri" w:cs="Times New Roman"/>
          <w:szCs w:val="20"/>
          <w:lang w:val="en-GB"/>
        </w:rPr>
      </w:pPr>
      <w:r w:rsidRPr="00CA1869">
        <w:rPr>
          <w:rFonts w:eastAsia="Calibri" w:cs="Times New Roman"/>
          <w:szCs w:val="20"/>
        </w:rPr>
        <w:t>Procedure for down selecting to one active TCI state and spatial relation</w:t>
      </w:r>
    </w:p>
    <w:p w14:paraId="51D26786" w14:textId="77777777" w:rsidR="00E718E4" w:rsidRPr="00CA1869" w:rsidRDefault="00823B2A" w:rsidP="00CA1869">
      <w:pPr>
        <w:numPr>
          <w:ilvl w:val="0"/>
          <w:numId w:val="22"/>
        </w:numPr>
        <w:ind w:right="-22"/>
        <w:rPr>
          <w:rFonts w:eastAsia="Calibri" w:cs="Times New Roman"/>
          <w:szCs w:val="20"/>
          <w:lang w:val="en-GB"/>
        </w:rPr>
      </w:pPr>
      <w:r w:rsidRPr="00CA1869">
        <w:rPr>
          <w:rFonts w:eastAsia="Calibri" w:cs="Times New Roman"/>
          <w:szCs w:val="20"/>
        </w:rPr>
        <w:t xml:space="preserve">Order of procedure between </w:t>
      </w:r>
      <w:proofErr w:type="spellStart"/>
      <w:r w:rsidRPr="00CA1869">
        <w:rPr>
          <w:rFonts w:eastAsia="Calibri" w:cs="Times New Roman"/>
          <w:szCs w:val="20"/>
        </w:rPr>
        <w:t>Scell</w:t>
      </w:r>
      <w:proofErr w:type="spellEnd"/>
      <w:r w:rsidRPr="00CA1869">
        <w:rPr>
          <w:rFonts w:eastAsia="Calibri" w:cs="Times New Roman"/>
          <w:szCs w:val="20"/>
        </w:rPr>
        <w:t xml:space="preserve"> activation and TCI (spatial relation) selection</w:t>
      </w:r>
    </w:p>
    <w:p w14:paraId="0FDA4FC8" w14:textId="77777777" w:rsidR="00E718E4" w:rsidRPr="00CA1869" w:rsidRDefault="00823B2A" w:rsidP="00CA1869">
      <w:pPr>
        <w:numPr>
          <w:ilvl w:val="0"/>
          <w:numId w:val="22"/>
        </w:numPr>
        <w:ind w:right="-22"/>
        <w:rPr>
          <w:rFonts w:eastAsia="Calibri" w:cs="Times New Roman"/>
          <w:szCs w:val="20"/>
          <w:lang w:val="en-GB"/>
        </w:rPr>
      </w:pPr>
      <w:r w:rsidRPr="00CA1869">
        <w:rPr>
          <w:rFonts w:eastAsia="Calibri" w:cs="Times New Roman"/>
          <w:szCs w:val="20"/>
        </w:rPr>
        <w:t>Total delay required for all these procedures</w:t>
      </w:r>
    </w:p>
    <w:p w14:paraId="47BB5D67" w14:textId="1CF8DA6D" w:rsidR="00CA1869" w:rsidRDefault="00CA1869" w:rsidP="00945A35">
      <w:pPr>
        <w:ind w:right="-22"/>
        <w:rPr>
          <w:rFonts w:eastAsia="Calibri" w:cs="Times New Roman"/>
          <w:szCs w:val="20"/>
          <w:lang w:val="en-GB"/>
        </w:rPr>
      </w:pPr>
      <w:r>
        <w:rPr>
          <w:rFonts w:eastAsia="Calibri" w:cs="Times New Roman"/>
          <w:szCs w:val="20"/>
          <w:lang w:val="en-GB"/>
        </w:rPr>
        <w:t xml:space="preserve">Are closely related to beam management procedures. E.g. one could assume that the initial BWP on the SCell would be using the SSB as reference. If any further detailed beam refinement is needed, this would be done based on network configuration </w:t>
      </w:r>
      <w:r w:rsidR="00823B2A">
        <w:rPr>
          <w:rFonts w:eastAsia="Calibri" w:cs="Times New Roman"/>
          <w:szCs w:val="20"/>
          <w:lang w:val="en-GB"/>
        </w:rPr>
        <w:t xml:space="preserve">of the SCell </w:t>
      </w:r>
      <w:r>
        <w:rPr>
          <w:rFonts w:eastAsia="Calibri" w:cs="Times New Roman"/>
          <w:szCs w:val="20"/>
          <w:lang w:val="en-GB"/>
        </w:rPr>
        <w:t>and L1-RSRP reporting from the UE</w:t>
      </w:r>
      <w:r w:rsidR="00823B2A">
        <w:rPr>
          <w:rFonts w:eastAsia="Calibri" w:cs="Times New Roman"/>
          <w:szCs w:val="20"/>
          <w:lang w:val="en-GB"/>
        </w:rPr>
        <w:t xml:space="preserve"> (covered by beam management procedures)</w:t>
      </w:r>
      <w:r>
        <w:rPr>
          <w:rFonts w:eastAsia="Calibri" w:cs="Times New Roman"/>
          <w:szCs w:val="20"/>
          <w:lang w:val="en-GB"/>
        </w:rPr>
        <w:t xml:space="preserve">. The delays related to these procedures would be defined </w:t>
      </w:r>
      <w:r w:rsidR="00823B2A">
        <w:rPr>
          <w:rFonts w:eastAsia="Calibri" w:cs="Times New Roman"/>
          <w:szCs w:val="20"/>
          <w:lang w:val="en-GB"/>
        </w:rPr>
        <w:t>u</w:t>
      </w:r>
      <w:r>
        <w:rPr>
          <w:rFonts w:eastAsia="Calibri" w:cs="Times New Roman"/>
          <w:szCs w:val="20"/>
          <w:lang w:val="en-GB"/>
        </w:rPr>
        <w:t xml:space="preserve">nder those </w:t>
      </w:r>
      <w:r w:rsidR="00823B2A">
        <w:rPr>
          <w:rFonts w:eastAsia="Calibri" w:cs="Times New Roman"/>
          <w:szCs w:val="20"/>
          <w:lang w:val="en-GB"/>
        </w:rPr>
        <w:t xml:space="preserve">relevant </w:t>
      </w:r>
      <w:r>
        <w:rPr>
          <w:rFonts w:eastAsia="Calibri" w:cs="Times New Roman"/>
          <w:szCs w:val="20"/>
          <w:lang w:val="en-GB"/>
        </w:rPr>
        <w:t>procedures.</w:t>
      </w:r>
    </w:p>
    <w:p w14:paraId="520C46A0" w14:textId="1BD6250E" w:rsidR="00CA1869" w:rsidRDefault="00CA1869" w:rsidP="00945A35">
      <w:pPr>
        <w:ind w:right="-22"/>
        <w:rPr>
          <w:rFonts w:eastAsia="Calibri" w:cs="Times New Roman"/>
          <w:szCs w:val="20"/>
          <w:lang w:val="en-GB"/>
        </w:rPr>
      </w:pPr>
      <w:r>
        <w:rPr>
          <w:rFonts w:eastAsia="Calibri" w:cs="Times New Roman"/>
          <w:szCs w:val="20"/>
          <w:lang w:val="en-GB"/>
        </w:rPr>
        <w:t>For the SCell activation the initial delay which is defined in RAN4 should be related to the default BWP configured for the SCell in SCell configuration. And this delay should be defined under SCell activation delay section.</w:t>
      </w:r>
    </w:p>
    <w:p w14:paraId="546ABD8E" w14:textId="1DF6D3DE" w:rsidR="00B50310" w:rsidRDefault="00B50310" w:rsidP="00CA1869">
      <w:pPr>
        <w:pStyle w:val="RAN4proposal"/>
      </w:pPr>
      <w:r>
        <w:t>RAN4 defines generic requirement for SCell activation delay.</w:t>
      </w:r>
    </w:p>
    <w:p w14:paraId="6EEE7ABC" w14:textId="5FA13CC3" w:rsidR="00CA1869" w:rsidRDefault="00B50310" w:rsidP="00CA1869">
      <w:pPr>
        <w:pStyle w:val="RAN4proposal"/>
      </w:pPr>
      <w:r>
        <w:t xml:space="preserve">SCell activation delay for an initial SCell in a band (without other serving cells) is defined based on the </w:t>
      </w:r>
      <w:r w:rsidR="00823B2A">
        <w:t>initial</w:t>
      </w:r>
      <w:r>
        <w:t xml:space="preserve"> BWP </w:t>
      </w:r>
      <w:r w:rsidR="00823B2A">
        <w:t>(</w:t>
      </w:r>
      <w:proofErr w:type="spellStart"/>
      <w:r w:rsidR="00823B2A">
        <w:t>downlinkCommonConfig</w:t>
      </w:r>
      <w:proofErr w:type="spellEnd"/>
      <w:r w:rsidR="00823B2A">
        <w:t xml:space="preserve">) </w:t>
      </w:r>
      <w:r>
        <w:t>of the SCell</w:t>
      </w:r>
      <w:r w:rsidR="00CA1869" w:rsidRPr="0008612A">
        <w:t>.</w:t>
      </w:r>
    </w:p>
    <w:p w14:paraId="6229BBC3" w14:textId="77777777" w:rsidR="002C2D19" w:rsidRDefault="002C2D19" w:rsidP="003B659E">
      <w:pPr>
        <w:ind w:right="-22"/>
        <w:rPr>
          <w:rFonts w:cs="Times New Roman"/>
        </w:rPr>
      </w:pPr>
    </w:p>
    <w:p w14:paraId="761516E1" w14:textId="3D552109" w:rsidR="00CD7492" w:rsidRDefault="00CD7492" w:rsidP="00A37002">
      <w:pPr>
        <w:pStyle w:val="RAN4H1"/>
      </w:pPr>
      <w:r w:rsidRPr="00A37002">
        <w:t>Conclusion</w:t>
      </w:r>
    </w:p>
    <w:p w14:paraId="05E13C40" w14:textId="56A7095E" w:rsidR="00E6775A" w:rsidRDefault="00E6775A" w:rsidP="00E6775A">
      <w:pPr>
        <w:rPr>
          <w:rFonts w:eastAsia="Calibri" w:cs="Times New Roman"/>
          <w:szCs w:val="20"/>
          <w:lang w:val="en-GB"/>
        </w:rPr>
      </w:pPr>
      <w:r>
        <w:rPr>
          <w:rFonts w:eastAsia="Calibri" w:cs="Times New Roman"/>
          <w:szCs w:val="20"/>
          <w:lang w:val="en-GB"/>
        </w:rPr>
        <w:t>In this paper we discuss</w:t>
      </w:r>
      <w:r>
        <w:rPr>
          <w:rFonts w:eastAsia="Calibri" w:cs="Times New Roman"/>
          <w:szCs w:val="20"/>
          <w:lang w:val="en-GB"/>
        </w:rPr>
        <w:t xml:space="preserve">ed </w:t>
      </w:r>
      <w:r>
        <w:rPr>
          <w:rFonts w:eastAsia="Calibri" w:cs="Times New Roman"/>
          <w:szCs w:val="20"/>
          <w:lang w:val="en-GB"/>
        </w:rPr>
        <w:t xml:space="preserve">TCI state and switching delay as well as TCI state details for </w:t>
      </w:r>
      <w:proofErr w:type="spellStart"/>
      <w:r>
        <w:rPr>
          <w:rFonts w:eastAsia="Calibri" w:cs="Times New Roman"/>
          <w:szCs w:val="20"/>
          <w:lang w:val="en-GB"/>
        </w:rPr>
        <w:t>SCells</w:t>
      </w:r>
      <w:proofErr w:type="spellEnd"/>
      <w:r>
        <w:rPr>
          <w:rFonts w:eastAsia="Calibri" w:cs="Times New Roman"/>
          <w:szCs w:val="20"/>
          <w:lang w:val="en-GB"/>
        </w:rPr>
        <w:t xml:space="preserve"> upon activation</w:t>
      </w:r>
      <w:r>
        <w:rPr>
          <w:rFonts w:eastAsia="Calibri" w:cs="Times New Roman"/>
          <w:szCs w:val="20"/>
          <w:lang w:val="en-GB"/>
        </w:rPr>
        <w:t>. Based on the discussion:</w:t>
      </w:r>
    </w:p>
    <w:p w14:paraId="198D383C" w14:textId="77777777" w:rsidR="00E6775A" w:rsidRDefault="00E6775A" w:rsidP="00E6775A">
      <w:pPr>
        <w:pStyle w:val="RAN4proposal"/>
        <w:numPr>
          <w:ilvl w:val="0"/>
          <w:numId w:val="23"/>
        </w:numPr>
      </w:pPr>
      <w:r>
        <w:t>Use defined RAN1 delay as baseline for defining RAN4 TCI switch delay requirements</w:t>
      </w:r>
      <w:r w:rsidRPr="0008612A">
        <w:t>.</w:t>
      </w:r>
    </w:p>
    <w:p w14:paraId="2FBB2224" w14:textId="77777777" w:rsidR="00E6775A" w:rsidRDefault="00E6775A" w:rsidP="00E6775A">
      <w:pPr>
        <w:pStyle w:val="RAN4proposal"/>
        <w:numPr>
          <w:ilvl w:val="0"/>
          <w:numId w:val="23"/>
        </w:numPr>
      </w:pPr>
      <w:r>
        <w:t>RAN4 defines generic requirement for SCell activation delay.</w:t>
      </w:r>
    </w:p>
    <w:p w14:paraId="0F12B489" w14:textId="41AC21FF" w:rsidR="00E6775A" w:rsidRDefault="00E6775A" w:rsidP="00E6775A">
      <w:pPr>
        <w:pStyle w:val="RAN4proposal"/>
        <w:numPr>
          <w:ilvl w:val="0"/>
          <w:numId w:val="23"/>
        </w:numPr>
      </w:pPr>
      <w:r>
        <w:lastRenderedPageBreak/>
        <w:t>SCell activation delay for an initial SCell in a band (without other serving cells) is defined based on the initial BWP (</w:t>
      </w:r>
      <w:proofErr w:type="spellStart"/>
      <w:r>
        <w:t>downlinkCommonConfig</w:t>
      </w:r>
      <w:proofErr w:type="spellEnd"/>
      <w:r>
        <w:t>) of the SCell</w:t>
      </w:r>
      <w:r w:rsidRPr="0008612A">
        <w:t>.</w:t>
      </w:r>
    </w:p>
    <w:p w14:paraId="03A106D0" w14:textId="39D563E8" w:rsidR="00E6775A" w:rsidRPr="00E6775A" w:rsidRDefault="00E6775A" w:rsidP="00E6775A">
      <w:r>
        <w:t>Once the baseline principles are agreed in RAN4, RAN4 can start to work on possible requirements.</w:t>
      </w:r>
    </w:p>
    <w:p w14:paraId="3DAFBD41" w14:textId="77777777" w:rsidR="003B659E" w:rsidRPr="0095295C" w:rsidRDefault="003B659E" w:rsidP="0008612A">
      <w:pPr>
        <w:pStyle w:val="RAN4H1"/>
      </w:pPr>
      <w:r w:rsidRPr="0095295C">
        <w:t>References</w:t>
      </w:r>
    </w:p>
    <w:p w14:paraId="19FC2F12" w14:textId="3BBF8A6F" w:rsidR="003B659E" w:rsidRPr="00E6775A" w:rsidRDefault="00E6775A" w:rsidP="003B659E">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E6775A">
        <w:rPr>
          <w:rFonts w:eastAsia="Calibri" w:cs="Times New Roman"/>
          <w:szCs w:val="20"/>
        </w:rPr>
        <w:t>R4-1816678</w:t>
      </w:r>
      <w:r w:rsidR="003B659E" w:rsidRPr="00E6775A">
        <w:rPr>
          <w:rFonts w:eastAsia="Times New Roman" w:cs="Times New Roman"/>
          <w:szCs w:val="20"/>
          <w:lang w:val="en-GB"/>
        </w:rPr>
        <w:t xml:space="preserve">, </w:t>
      </w:r>
      <w:r w:rsidRPr="00E6775A">
        <w:rPr>
          <w:rFonts w:eastAsia="Times New Roman" w:cs="Times New Roman"/>
          <w:bCs/>
          <w:szCs w:val="20"/>
        </w:rPr>
        <w:t>WF on delay for TCI state switch and SCell activation with multiple TCI states</w:t>
      </w:r>
      <w:r w:rsidR="003B659E" w:rsidRPr="00E6775A">
        <w:rPr>
          <w:rFonts w:eastAsia="Times New Roman" w:cs="Times New Roman"/>
          <w:szCs w:val="20"/>
          <w:lang w:val="en-GB"/>
        </w:rPr>
        <w:t xml:space="preserve">, </w:t>
      </w:r>
      <w:r w:rsidRPr="00E6775A">
        <w:rPr>
          <w:rFonts w:eastAsia="Times New Roman" w:cs="Times New Roman"/>
          <w:szCs w:val="20"/>
          <w:lang w:val="en-GB"/>
        </w:rPr>
        <w:t>Qualcomm</w:t>
      </w:r>
      <w:r w:rsidR="003B659E" w:rsidRPr="00E6775A" w:rsidDel="00C651B9">
        <w:rPr>
          <w:rFonts w:eastAsia="Times New Roman" w:cs="Times New Roman"/>
          <w:szCs w:val="20"/>
          <w:lang w:val="en-GB"/>
        </w:rPr>
        <w:t xml:space="preserve"> </w:t>
      </w:r>
      <w:bookmarkEnd w:id="5"/>
    </w:p>
    <w:p w14:paraId="7AA691D0" w14:textId="77777777" w:rsidR="003B659E" w:rsidRDefault="003B659E" w:rsidP="00841BCD">
      <w:pPr>
        <w:ind w:right="-22"/>
        <w:rPr>
          <w:lang w:val="en-GB"/>
        </w:rPr>
      </w:pPr>
    </w:p>
    <w:p w14:paraId="6334D551" w14:textId="77777777" w:rsidR="00504EE9" w:rsidRDefault="00504EE9" w:rsidP="00841BCD">
      <w:pPr>
        <w:ind w:right="-22"/>
        <w:rPr>
          <w:lang w:val="en-GB"/>
        </w:rPr>
      </w:pPr>
    </w:p>
    <w:p w14:paraId="7BF34BA9"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F44401" w14:textId="77777777" w:rsidR="00EF2A70" w:rsidRDefault="00EF2A70" w:rsidP="00001C9B">
      <w:pPr>
        <w:spacing w:after="0" w:line="240" w:lineRule="auto"/>
      </w:pPr>
      <w:r>
        <w:separator/>
      </w:r>
    </w:p>
  </w:endnote>
  <w:endnote w:type="continuationSeparator" w:id="0">
    <w:p w14:paraId="32E19914" w14:textId="77777777" w:rsidR="00EF2A70" w:rsidRDefault="00EF2A70"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A97FE" w14:textId="77777777" w:rsidR="00EF2A70" w:rsidRDefault="00EF2A70" w:rsidP="00001C9B">
      <w:pPr>
        <w:spacing w:after="0" w:line="240" w:lineRule="auto"/>
      </w:pPr>
      <w:r>
        <w:separator/>
      </w:r>
    </w:p>
  </w:footnote>
  <w:footnote w:type="continuationSeparator" w:id="0">
    <w:p w14:paraId="0E95C005" w14:textId="77777777" w:rsidR="00EF2A70" w:rsidRDefault="00EF2A70"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E2290D"/>
    <w:multiLevelType w:val="hybridMultilevel"/>
    <w:tmpl w:val="2F727E48"/>
    <w:lvl w:ilvl="0" w:tplc="65445FDE">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6B8D5147"/>
    <w:multiLevelType w:val="hybridMultilevel"/>
    <w:tmpl w:val="BD7E38C8"/>
    <w:lvl w:ilvl="0" w:tplc="AADAE47A">
      <w:start w:val="1"/>
      <w:numFmt w:val="bullet"/>
      <w:lvlText w:val="•"/>
      <w:lvlJc w:val="left"/>
      <w:pPr>
        <w:tabs>
          <w:tab w:val="num" w:pos="720"/>
        </w:tabs>
        <w:ind w:left="720" w:hanging="360"/>
      </w:pPr>
      <w:rPr>
        <w:rFonts w:ascii="Arial" w:hAnsi="Arial" w:hint="default"/>
      </w:rPr>
    </w:lvl>
    <w:lvl w:ilvl="1" w:tplc="DC5E7DBC">
      <w:start w:val="1"/>
      <w:numFmt w:val="bullet"/>
      <w:lvlText w:val="•"/>
      <w:lvlJc w:val="left"/>
      <w:pPr>
        <w:tabs>
          <w:tab w:val="num" w:pos="1440"/>
        </w:tabs>
        <w:ind w:left="1440" w:hanging="360"/>
      </w:pPr>
      <w:rPr>
        <w:rFonts w:ascii="Arial" w:hAnsi="Arial" w:hint="default"/>
      </w:rPr>
    </w:lvl>
    <w:lvl w:ilvl="2" w:tplc="FD508E4E">
      <w:start w:val="1"/>
      <w:numFmt w:val="bullet"/>
      <w:lvlText w:val="•"/>
      <w:lvlJc w:val="left"/>
      <w:pPr>
        <w:tabs>
          <w:tab w:val="num" w:pos="2160"/>
        </w:tabs>
        <w:ind w:left="2160" w:hanging="360"/>
      </w:pPr>
      <w:rPr>
        <w:rFonts w:ascii="Arial" w:hAnsi="Arial" w:hint="default"/>
      </w:rPr>
    </w:lvl>
    <w:lvl w:ilvl="3" w:tplc="D5825AAE" w:tentative="1">
      <w:start w:val="1"/>
      <w:numFmt w:val="bullet"/>
      <w:lvlText w:val="•"/>
      <w:lvlJc w:val="left"/>
      <w:pPr>
        <w:tabs>
          <w:tab w:val="num" w:pos="2880"/>
        </w:tabs>
        <w:ind w:left="2880" w:hanging="360"/>
      </w:pPr>
      <w:rPr>
        <w:rFonts w:ascii="Arial" w:hAnsi="Arial" w:hint="default"/>
      </w:rPr>
    </w:lvl>
    <w:lvl w:ilvl="4" w:tplc="41527A82" w:tentative="1">
      <w:start w:val="1"/>
      <w:numFmt w:val="bullet"/>
      <w:lvlText w:val="•"/>
      <w:lvlJc w:val="left"/>
      <w:pPr>
        <w:tabs>
          <w:tab w:val="num" w:pos="3600"/>
        </w:tabs>
        <w:ind w:left="3600" w:hanging="360"/>
      </w:pPr>
      <w:rPr>
        <w:rFonts w:ascii="Arial" w:hAnsi="Arial" w:hint="default"/>
      </w:rPr>
    </w:lvl>
    <w:lvl w:ilvl="5" w:tplc="3258A940" w:tentative="1">
      <w:start w:val="1"/>
      <w:numFmt w:val="bullet"/>
      <w:lvlText w:val="•"/>
      <w:lvlJc w:val="left"/>
      <w:pPr>
        <w:tabs>
          <w:tab w:val="num" w:pos="4320"/>
        </w:tabs>
        <w:ind w:left="4320" w:hanging="360"/>
      </w:pPr>
      <w:rPr>
        <w:rFonts w:ascii="Arial" w:hAnsi="Arial" w:hint="default"/>
      </w:rPr>
    </w:lvl>
    <w:lvl w:ilvl="6" w:tplc="A5ECE51E" w:tentative="1">
      <w:start w:val="1"/>
      <w:numFmt w:val="bullet"/>
      <w:lvlText w:val="•"/>
      <w:lvlJc w:val="left"/>
      <w:pPr>
        <w:tabs>
          <w:tab w:val="num" w:pos="5040"/>
        </w:tabs>
        <w:ind w:left="5040" w:hanging="360"/>
      </w:pPr>
      <w:rPr>
        <w:rFonts w:ascii="Arial" w:hAnsi="Arial" w:hint="default"/>
      </w:rPr>
    </w:lvl>
    <w:lvl w:ilvl="7" w:tplc="366ADDEE" w:tentative="1">
      <w:start w:val="1"/>
      <w:numFmt w:val="bullet"/>
      <w:lvlText w:val="•"/>
      <w:lvlJc w:val="left"/>
      <w:pPr>
        <w:tabs>
          <w:tab w:val="num" w:pos="5760"/>
        </w:tabs>
        <w:ind w:left="5760" w:hanging="360"/>
      </w:pPr>
      <w:rPr>
        <w:rFonts w:ascii="Arial" w:hAnsi="Arial" w:hint="default"/>
      </w:rPr>
    </w:lvl>
    <w:lvl w:ilvl="8" w:tplc="7AC8E86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4"/>
  </w:num>
  <w:num w:numId="3">
    <w:abstractNumId w:val="8"/>
  </w:num>
  <w:num w:numId="4">
    <w:abstractNumId w:val="2"/>
  </w:num>
  <w:num w:numId="5">
    <w:abstractNumId w:val="10"/>
  </w:num>
  <w:num w:numId="6">
    <w:abstractNumId w:val="6"/>
  </w:num>
  <w:num w:numId="7">
    <w:abstractNumId w:val="7"/>
  </w:num>
  <w:num w:numId="8">
    <w:abstractNumId w:val="7"/>
    <w:lvlOverride w:ilvl="0">
      <w:startOverride w:val="1"/>
    </w:lvlOverride>
  </w:num>
  <w:num w:numId="9">
    <w:abstractNumId w:val="7"/>
    <w:lvlOverride w:ilvl="0">
      <w:startOverride w:val="1"/>
    </w:lvlOverride>
  </w:num>
  <w:num w:numId="10">
    <w:abstractNumId w:val="7"/>
    <w:lvlOverride w:ilvl="0">
      <w:startOverride w:val="1"/>
    </w:lvlOverride>
  </w:num>
  <w:num w:numId="11">
    <w:abstractNumId w:val="6"/>
    <w:lvlOverride w:ilvl="0">
      <w:startOverride w:val="1"/>
    </w:lvlOverride>
  </w:num>
  <w:num w:numId="12">
    <w:abstractNumId w:val="7"/>
    <w:lvlOverride w:ilvl="0">
      <w:startOverride w:val="1"/>
    </w:lvlOverride>
  </w:num>
  <w:num w:numId="13">
    <w:abstractNumId w:val="6"/>
    <w:lvlOverride w:ilvl="0">
      <w:startOverride w:val="1"/>
    </w:lvlOverride>
  </w:num>
  <w:num w:numId="14">
    <w:abstractNumId w:val="7"/>
    <w:lvlOverride w:ilvl="0">
      <w:startOverride w:val="1"/>
    </w:lvlOverride>
  </w:num>
  <w:num w:numId="15">
    <w:abstractNumId w:val="12"/>
  </w:num>
  <w:num w:numId="16">
    <w:abstractNumId w:val="1"/>
  </w:num>
  <w:num w:numId="17">
    <w:abstractNumId w:val="9"/>
  </w:num>
  <w:num w:numId="18">
    <w:abstractNumId w:val="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3"/>
  </w:num>
  <w:num w:numId="22">
    <w:abstractNumId w:val="11"/>
  </w:num>
  <w:num w:numId="23">
    <w:abstractNumId w:val="7"/>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8612A"/>
    <w:rsid w:val="000B0056"/>
    <w:rsid w:val="000B0FD6"/>
    <w:rsid w:val="000E5325"/>
    <w:rsid w:val="00141C74"/>
    <w:rsid w:val="001745F8"/>
    <w:rsid w:val="00176671"/>
    <w:rsid w:val="001838CF"/>
    <w:rsid w:val="001C2F6D"/>
    <w:rsid w:val="001E30F6"/>
    <w:rsid w:val="00235F5C"/>
    <w:rsid w:val="00257C48"/>
    <w:rsid w:val="002B4922"/>
    <w:rsid w:val="002C2D19"/>
    <w:rsid w:val="002D10FA"/>
    <w:rsid w:val="002D4C55"/>
    <w:rsid w:val="003B659E"/>
    <w:rsid w:val="00417AA0"/>
    <w:rsid w:val="0043750A"/>
    <w:rsid w:val="004B7B4A"/>
    <w:rsid w:val="004E5E66"/>
    <w:rsid w:val="00503B4D"/>
    <w:rsid w:val="00504EE9"/>
    <w:rsid w:val="0054442C"/>
    <w:rsid w:val="00550285"/>
    <w:rsid w:val="005836F8"/>
    <w:rsid w:val="005918FA"/>
    <w:rsid w:val="005E61A8"/>
    <w:rsid w:val="005F6419"/>
    <w:rsid w:val="00617400"/>
    <w:rsid w:val="00664950"/>
    <w:rsid w:val="00683220"/>
    <w:rsid w:val="00687FA0"/>
    <w:rsid w:val="006B7010"/>
    <w:rsid w:val="006C6B24"/>
    <w:rsid w:val="007145FF"/>
    <w:rsid w:val="00751515"/>
    <w:rsid w:val="0075615A"/>
    <w:rsid w:val="00785232"/>
    <w:rsid w:val="007C3ED0"/>
    <w:rsid w:val="007F3BB6"/>
    <w:rsid w:val="00806A76"/>
    <w:rsid w:val="00811C9D"/>
    <w:rsid w:val="00816C80"/>
    <w:rsid w:val="00823B2A"/>
    <w:rsid w:val="00841BCD"/>
    <w:rsid w:val="008826C1"/>
    <w:rsid w:val="008A138C"/>
    <w:rsid w:val="009042BD"/>
    <w:rsid w:val="00945A35"/>
    <w:rsid w:val="00950BF8"/>
    <w:rsid w:val="00977E1D"/>
    <w:rsid w:val="009A3A0A"/>
    <w:rsid w:val="009B1398"/>
    <w:rsid w:val="00A22B78"/>
    <w:rsid w:val="00A25AE5"/>
    <w:rsid w:val="00A37002"/>
    <w:rsid w:val="00A97DB8"/>
    <w:rsid w:val="00AA1B0E"/>
    <w:rsid w:val="00AC5CA7"/>
    <w:rsid w:val="00AE56B1"/>
    <w:rsid w:val="00B10A05"/>
    <w:rsid w:val="00B25B29"/>
    <w:rsid w:val="00B50310"/>
    <w:rsid w:val="00B73862"/>
    <w:rsid w:val="00BA6E48"/>
    <w:rsid w:val="00BA724E"/>
    <w:rsid w:val="00BF2218"/>
    <w:rsid w:val="00BF6727"/>
    <w:rsid w:val="00CA1869"/>
    <w:rsid w:val="00CD7492"/>
    <w:rsid w:val="00CE3A6B"/>
    <w:rsid w:val="00D00211"/>
    <w:rsid w:val="00D06309"/>
    <w:rsid w:val="00D351EA"/>
    <w:rsid w:val="00D43403"/>
    <w:rsid w:val="00D62E71"/>
    <w:rsid w:val="00D740CA"/>
    <w:rsid w:val="00D85728"/>
    <w:rsid w:val="00DF2997"/>
    <w:rsid w:val="00E6775A"/>
    <w:rsid w:val="00E718E4"/>
    <w:rsid w:val="00EC7BC3"/>
    <w:rsid w:val="00ED7600"/>
    <w:rsid w:val="00EF2A70"/>
    <w:rsid w:val="00F1362C"/>
    <w:rsid w:val="00F824F5"/>
    <w:rsid w:val="00F8793A"/>
    <w:rsid w:val="00FC29B9"/>
    <w:rsid w:val="00FC6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389C8F8"/>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PlaceholderText">
    <w:name w:val="Placeholder Text"/>
    <w:basedOn w:val="DefaultParagraphFont"/>
    <w:uiPriority w:val="99"/>
    <w:semiHidden/>
    <w:rsid w:val="009B139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345550">
      <w:bodyDiv w:val="1"/>
      <w:marLeft w:val="0"/>
      <w:marRight w:val="0"/>
      <w:marTop w:val="0"/>
      <w:marBottom w:val="0"/>
      <w:divBdr>
        <w:top w:val="none" w:sz="0" w:space="0" w:color="auto"/>
        <w:left w:val="none" w:sz="0" w:space="0" w:color="auto"/>
        <w:bottom w:val="none" w:sz="0" w:space="0" w:color="auto"/>
        <w:right w:val="none" w:sz="0" w:space="0" w:color="auto"/>
      </w:divBdr>
      <w:divsChild>
        <w:div w:id="688680578">
          <w:marLeft w:val="1800"/>
          <w:marRight w:val="0"/>
          <w:marTop w:val="100"/>
          <w:marBottom w:val="0"/>
          <w:divBdr>
            <w:top w:val="none" w:sz="0" w:space="0" w:color="auto"/>
            <w:left w:val="none" w:sz="0" w:space="0" w:color="auto"/>
            <w:bottom w:val="none" w:sz="0" w:space="0" w:color="auto"/>
            <w:right w:val="none" w:sz="0" w:space="0" w:color="auto"/>
          </w:divBdr>
        </w:div>
        <w:div w:id="20714481">
          <w:marLeft w:val="1800"/>
          <w:marRight w:val="0"/>
          <w:marTop w:val="100"/>
          <w:marBottom w:val="0"/>
          <w:divBdr>
            <w:top w:val="none" w:sz="0" w:space="0" w:color="auto"/>
            <w:left w:val="none" w:sz="0" w:space="0" w:color="auto"/>
            <w:bottom w:val="none" w:sz="0" w:space="0" w:color="auto"/>
            <w:right w:val="none" w:sz="0" w:space="0" w:color="auto"/>
          </w:divBdr>
        </w:div>
        <w:div w:id="2028096461">
          <w:marLeft w:val="1800"/>
          <w:marRight w:val="0"/>
          <w:marTop w:val="100"/>
          <w:marBottom w:val="0"/>
          <w:divBdr>
            <w:top w:val="none" w:sz="0" w:space="0" w:color="auto"/>
            <w:left w:val="none" w:sz="0" w:space="0" w:color="auto"/>
            <w:bottom w:val="none" w:sz="0" w:space="0" w:color="auto"/>
            <w:right w:val="none" w:sz="0" w:space="0" w:color="auto"/>
          </w:divBdr>
        </w:div>
      </w:divsChild>
    </w:div>
    <w:div w:id="1703242078">
      <w:bodyDiv w:val="1"/>
      <w:marLeft w:val="0"/>
      <w:marRight w:val="0"/>
      <w:marTop w:val="0"/>
      <w:marBottom w:val="0"/>
      <w:divBdr>
        <w:top w:val="none" w:sz="0" w:space="0" w:color="auto"/>
        <w:left w:val="none" w:sz="0" w:space="0" w:color="auto"/>
        <w:bottom w:val="none" w:sz="0" w:space="0" w:color="auto"/>
        <w:right w:val="none" w:sz="0" w:space="0" w:color="auto"/>
      </w:divBdr>
      <w:divsChild>
        <w:div w:id="816382681">
          <w:marLeft w:val="1800"/>
          <w:marRight w:val="0"/>
          <w:marTop w:val="100"/>
          <w:marBottom w:val="0"/>
          <w:divBdr>
            <w:top w:val="none" w:sz="0" w:space="0" w:color="auto"/>
            <w:left w:val="none" w:sz="0" w:space="0" w:color="auto"/>
            <w:bottom w:val="none" w:sz="0" w:space="0" w:color="auto"/>
            <w:right w:val="none" w:sz="0" w:space="0" w:color="auto"/>
          </w:divBdr>
        </w:div>
        <w:div w:id="45296280">
          <w:marLeft w:val="1800"/>
          <w:marRight w:val="0"/>
          <w:marTop w:val="100"/>
          <w:marBottom w:val="0"/>
          <w:divBdr>
            <w:top w:val="none" w:sz="0" w:space="0" w:color="auto"/>
            <w:left w:val="none" w:sz="0" w:space="0" w:color="auto"/>
            <w:bottom w:val="none" w:sz="0" w:space="0" w:color="auto"/>
            <w:right w:val="none" w:sz="0" w:space="0" w:color="auto"/>
          </w:divBdr>
        </w:div>
        <w:div w:id="328287152">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5AIRPNAIUNRU-1328258698-316</_dlc_DocId>
    <_dlc_DocIdUrl xmlns="71c5aaf6-e6ce-465b-b873-5148d2a4c105">
      <Url>https://nokia.sharepoint.com/sites/c5g/5gradio/_layouts/15/DocIdRedir.aspx?ID=5AIRPNAIUNRU-1328258698-316</Url>
      <Description>5AIRPNAIUNRU-1328258698-316</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0E4158-6C99-4F7E-933E-A88B079681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EE3911-2F30-4FF7-9340-22A7EC09DF26}">
  <ds:schemaRefs>
    <ds:schemaRef ds:uri="Microsoft.SharePoint.Taxonomy.ContentTypeSync"/>
  </ds:schemaRefs>
</ds:datastoreItem>
</file>

<file path=customXml/itemProps3.xml><?xml version="1.0" encoding="utf-8"?>
<ds:datastoreItem xmlns:ds="http://schemas.openxmlformats.org/officeDocument/2006/customXml" ds:itemID="{6E26186D-CE10-497E-B876-3A46F9DA4716}">
  <ds:schemaRefs>
    <ds:schemaRef ds:uri="http://schemas.microsoft.com/sharepoint/events"/>
  </ds:schemaRefs>
</ds:datastoreItem>
</file>

<file path=customXml/itemProps4.xml><?xml version="1.0" encoding="utf-8"?>
<ds:datastoreItem xmlns:ds="http://schemas.openxmlformats.org/officeDocument/2006/customXml" ds:itemID="{AAA5F0F9-51FF-429F-B8AF-CD0A5830083A}">
  <ds:schemaRefs>
    <ds:schemaRef ds:uri="http://schemas.microsoft.com/sharepoint/v3/contenttype/forms"/>
  </ds:schemaRefs>
</ds:datastoreItem>
</file>

<file path=customXml/itemProps5.xml><?xml version="1.0" encoding="utf-8"?>
<ds:datastoreItem xmlns:ds="http://schemas.openxmlformats.org/officeDocument/2006/customXml" ds:itemID="{620CC018-EF71-4DEF-9491-0372901AF687}">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0b6aed8e-0313-4d17-80ff-d0e5da4931c5"/>
    <ds:schemaRef ds:uri="http://purl.org/dc/elements/1.1/"/>
    <ds:schemaRef ds:uri="71c5aaf6-e6ce-465b-b873-5148d2a4c105"/>
    <ds:schemaRef ds:uri="http://www.w3.org/XML/1998/namespace"/>
    <ds:schemaRef ds:uri="http://purl.org/dc/dcmitype/"/>
  </ds:schemaRefs>
</ds:datastoreItem>
</file>

<file path=customXml/itemProps6.xml><?xml version="1.0" encoding="utf-8"?>
<ds:datastoreItem xmlns:ds="http://schemas.openxmlformats.org/officeDocument/2006/customXml" ds:itemID="{36F626C9-B411-4528-8383-0FEE285666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876</Words>
  <Characters>4995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2</cp:revision>
  <dcterms:created xsi:type="dcterms:W3CDTF">2019-02-15T19:30:00Z</dcterms:created>
  <dcterms:modified xsi:type="dcterms:W3CDTF">2019-02-15T19:30:00Z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61d9b799-26dd-4235-bd9a-36c4dd535b23</vt:lpwstr>
  </property>
  <property fmtid="{D5CDD505-2E9C-101B-9397-08002B2CF9AE}" pid="4" name="AuthorIds_UIVersion_512">
    <vt:lpwstr>238</vt:lpwstr>
  </property>
</Properties>
</file>