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FD0BF8" w14:textId="4E761252" w:rsidR="00BD49F5" w:rsidRDefault="00BD49F5" w:rsidP="00BD49F5">
      <w:pPr>
        <w:pStyle w:val="Header"/>
        <w:tabs>
          <w:tab w:val="right" w:pos="9356"/>
          <w:tab w:val="right" w:pos="10206"/>
        </w:tabs>
        <w:jc w:val="center"/>
        <w:rPr>
          <w:rFonts w:cs="Arial"/>
          <w:i/>
          <w:sz w:val="24"/>
        </w:rPr>
      </w:pPr>
      <w:r>
        <w:rPr>
          <w:rFonts w:cs="Arial"/>
          <w:sz w:val="24"/>
        </w:rPr>
        <w:t>TSG-RAN Working Group 4 (Radio) meeting 89</w:t>
      </w:r>
      <w:r>
        <w:rPr>
          <w:rFonts w:cs="Arial"/>
          <w:i/>
          <w:sz w:val="24"/>
        </w:rPr>
        <w:tab/>
      </w:r>
      <w:r>
        <w:rPr>
          <w:rFonts w:cs="Arial"/>
          <w:iCs/>
          <w:sz w:val="24"/>
        </w:rPr>
        <w:t>R4-181</w:t>
      </w:r>
      <w:r w:rsidR="00DF5C33">
        <w:rPr>
          <w:rFonts w:cs="Arial"/>
          <w:iCs/>
          <w:sz w:val="24"/>
        </w:rPr>
        <w:t>5326</w:t>
      </w:r>
    </w:p>
    <w:p w14:paraId="09C11153" w14:textId="77777777" w:rsidR="00BD49F5" w:rsidRDefault="00BD49F5" w:rsidP="00BD49F5">
      <w:pPr>
        <w:pStyle w:val="Header"/>
        <w:tabs>
          <w:tab w:val="right" w:pos="10206"/>
        </w:tabs>
        <w:spacing w:after="120"/>
        <w:jc w:val="both"/>
        <w:rPr>
          <w:rFonts w:cs="Arial"/>
          <w:sz w:val="24"/>
        </w:rPr>
      </w:pPr>
      <w:r>
        <w:rPr>
          <w:rFonts w:cs="Arial"/>
          <w:sz w:val="24"/>
        </w:rPr>
        <w:t>Spokane, U.S., 12</w:t>
      </w:r>
      <w:r>
        <w:rPr>
          <w:rFonts w:cs="Arial"/>
          <w:sz w:val="24"/>
          <w:vertAlign w:val="superscript"/>
        </w:rPr>
        <w:t>th</w:t>
      </w:r>
      <w:r>
        <w:rPr>
          <w:rFonts w:cs="Arial"/>
          <w:sz w:val="24"/>
        </w:rPr>
        <w:t xml:space="preserve">  – 16</w:t>
      </w:r>
      <w:r>
        <w:rPr>
          <w:rFonts w:cs="Arial"/>
          <w:sz w:val="24"/>
          <w:vertAlign w:val="superscript"/>
        </w:rPr>
        <w:t xml:space="preserve">th </w:t>
      </w:r>
      <w:r>
        <w:rPr>
          <w:rFonts w:cs="Arial"/>
          <w:sz w:val="24"/>
        </w:rPr>
        <w:t>November 2018</w:t>
      </w:r>
    </w:p>
    <w:p w14:paraId="4EC243AA" w14:textId="77777777" w:rsidR="00BD49F5" w:rsidRDefault="00BD49F5" w:rsidP="00BD49F5">
      <w:pPr>
        <w:spacing w:after="120"/>
        <w:ind w:left="1985" w:hanging="1985"/>
        <w:jc w:val="both"/>
        <w:rPr>
          <w:rFonts w:ascii="Arial" w:hAnsi="Arial" w:cs="Arial"/>
          <w:b/>
        </w:rPr>
      </w:pPr>
    </w:p>
    <w:p w14:paraId="0DAAB889" w14:textId="77777777" w:rsidR="00BD49F5" w:rsidRDefault="00BD49F5" w:rsidP="00BD49F5">
      <w:pPr>
        <w:spacing w:after="120"/>
        <w:ind w:left="1985" w:hanging="1985"/>
        <w:jc w:val="both"/>
        <w:rPr>
          <w:rFonts w:ascii="Arial" w:hAnsi="Arial" w:cs="Arial"/>
          <w:bCs/>
        </w:rPr>
      </w:pPr>
      <w:r>
        <w:rPr>
          <w:rFonts w:ascii="Arial" w:hAnsi="Arial" w:cs="Arial"/>
          <w:b/>
        </w:rPr>
        <w:t>Source:</w:t>
      </w:r>
      <w:r>
        <w:rPr>
          <w:rFonts w:ascii="Arial" w:hAnsi="Arial" w:cs="Arial"/>
          <w:b/>
        </w:rPr>
        <w:tab/>
      </w:r>
      <w:r>
        <w:rPr>
          <w:rFonts w:ascii="Arial" w:hAnsi="Arial" w:cs="Arial"/>
          <w:bCs/>
        </w:rPr>
        <w:t>Ericsson</w:t>
      </w:r>
    </w:p>
    <w:p w14:paraId="69762932" w14:textId="77777777" w:rsidR="00BD49F5" w:rsidRDefault="00BD49F5" w:rsidP="00BD49F5">
      <w:pPr>
        <w:spacing w:after="120"/>
        <w:ind w:left="1985" w:hanging="1985"/>
        <w:jc w:val="both"/>
        <w:rPr>
          <w:rFonts w:ascii="Arial" w:hAnsi="Arial" w:cs="Arial"/>
          <w:bCs/>
          <w:color w:val="FF0000"/>
        </w:rPr>
      </w:pPr>
      <w:r>
        <w:rPr>
          <w:rFonts w:ascii="Arial" w:hAnsi="Arial" w:cs="Arial"/>
          <w:b/>
        </w:rPr>
        <w:t>Title:</w:t>
      </w:r>
      <w:r>
        <w:rPr>
          <w:rFonts w:ascii="Arial" w:hAnsi="Arial" w:cs="Arial"/>
          <w:b/>
        </w:rPr>
        <w:tab/>
      </w:r>
      <w:r>
        <w:rPr>
          <w:rFonts w:ascii="Arial" w:hAnsi="Arial" w:cs="Arial"/>
        </w:rPr>
        <w:t>Reverberation chamber validation measurements</w:t>
      </w:r>
    </w:p>
    <w:p w14:paraId="751763AA" w14:textId="31BCE7B5" w:rsidR="00BD49F5" w:rsidRDefault="00BD49F5" w:rsidP="00BD49F5">
      <w:pPr>
        <w:spacing w:after="120"/>
        <w:ind w:left="1985" w:hanging="1985"/>
        <w:jc w:val="both"/>
        <w:rPr>
          <w:rFonts w:ascii="Arial" w:hAnsi="Arial" w:cs="Arial"/>
          <w:bCs/>
          <w:color w:val="FF0000"/>
          <w:lang w:val="sv-SE"/>
        </w:rPr>
      </w:pPr>
      <w:r>
        <w:rPr>
          <w:rFonts w:ascii="Arial" w:hAnsi="Arial" w:cs="Arial"/>
          <w:b/>
          <w:lang w:val="sv-SE"/>
        </w:rPr>
        <w:t>Agenda item:</w:t>
      </w:r>
      <w:r>
        <w:rPr>
          <w:rFonts w:ascii="Arial" w:hAnsi="Arial" w:cs="Arial"/>
          <w:b/>
          <w:lang w:val="sv-SE"/>
        </w:rPr>
        <w:tab/>
      </w:r>
      <w:r w:rsidR="00DF5C33" w:rsidRPr="00DF5C33">
        <w:rPr>
          <w:rFonts w:ascii="Arial" w:hAnsi="Arial" w:cs="Arial"/>
          <w:lang w:val="en-US"/>
        </w:rPr>
        <w:t>7.9.4.4.4</w:t>
      </w:r>
      <w:bookmarkStart w:id="0" w:name="_GoBack"/>
      <w:bookmarkEnd w:id="0"/>
    </w:p>
    <w:p w14:paraId="1D575E4E" w14:textId="77777777" w:rsidR="00BD49F5" w:rsidRDefault="00BD49F5" w:rsidP="00BD49F5">
      <w:pPr>
        <w:spacing w:after="120"/>
        <w:ind w:left="1985" w:hanging="1985"/>
        <w:jc w:val="both"/>
        <w:rPr>
          <w:rFonts w:ascii="Arial" w:hAnsi="Arial" w:cs="Arial"/>
          <w:bCs/>
          <w:color w:val="FF0000"/>
        </w:rPr>
      </w:pPr>
      <w:r>
        <w:rPr>
          <w:rFonts w:ascii="Arial" w:hAnsi="Arial" w:cs="Arial"/>
          <w:b/>
        </w:rPr>
        <w:t>Document for:</w:t>
      </w:r>
      <w:r>
        <w:rPr>
          <w:rFonts w:ascii="Arial" w:hAnsi="Arial" w:cs="Arial"/>
          <w:b/>
        </w:rPr>
        <w:tab/>
      </w:r>
      <w:r>
        <w:rPr>
          <w:rFonts w:ascii="Arial" w:hAnsi="Arial" w:cs="Arial"/>
        </w:rPr>
        <w:t>Discussion</w:t>
      </w:r>
    </w:p>
    <w:p w14:paraId="3BC99F64" w14:textId="77777777" w:rsidR="00BD49F5" w:rsidRDefault="00BD49F5" w:rsidP="00BD49F5">
      <w:pPr>
        <w:pBdr>
          <w:bottom w:val="single" w:sz="4" w:space="1" w:color="auto"/>
        </w:pBdr>
        <w:jc w:val="both"/>
        <w:rPr>
          <w:rFonts w:ascii="Arial" w:hAnsi="Arial" w:cs="Arial"/>
        </w:rPr>
      </w:pPr>
    </w:p>
    <w:p w14:paraId="40F49CFD" w14:textId="77777777" w:rsidR="00BD49F5" w:rsidRDefault="00BD49F5" w:rsidP="00BD49F5">
      <w:pPr>
        <w:pStyle w:val="Heading1"/>
        <w:keepLines w:val="0"/>
        <w:numPr>
          <w:ilvl w:val="0"/>
          <w:numId w:val="1"/>
        </w:numPr>
        <w:pBdr>
          <w:top w:val="none" w:sz="0" w:space="0" w:color="auto"/>
        </w:pBdr>
        <w:spacing w:before="0" w:after="240"/>
        <w:ind w:right="284" w:hanging="720"/>
        <w:jc w:val="both"/>
      </w:pPr>
      <w:r>
        <w:t>Introduction</w:t>
      </w:r>
    </w:p>
    <w:p w14:paraId="033771B4" w14:textId="2C273406" w:rsidR="00BD49F5" w:rsidRDefault="00BD49F5" w:rsidP="00BD49F5">
      <w:pPr>
        <w:pStyle w:val="BodyText"/>
        <w:jc w:val="both"/>
      </w:pPr>
      <w:r>
        <w:t xml:space="preserve">Use of Reverberation Chambers (RC) for TRP measurements has been discussed in during the previous meeting in Chengdu [1]. Different aspects of an RC must be validated before </w:t>
      </w:r>
      <w:r w:rsidR="007C29B3">
        <w:t xml:space="preserve">and after </w:t>
      </w:r>
      <w:r>
        <w:t>performing actual measurement. Some chamber verification measurement results are presented in this paper. The covered aspects are</w:t>
      </w:r>
      <w:r>
        <w:rPr>
          <w:lang w:val="en-US"/>
        </w:rPr>
        <w:t xml:space="preserve">: uniformity test, number of independent samples, and K-factor test. </w:t>
      </w:r>
      <w:r>
        <w:t>Uniformity test is to estimate the chamber transfer function in different positions and polarizations in the working volume to ensure the uniformity of the field distribution inside the chamber. The second factor that contributes to measurement uncertainty for TRP measurement in an RC is the number of independent samples in the measurement for a given frequency. Measurement uncertainty decreases with an increase in the number of independent samples.</w:t>
      </w:r>
      <w:r w:rsidRPr="00BD49F5">
        <w:t xml:space="preserve"> </w:t>
      </w:r>
      <w:r>
        <w:t>The procedure of estimating the number of independent samples from measured data is presented. Another factor that can affect the measurement is the presence of a direct component (line of sight) between the DUT and the Rx antenna. The presence of the direct component can be determined through K-factor estimation.</w:t>
      </w:r>
    </w:p>
    <w:p w14:paraId="0111A710" w14:textId="77777777" w:rsidR="00BD49F5" w:rsidRDefault="00BD49F5" w:rsidP="00BD49F5">
      <w:pPr>
        <w:pBdr>
          <w:bottom w:val="single" w:sz="4" w:space="1" w:color="auto"/>
        </w:pBdr>
        <w:jc w:val="both"/>
        <w:rPr>
          <w:rFonts w:ascii="Arial" w:hAnsi="Arial" w:cs="Arial"/>
        </w:rPr>
      </w:pPr>
    </w:p>
    <w:p w14:paraId="1D42CBC9" w14:textId="77777777" w:rsidR="00BD49F5" w:rsidRDefault="00BD49F5" w:rsidP="00BD49F5">
      <w:pPr>
        <w:pStyle w:val="Heading1"/>
        <w:keepLines w:val="0"/>
        <w:numPr>
          <w:ilvl w:val="0"/>
          <w:numId w:val="1"/>
        </w:numPr>
        <w:pBdr>
          <w:top w:val="none" w:sz="0" w:space="0" w:color="auto"/>
        </w:pBdr>
        <w:spacing w:before="0" w:after="240"/>
        <w:ind w:right="284" w:hanging="720"/>
        <w:jc w:val="both"/>
      </w:pPr>
      <w:r>
        <w:t>Measurement results</w:t>
      </w:r>
    </w:p>
    <w:p w14:paraId="0F85E9EF" w14:textId="31A3E9F6" w:rsidR="002B778A" w:rsidRDefault="002B778A" w:rsidP="002B778A">
      <w:pPr>
        <w:pStyle w:val="BodyText"/>
        <w:jc w:val="both"/>
      </w:pPr>
      <w:r>
        <w:t>The presented results on different aspects are not all from the same measurement setup. Therefore, they differ in the frequency and number of samples.</w:t>
      </w:r>
      <w:r w:rsidR="00195A8F">
        <w:t xml:space="preserve"> Nevertheless, the</w:t>
      </w:r>
      <w:r w:rsidR="00E81D1C">
        <w:t xml:space="preserve"> validation methods are applicable to all scenarios.</w:t>
      </w:r>
    </w:p>
    <w:p w14:paraId="2690A69F" w14:textId="77777777" w:rsidR="00BD49F5" w:rsidRDefault="00BD49F5" w:rsidP="00BD49F5">
      <w:pPr>
        <w:pStyle w:val="Heading2"/>
      </w:pPr>
      <w:r>
        <w:t>2.1 Uniformity test</w:t>
      </w:r>
    </w:p>
    <w:p w14:paraId="52750503" w14:textId="77777777" w:rsidR="00BD49F5" w:rsidRDefault="00BD49F5" w:rsidP="00BD49F5">
      <w:pPr>
        <w:jc w:val="both"/>
      </w:pPr>
      <w:r>
        <w:t xml:space="preserve">In the uniformity test, the idea is to estimate the transfer function with the TX antenna in </w:t>
      </w:r>
      <w:proofErr w:type="gramStart"/>
      <w:r>
        <w:t>a number of</w:t>
      </w:r>
      <w:proofErr w:type="gramEnd"/>
      <w:r>
        <w:t xml:space="preserve"> evenly distributed positions and different polarisations in the working volume and calculate the standard deviation between the different estimations. The matter of number and distribution of spatial points may depend on chamber size and needs further study. The present results are performed in 9 positions with the same polarization and orientation of the antennas. The dimensions of the chamber under investigation are </w:t>
      </w:r>
      <m:oMath>
        <m:r>
          <w:rPr>
            <w:rFonts w:ascii="Cambria Math" w:hAnsi="Cambria Math"/>
          </w:rPr>
          <m:t xml:space="preserve">3.9×4.9×4.2 </m:t>
        </m:r>
        <m:sSup>
          <m:sSupPr>
            <m:ctrlPr>
              <w:rPr>
                <w:rFonts w:ascii="Cambria Math" w:hAnsi="Cambria Math"/>
                <w:i/>
              </w:rPr>
            </m:ctrlPr>
          </m:sSupPr>
          <m:e>
            <m:r>
              <m:rPr>
                <m:sty m:val="p"/>
              </m:rPr>
              <w:rPr>
                <w:rFonts w:ascii="Cambria Math" w:hAnsi="Cambria Math"/>
              </w:rPr>
              <m:t>m</m:t>
            </m:r>
          </m:e>
          <m:sup>
            <m:r>
              <w:rPr>
                <w:rFonts w:ascii="Cambria Math" w:hAnsi="Cambria Math"/>
              </w:rPr>
              <m:t>3</m:t>
            </m:r>
          </m:sup>
        </m:sSup>
      </m:oMath>
      <w:r>
        <w:t xml:space="preserve"> and has one rotating stirrer. The presented results correspond to 2.2 GHz. Two of the measurement positions are illustrated in Figure 1.</w:t>
      </w:r>
    </w:p>
    <w:p w14:paraId="6E4E2D2D" w14:textId="0F7995CB" w:rsidR="00FE085F" w:rsidRDefault="00FE085F" w:rsidP="00D124CA">
      <w:pPr>
        <w:jc w:val="both"/>
      </w:pPr>
      <w:r>
        <w:t xml:space="preserve">In each antenna position, the chamber stirrer is rotated a full turn and the chamber transfer function is estimated at </w:t>
      </w:r>
      <m:oMath>
        <m:sSup>
          <m:sSupPr>
            <m:ctrlPr>
              <w:rPr>
                <w:rFonts w:ascii="Cambria Math" w:hAnsi="Cambria Math"/>
                <w:i/>
              </w:rPr>
            </m:ctrlPr>
          </m:sSupPr>
          <m:e>
            <m:r>
              <w:rPr>
                <w:rFonts w:ascii="Cambria Math" w:hAnsi="Cambria Math"/>
              </w:rPr>
              <m:t>5</m:t>
            </m:r>
          </m:e>
          <m:sup>
            <m:r>
              <w:rPr>
                <w:rFonts w:ascii="Cambria Math" w:hAnsi="Cambria Math"/>
              </w:rPr>
              <m:t>∘</m:t>
            </m:r>
          </m:sup>
        </m:sSup>
      </m:oMath>
      <w:r>
        <w:t xml:space="preserve"> intervals. The transfer function vs. stirrer angle is plotted in Figure 2 for the antenna positions of Figure 1. The average of the transfer function over all stirring angles is also plotted in red. Figure 3 shows the average chamber transfer functions for all antenna positions. </w:t>
      </w:r>
    </w:p>
    <w:p w14:paraId="4827FADA" w14:textId="77777777" w:rsidR="00FE085F" w:rsidRDefault="00FE085F" w:rsidP="00BD49F5">
      <w:pPr>
        <w:jc w:val="both"/>
      </w:pP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tblGrid>
      <w:tr w:rsidR="00BD49F5" w14:paraId="2766DBB2" w14:textId="77777777" w:rsidTr="00BD49F5">
        <w:tc>
          <w:tcPr>
            <w:tcW w:w="4508" w:type="dxa"/>
            <w:hideMark/>
          </w:tcPr>
          <w:p w14:paraId="40CF5F6D" w14:textId="77777777" w:rsidR="00BD49F5" w:rsidRDefault="00BD49F5">
            <w:pPr>
              <w:jc w:val="center"/>
            </w:pPr>
            <w:r>
              <w:rPr>
                <w:noProof/>
              </w:rPr>
              <w:lastRenderedPageBreak/>
              <w:drawing>
                <wp:inline distT="0" distB="0" distL="0" distR="0" wp14:anchorId="71DAE72E" wp14:editId="75E3CF76">
                  <wp:extent cx="2458085" cy="326580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458085" cy="3265805"/>
                          </a:xfrm>
                          <a:prstGeom prst="rect">
                            <a:avLst/>
                          </a:prstGeom>
                          <a:noFill/>
                          <a:ln>
                            <a:noFill/>
                          </a:ln>
                        </pic:spPr>
                      </pic:pic>
                    </a:graphicData>
                  </a:graphic>
                </wp:inline>
              </w:drawing>
            </w:r>
          </w:p>
        </w:tc>
        <w:tc>
          <w:tcPr>
            <w:tcW w:w="4508" w:type="dxa"/>
            <w:hideMark/>
          </w:tcPr>
          <w:p w14:paraId="6E8CB774" w14:textId="77777777" w:rsidR="00BD49F5" w:rsidRDefault="00BD49F5">
            <w:pPr>
              <w:jc w:val="center"/>
            </w:pPr>
            <w:r>
              <w:rPr>
                <w:noProof/>
              </w:rPr>
              <w:drawing>
                <wp:inline distT="0" distB="0" distL="0" distR="0" wp14:anchorId="3F9AD688" wp14:editId="3224F234">
                  <wp:extent cx="2197100" cy="326580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a:extLst>
                              <a:ext uri="{28A0092B-C50C-407E-A947-70E740481C1C}">
                                <a14:useLocalDpi xmlns:a14="http://schemas.microsoft.com/office/drawing/2010/main" val="0"/>
                              </a:ext>
                            </a:extLst>
                          </a:blip>
                          <a:srcRect t="4111"/>
                          <a:stretch>
                            <a:fillRect/>
                          </a:stretch>
                        </pic:blipFill>
                        <pic:spPr bwMode="auto">
                          <a:xfrm>
                            <a:off x="0" y="0"/>
                            <a:ext cx="2197100" cy="3265805"/>
                          </a:xfrm>
                          <a:prstGeom prst="rect">
                            <a:avLst/>
                          </a:prstGeom>
                          <a:noFill/>
                          <a:ln>
                            <a:noFill/>
                          </a:ln>
                        </pic:spPr>
                      </pic:pic>
                    </a:graphicData>
                  </a:graphic>
                </wp:inline>
              </w:drawing>
            </w:r>
          </w:p>
        </w:tc>
      </w:tr>
      <w:tr w:rsidR="00BD49F5" w:rsidRPr="00BD49F5" w14:paraId="19A0153F" w14:textId="77777777" w:rsidTr="00BD49F5">
        <w:tc>
          <w:tcPr>
            <w:tcW w:w="9016" w:type="dxa"/>
            <w:gridSpan w:val="2"/>
            <w:hideMark/>
          </w:tcPr>
          <w:p w14:paraId="30070D90" w14:textId="77777777" w:rsidR="00BD49F5" w:rsidRDefault="00BD49F5">
            <w:pPr>
              <w:jc w:val="both"/>
            </w:pPr>
            <w:r>
              <w:rPr>
                <w:b/>
                <w:bCs/>
              </w:rPr>
              <w:t>Figure 1. Two of the measurement positions in the reverberation chamber, namely positions #1 and #3.</w:t>
            </w:r>
          </w:p>
        </w:tc>
      </w:tr>
    </w:tbl>
    <w:p w14:paraId="2D5BD3C0" w14:textId="77777777" w:rsidR="00BD49F5" w:rsidRDefault="00BD49F5" w:rsidP="00BD49F5">
      <w:pPr>
        <w:jc w:val="both"/>
      </w:pPr>
    </w:p>
    <w:p w14:paraId="36D739A1" w14:textId="0C26069E" w:rsidR="00BD49F5" w:rsidRDefault="00BD49F5" w:rsidP="00BD49F5">
      <w:pPr>
        <w:jc w:val="center"/>
      </w:pPr>
    </w:p>
    <w:p w14:paraId="313E21EE" w14:textId="1214DA90" w:rsidR="002622E6" w:rsidRDefault="002622E6" w:rsidP="00BD49F5">
      <w:pPr>
        <w:jc w:val="center"/>
      </w:pPr>
      <w:r w:rsidRPr="002622E6">
        <w:rPr>
          <w:noProof/>
        </w:rPr>
        <w:drawing>
          <wp:inline distT="0" distB="0" distL="0" distR="0" wp14:anchorId="2112B569" wp14:editId="1451408C">
            <wp:extent cx="3657550" cy="1865376"/>
            <wp:effectExtent l="0" t="0" r="635" b="190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2">
                      <a:extLst>
                        <a:ext uri="{28A0092B-C50C-407E-A947-70E740481C1C}">
                          <a14:useLocalDpi xmlns:a14="http://schemas.microsoft.com/office/drawing/2010/main" val="0"/>
                        </a:ext>
                      </a:extLst>
                    </a:blip>
                    <a:srcRect r="38326" b="32651"/>
                    <a:stretch/>
                  </pic:blipFill>
                  <pic:spPr bwMode="auto">
                    <a:xfrm>
                      <a:off x="0" y="0"/>
                      <a:ext cx="3690050" cy="1881951"/>
                    </a:xfrm>
                    <a:prstGeom prst="rect">
                      <a:avLst/>
                    </a:prstGeom>
                    <a:noFill/>
                    <a:ln>
                      <a:noFill/>
                    </a:ln>
                    <a:extLst>
                      <a:ext uri="{53640926-AAD7-44D8-BBD7-CCE9431645EC}">
                        <a14:shadowObscured xmlns:a14="http://schemas.microsoft.com/office/drawing/2010/main"/>
                      </a:ext>
                    </a:extLst>
                  </pic:spPr>
                </pic:pic>
              </a:graphicData>
            </a:graphic>
          </wp:inline>
        </w:drawing>
      </w:r>
    </w:p>
    <w:p w14:paraId="79CA96E6" w14:textId="2D8F374C" w:rsidR="00BD49F5" w:rsidRDefault="00806D60" w:rsidP="00BD49F5">
      <w:pPr>
        <w:jc w:val="center"/>
      </w:pPr>
      <w:r w:rsidRPr="00806D60">
        <w:rPr>
          <w:noProof/>
        </w:rPr>
        <w:drawing>
          <wp:inline distT="0" distB="0" distL="0" distR="0" wp14:anchorId="76C6A44D" wp14:editId="797DF8AA">
            <wp:extent cx="3689843" cy="1901952"/>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3">
                      <a:extLst>
                        <a:ext uri="{28A0092B-C50C-407E-A947-70E740481C1C}">
                          <a14:useLocalDpi xmlns:a14="http://schemas.microsoft.com/office/drawing/2010/main" val="0"/>
                        </a:ext>
                      </a:extLst>
                    </a:blip>
                    <a:srcRect r="37911" b="31474"/>
                    <a:stretch/>
                  </pic:blipFill>
                  <pic:spPr bwMode="auto">
                    <a:xfrm>
                      <a:off x="0" y="0"/>
                      <a:ext cx="3709846" cy="1912262"/>
                    </a:xfrm>
                    <a:prstGeom prst="rect">
                      <a:avLst/>
                    </a:prstGeom>
                    <a:noFill/>
                    <a:ln>
                      <a:noFill/>
                    </a:ln>
                    <a:extLst>
                      <a:ext uri="{53640926-AAD7-44D8-BBD7-CCE9431645EC}">
                        <a14:shadowObscured xmlns:a14="http://schemas.microsoft.com/office/drawing/2010/main"/>
                      </a:ext>
                    </a:extLst>
                  </pic:spPr>
                </pic:pic>
              </a:graphicData>
            </a:graphic>
          </wp:inline>
        </w:drawing>
      </w:r>
    </w:p>
    <w:p w14:paraId="6C0BE558" w14:textId="77777777" w:rsidR="00BD49F5" w:rsidRDefault="00BD49F5" w:rsidP="00BD49F5">
      <w:pPr>
        <w:jc w:val="center"/>
      </w:pPr>
      <w:r>
        <w:rPr>
          <w:b/>
          <w:bCs/>
        </w:rPr>
        <w:t xml:space="preserve">Figure 2. Chamber transfer function for different stirrer angles at antenna positions #1 and #3. </w:t>
      </w:r>
    </w:p>
    <w:p w14:paraId="1F6A6179" w14:textId="77777777" w:rsidR="00BD49F5" w:rsidRDefault="00BD49F5" w:rsidP="00BD49F5">
      <w:pPr>
        <w:jc w:val="center"/>
      </w:pPr>
      <w:r>
        <w:rPr>
          <w:noProof/>
        </w:rPr>
        <w:lastRenderedPageBreak/>
        <w:drawing>
          <wp:inline distT="0" distB="0" distL="0" distR="0" wp14:anchorId="42E66720" wp14:editId="1C0F00E2">
            <wp:extent cx="4160226" cy="225817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l="1276" r="38689" b="31589"/>
                    <a:stretch>
                      <a:fillRect/>
                    </a:stretch>
                  </pic:blipFill>
                  <pic:spPr bwMode="auto">
                    <a:xfrm>
                      <a:off x="0" y="0"/>
                      <a:ext cx="4181470" cy="2269701"/>
                    </a:xfrm>
                    <a:prstGeom prst="rect">
                      <a:avLst/>
                    </a:prstGeom>
                    <a:noFill/>
                    <a:ln>
                      <a:noFill/>
                    </a:ln>
                  </pic:spPr>
                </pic:pic>
              </a:graphicData>
            </a:graphic>
          </wp:inline>
        </w:drawing>
      </w:r>
    </w:p>
    <w:p w14:paraId="4F2A2637" w14:textId="77777777" w:rsidR="00BD49F5" w:rsidRDefault="00BD49F5" w:rsidP="00BD49F5">
      <w:pPr>
        <w:jc w:val="center"/>
        <w:rPr>
          <w:b/>
          <w:bCs/>
        </w:rPr>
      </w:pPr>
      <w:r>
        <w:rPr>
          <w:b/>
          <w:bCs/>
        </w:rPr>
        <w:t>Figure 3. Average chamber transfer function at all antenna positions.</w:t>
      </w:r>
    </w:p>
    <w:p w14:paraId="1F08DBDB" w14:textId="77777777" w:rsidR="00BD49F5" w:rsidRDefault="00BD49F5" w:rsidP="00FE085F">
      <w:pPr>
        <w:pStyle w:val="Heading2"/>
      </w:pPr>
      <w:r>
        <w:t xml:space="preserve">2.2 </w:t>
      </w:r>
      <w:r w:rsidR="00FE085F">
        <w:t>Independent samples</w:t>
      </w:r>
    </w:p>
    <w:p w14:paraId="31E72C2A" w14:textId="77777777" w:rsidR="00FE085F" w:rsidRDefault="00FE085F" w:rsidP="00FE085F">
      <w:pPr>
        <w:jc w:val="both"/>
      </w:pPr>
      <w:r>
        <w:t xml:space="preserve">The present results are from measurements in the same chamber as above and correspond to 2.5 GHz. The measurement is performed with stirrer steps of </w:t>
      </w:r>
      <m:oMath>
        <m:sSup>
          <m:sSupPr>
            <m:ctrlPr>
              <w:rPr>
                <w:rFonts w:ascii="Cambria Math" w:hAnsi="Cambria Math"/>
                <w:i/>
              </w:rPr>
            </m:ctrlPr>
          </m:sSupPr>
          <m:e>
            <m:r>
              <w:rPr>
                <w:rFonts w:ascii="Cambria Math" w:hAnsi="Cambria Math"/>
              </w:rPr>
              <m:t>0.05</m:t>
            </m:r>
          </m:e>
          <m:sup>
            <m:r>
              <w:rPr>
                <w:rFonts w:ascii="Cambria Math" w:hAnsi="Cambria Math"/>
              </w:rPr>
              <m:t>∘</m:t>
            </m:r>
          </m:sup>
        </m:sSup>
      </m:oMath>
      <w:r>
        <w:t xml:space="preserve"> which results in 7200 samples. However, not all these samples are independent as very small movements of the stirrer will not make significant changes in the field distribution in the chamber.</w:t>
      </w:r>
    </w:p>
    <w:p w14:paraId="0C96054D" w14:textId="77777777" w:rsidR="00FE085F" w:rsidRDefault="00FE085F" w:rsidP="00FE085F">
      <w:pPr>
        <w:jc w:val="both"/>
      </w:pPr>
      <w:r>
        <w:t xml:space="preserve">The separation between the independent samples can be found by calculating the correlation factors with the shifted measurement data [2]. Assuming the measured samples as the sequence </w:t>
      </w:r>
      <m:oMath>
        <m:sSub>
          <m:sSubPr>
            <m:ctrlPr>
              <w:rPr>
                <w:rFonts w:ascii="Cambria Math" w:hAnsi="Cambria Math"/>
                <w:i/>
              </w:rPr>
            </m:ctrlPr>
          </m:sSubPr>
          <m:e>
            <m:r>
              <w:rPr>
                <w:rFonts w:ascii="Cambria Math" w:hAnsi="Cambria Math"/>
              </w:rPr>
              <m:t>x=x</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N</m:t>
            </m:r>
          </m:sub>
        </m:sSub>
      </m:oMath>
      <w:r>
        <w:t xml:space="preserve"> and </w:t>
      </w:r>
      <m:oMath>
        <m:sSup>
          <m:sSupPr>
            <m:ctrlPr>
              <w:rPr>
                <w:rFonts w:ascii="Cambria Math" w:hAnsi="Cambria Math"/>
                <w:i/>
              </w:rPr>
            </m:ctrlPr>
          </m:sSupPr>
          <m:e>
            <m:r>
              <w:rPr>
                <w:rFonts w:ascii="Cambria Math" w:hAnsi="Cambria Math"/>
              </w:rPr>
              <m:t>y</m:t>
            </m:r>
          </m:e>
          <m:sup>
            <m:r>
              <w:rPr>
                <w:rFonts w:ascii="Cambria Math" w:hAnsi="Cambria Math"/>
              </w:rPr>
              <m:t>(k)</m:t>
            </m:r>
          </m:sup>
        </m:sSup>
      </m:oMath>
      <w:r>
        <w:t xml:space="preserve"> as a circularly shifted copy of </w:t>
      </w:r>
      <m:oMath>
        <m:r>
          <w:rPr>
            <w:rFonts w:ascii="Cambria Math" w:hAnsi="Cambria Math"/>
          </w:rPr>
          <m:t>x</m:t>
        </m:r>
      </m:oMath>
      <w:r>
        <w:t xml:space="preserve">, i.e., </w:t>
      </w:r>
      <m:oMath>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k</m:t>
                </m:r>
              </m:e>
            </m:d>
          </m:sup>
        </m:sSup>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k+1</m:t>
            </m:r>
          </m:sub>
        </m:sSub>
        <m:sSub>
          <m:sSubPr>
            <m:ctrlPr>
              <w:rPr>
                <w:rFonts w:ascii="Cambria Math" w:hAnsi="Cambria Math"/>
                <w:i/>
              </w:rPr>
            </m:ctrlPr>
          </m:sSubPr>
          <m:e>
            <m:r>
              <w:rPr>
                <w:rFonts w:ascii="Cambria Math" w:hAnsi="Cambria Math"/>
              </w:rPr>
              <m:t>x</m:t>
            </m:r>
          </m:e>
          <m:sub>
            <m:r>
              <w:rPr>
                <w:rFonts w:ascii="Cambria Math" w:hAnsi="Cambria Math"/>
              </w:rPr>
              <m:t>k+2</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N</m:t>
            </m:r>
          </m:sub>
        </m:sSub>
        <m:sSub>
          <m:sSubPr>
            <m:ctrlPr>
              <w:rPr>
                <w:rFonts w:ascii="Cambria Math" w:hAnsi="Cambria Math"/>
                <w:i/>
              </w:rPr>
            </m:ctrlPr>
          </m:sSubPr>
          <m:e>
            <m:r>
              <w:rPr>
                <w:rFonts w:ascii="Cambria Math" w:hAnsi="Cambria Math"/>
              </w:rPr>
              <m:t>x</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k</m:t>
            </m:r>
          </m:sub>
        </m:sSub>
      </m:oMath>
      <w:r>
        <w:t>, the correlation factor is calculated as</w:t>
      </w:r>
    </w:p>
    <w:p w14:paraId="72561DBB" w14:textId="5E51AB05" w:rsidR="00FE085F" w:rsidRDefault="00FE085F" w:rsidP="004912BD">
      <w:pPr>
        <w:ind w:left="1304" w:hanging="1304"/>
        <w:jc w:val="both"/>
      </w:pPr>
      <m:oMathPara>
        <m:oMath>
          <m:r>
            <w:rPr>
              <w:rFonts w:ascii="Cambria Math" w:hAnsi="Cambria Math"/>
            </w:rPr>
            <m:t xml:space="preserve">r(k)= </m:t>
          </m:r>
          <m:f>
            <m:fPr>
              <m:ctrlPr>
                <w:rPr>
                  <w:rFonts w:ascii="Cambria Math" w:hAnsi="Cambria Math"/>
                  <w:i/>
                </w:rPr>
              </m:ctrlPr>
            </m:fPr>
            <m:num>
              <m:f>
                <m:fPr>
                  <m:ctrlPr>
                    <w:rPr>
                      <w:rFonts w:ascii="Cambria Math" w:hAnsi="Cambria Math"/>
                      <w:i/>
                    </w:rPr>
                  </m:ctrlPr>
                </m:fPr>
                <m:num>
                  <m:r>
                    <w:rPr>
                      <w:rFonts w:ascii="Cambria Math" w:hAnsi="Cambria Math"/>
                    </w:rPr>
                    <m:t>1</m:t>
                  </m:r>
                </m:num>
                <m:den>
                  <m:r>
                    <w:rPr>
                      <w:rFonts w:ascii="Cambria Math" w:hAnsi="Cambria Math"/>
                    </w:rPr>
                    <m:t>N-1</m:t>
                  </m:r>
                </m:den>
              </m:f>
              <m:nary>
                <m:naryPr>
                  <m:chr m:val="∑"/>
                  <m:limLoc m:val="undOvr"/>
                  <m:ctrlPr>
                    <w:rPr>
                      <w:rFonts w:ascii="Cambria Math" w:hAnsi="Cambria Math"/>
                      <w:i/>
                    </w:rPr>
                  </m:ctrlPr>
                </m:naryPr>
                <m:sub>
                  <m:r>
                    <w:rPr>
                      <w:rFonts w:ascii="Cambria Math" w:hAnsi="Cambria Math"/>
                    </w:rPr>
                    <m:t>i=1</m:t>
                  </m:r>
                </m:sub>
                <m:sup>
                  <m:r>
                    <w:rPr>
                      <w:rFonts w:ascii="Cambria Math" w:hAnsi="Cambria Math"/>
                    </w:rPr>
                    <m:t>N</m:t>
                  </m:r>
                </m:sup>
                <m:e>
                  <m:d>
                    <m:dPr>
                      <m:ctrlPr>
                        <w:rPr>
                          <w:rFonts w:ascii="Cambria Math" w:hAnsi="Cambria Math"/>
                          <w:i/>
                        </w:rPr>
                      </m:ctrlPr>
                    </m:dPr>
                    <m:e>
                      <m:sSub>
                        <m:sSubPr>
                          <m:ctrlPr>
                            <w:rPr>
                              <w:rFonts w:ascii="Cambria Math" w:hAnsi="Cambria Math"/>
                              <w:i/>
                            </w:rPr>
                          </m:ctrlPr>
                        </m:sSubPr>
                        <m:e>
                          <m:r>
                            <w:rPr>
                              <w:rFonts w:ascii="Cambria Math" w:hAnsi="Cambria Math"/>
                            </w:rPr>
                            <m:t>x</m:t>
                          </m:r>
                        </m:e>
                        <m:sub>
                          <m:r>
                            <w:rPr>
                              <w:rFonts w:ascii="Cambria Math" w:hAnsi="Cambria Math"/>
                            </w:rPr>
                            <m:t>i</m:t>
                          </m:r>
                        </m:sub>
                      </m:sSub>
                      <m:r>
                        <w:rPr>
                          <w:rFonts w:ascii="Cambria Math" w:hAnsi="Cambria Math"/>
                        </w:rPr>
                        <m:t>-</m:t>
                      </m:r>
                      <m:d>
                        <m:dPr>
                          <m:begChr m:val="〈"/>
                          <m:endChr m:val="〉"/>
                          <m:ctrlPr>
                            <w:rPr>
                              <w:rFonts w:ascii="Cambria Math" w:hAnsi="Cambria Math"/>
                              <w:lang w:val="en-US"/>
                            </w:rPr>
                          </m:ctrlPr>
                        </m:dPr>
                        <m:e>
                          <m:r>
                            <w:rPr>
                              <w:rFonts w:ascii="Cambria Math" w:hAnsi="Cambria Math"/>
                              <w:lang w:val="en-US"/>
                            </w:rPr>
                            <m:t>x</m:t>
                          </m:r>
                        </m:e>
                      </m:d>
                    </m:e>
                  </m:d>
                  <m:d>
                    <m:dPr>
                      <m:ctrlPr>
                        <w:rPr>
                          <w:rFonts w:ascii="Cambria Math" w:hAnsi="Cambria Math"/>
                          <w:i/>
                        </w:rPr>
                      </m:ctrlPr>
                    </m:dPr>
                    <m:e>
                      <m:sSubSup>
                        <m:sSubSupPr>
                          <m:ctrlPr>
                            <w:rPr>
                              <w:rFonts w:ascii="Cambria Math" w:hAnsi="Cambria Math"/>
                              <w:i/>
                            </w:rPr>
                          </m:ctrlPr>
                        </m:sSubSupPr>
                        <m:e>
                          <m:r>
                            <w:rPr>
                              <w:rFonts w:ascii="Cambria Math" w:hAnsi="Cambria Math"/>
                            </w:rPr>
                            <m:t>y</m:t>
                          </m:r>
                        </m:e>
                        <m:sub>
                          <m:r>
                            <w:rPr>
                              <w:rFonts w:ascii="Cambria Math" w:hAnsi="Cambria Math"/>
                            </w:rPr>
                            <m:t>i</m:t>
                          </m:r>
                        </m:sub>
                        <m:sup>
                          <m:d>
                            <m:dPr>
                              <m:ctrlPr>
                                <w:rPr>
                                  <w:rFonts w:ascii="Cambria Math" w:hAnsi="Cambria Math"/>
                                  <w:i/>
                                </w:rPr>
                              </m:ctrlPr>
                            </m:dPr>
                            <m:e>
                              <m:r>
                                <w:rPr>
                                  <w:rFonts w:ascii="Cambria Math" w:hAnsi="Cambria Math"/>
                                </w:rPr>
                                <m:t>k</m:t>
                              </m:r>
                            </m:e>
                          </m:d>
                        </m:sup>
                      </m:sSubSup>
                      <m:r>
                        <w:rPr>
                          <w:rFonts w:ascii="Cambria Math" w:hAnsi="Cambria Math"/>
                        </w:rPr>
                        <m:t>-</m:t>
                      </m:r>
                      <m:d>
                        <m:dPr>
                          <m:begChr m:val="〈"/>
                          <m:endChr m:val="〉"/>
                          <m:ctrlPr>
                            <w:rPr>
                              <w:rFonts w:ascii="Cambria Math" w:hAnsi="Cambria Math"/>
                              <w:lang w:val="en-US"/>
                            </w:rPr>
                          </m:ctrlPr>
                        </m:dPr>
                        <m:e>
                          <m:r>
                            <w:rPr>
                              <w:rFonts w:ascii="Cambria Math" w:hAnsi="Cambria Math"/>
                              <w:lang w:val="en-US"/>
                            </w:rPr>
                            <m:t>y</m:t>
                          </m:r>
                        </m:e>
                      </m:d>
                    </m:e>
                  </m:d>
                </m:e>
              </m:nary>
            </m:num>
            <m:den>
              <m:sSub>
                <m:sSubPr>
                  <m:ctrlPr>
                    <w:rPr>
                      <w:rFonts w:ascii="Cambria Math" w:hAnsi="Cambria Math"/>
                      <w:i/>
                    </w:rPr>
                  </m:ctrlPr>
                </m:sSubPr>
                <m:e>
                  <m:r>
                    <w:rPr>
                      <w:rFonts w:ascii="Cambria Math" w:hAnsi="Cambria Math"/>
                    </w:rPr>
                    <m:t>σ</m:t>
                  </m:r>
                </m:e>
                <m:sub>
                  <m:r>
                    <w:rPr>
                      <w:rFonts w:ascii="Cambria Math" w:hAnsi="Cambria Math"/>
                    </w:rPr>
                    <m:t>x</m:t>
                  </m:r>
                </m:sub>
              </m:sSub>
              <m:sSub>
                <m:sSubPr>
                  <m:ctrlPr>
                    <w:rPr>
                      <w:rFonts w:ascii="Cambria Math" w:hAnsi="Cambria Math"/>
                      <w:i/>
                    </w:rPr>
                  </m:ctrlPr>
                </m:sSubPr>
                <m:e>
                  <m:r>
                    <w:rPr>
                      <w:rFonts w:ascii="Cambria Math" w:hAnsi="Cambria Math"/>
                    </w:rPr>
                    <m:t>σ</m:t>
                  </m:r>
                </m:e>
                <m:sub>
                  <m:r>
                    <w:rPr>
                      <w:rFonts w:ascii="Cambria Math" w:hAnsi="Cambria Math"/>
                    </w:rPr>
                    <m:t>y</m:t>
                  </m:r>
                </m:sub>
              </m:sSub>
            </m:den>
          </m:f>
        </m:oMath>
      </m:oMathPara>
    </w:p>
    <w:p w14:paraId="6CBF8910" w14:textId="77777777" w:rsidR="00FE085F" w:rsidRDefault="00FE085F" w:rsidP="00FE085F">
      <w:pPr>
        <w:jc w:val="both"/>
      </w:pPr>
      <w:r>
        <w:t>where</w:t>
      </w:r>
    </w:p>
    <w:p w14:paraId="0AFA2E04" w14:textId="6530614E" w:rsidR="00FE085F" w:rsidRDefault="00DF5C33" w:rsidP="00FE085F">
      <w:pPr>
        <w:jc w:val="both"/>
      </w:pPr>
      <m:oMathPara>
        <m:oMath>
          <m:d>
            <m:dPr>
              <m:begChr m:val="〈"/>
              <m:endChr m:val="〉"/>
              <m:ctrlPr>
                <w:rPr>
                  <w:rFonts w:ascii="Cambria Math" w:hAnsi="Cambria Math"/>
                  <w:lang w:val="en-US"/>
                </w:rPr>
              </m:ctrlPr>
            </m:dPr>
            <m:e>
              <m:r>
                <w:rPr>
                  <w:rFonts w:ascii="Cambria Math" w:hAnsi="Cambria Math"/>
                  <w:lang w:val="en-US"/>
                </w:rPr>
                <m:t>x</m:t>
              </m:r>
            </m:e>
          </m:d>
          <m:r>
            <w:rPr>
              <w:rFonts w:ascii="Cambria Math" w:hAnsi="Cambria Math"/>
            </w:rPr>
            <m:t>=</m:t>
          </m:r>
          <m:d>
            <m:dPr>
              <m:begChr m:val="〈"/>
              <m:endChr m:val="〉"/>
              <m:ctrlPr>
                <w:rPr>
                  <w:rFonts w:ascii="Cambria Math" w:hAnsi="Cambria Math"/>
                  <w:lang w:val="en-US"/>
                </w:rPr>
              </m:ctrlPr>
            </m:dPr>
            <m:e>
              <m:r>
                <w:rPr>
                  <w:rFonts w:ascii="Cambria Math" w:hAnsi="Cambria Math"/>
                  <w:lang w:val="en-US"/>
                </w:rPr>
                <m:t>y</m:t>
              </m:r>
            </m:e>
          </m:d>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N</m:t>
              </m:r>
            </m:den>
          </m:f>
          <m:nary>
            <m:naryPr>
              <m:chr m:val="∑"/>
              <m:limLoc m:val="undOvr"/>
              <m:ctrlPr>
                <w:rPr>
                  <w:rFonts w:ascii="Cambria Math" w:hAnsi="Cambria Math"/>
                  <w:i/>
                </w:rPr>
              </m:ctrlPr>
            </m:naryPr>
            <m:sub>
              <m:r>
                <w:rPr>
                  <w:rFonts w:ascii="Cambria Math" w:hAnsi="Cambria Math"/>
                </w:rPr>
                <m:t>i=1</m:t>
              </m:r>
            </m:sub>
            <m:sup>
              <m:r>
                <w:rPr>
                  <w:rFonts w:ascii="Cambria Math" w:hAnsi="Cambria Math"/>
                </w:rPr>
                <m:t>N</m:t>
              </m:r>
            </m:sup>
            <m:e>
              <m:sSub>
                <m:sSubPr>
                  <m:ctrlPr>
                    <w:rPr>
                      <w:rFonts w:ascii="Cambria Math" w:hAnsi="Cambria Math"/>
                      <w:i/>
                    </w:rPr>
                  </m:ctrlPr>
                </m:sSubPr>
                <m:e>
                  <m:r>
                    <w:rPr>
                      <w:rFonts w:ascii="Cambria Math" w:hAnsi="Cambria Math"/>
                    </w:rPr>
                    <m:t>x</m:t>
                  </m:r>
                </m:e>
                <m:sub>
                  <m:r>
                    <w:rPr>
                      <w:rFonts w:ascii="Cambria Math" w:hAnsi="Cambria Math"/>
                    </w:rPr>
                    <m:t>i</m:t>
                  </m:r>
                </m:sub>
              </m:sSub>
            </m:e>
          </m:nary>
          <m:r>
            <w:rPr>
              <w:rFonts w:ascii="Cambria Math" w:hAnsi="Cambria Math"/>
            </w:rPr>
            <m:t>,</m:t>
          </m:r>
        </m:oMath>
      </m:oMathPara>
    </w:p>
    <w:p w14:paraId="3AC40507" w14:textId="77777777" w:rsidR="00FE085F" w:rsidRDefault="00DF5C33" w:rsidP="00FE085F">
      <w:pPr>
        <w:pStyle w:val="ListParagraph"/>
        <w:rPr>
          <w:lang w:val="en-US"/>
        </w:rPr>
      </w:pPr>
      <m:oMathPara>
        <m:oMath>
          <m:sSub>
            <m:sSubPr>
              <m:ctrlPr>
                <w:rPr>
                  <w:rFonts w:ascii="Cambria Math" w:hAnsi="Cambria Math"/>
                  <w:i/>
                </w:rPr>
              </m:ctrlPr>
            </m:sSubPr>
            <m:e>
              <m:r>
                <w:rPr>
                  <w:rFonts w:ascii="Cambria Math" w:hAnsi="Cambria Math"/>
                </w:rPr>
                <m:t>σ</m:t>
              </m:r>
            </m:e>
            <m:sub>
              <m:r>
                <w:rPr>
                  <w:rFonts w:ascii="Cambria Math" w:hAnsi="Cambria Math"/>
                </w:rPr>
                <m:t>x</m:t>
              </m:r>
            </m:sub>
          </m:sSub>
          <m:r>
            <w:rPr>
              <w:rFonts w:ascii="Cambria Math" w:hAnsi="Cambria Math"/>
            </w:rPr>
            <m:t>=</m:t>
          </m:r>
          <m:sSub>
            <m:sSubPr>
              <m:ctrlPr>
                <w:rPr>
                  <w:rFonts w:ascii="Cambria Math" w:hAnsi="Cambria Math"/>
                  <w:i/>
                </w:rPr>
              </m:ctrlPr>
            </m:sSubPr>
            <m:e>
              <m:r>
                <w:rPr>
                  <w:rFonts w:ascii="Cambria Math" w:hAnsi="Cambria Math"/>
                </w:rPr>
                <m:t>σ</m:t>
              </m:r>
            </m:e>
            <m:sub>
              <m:r>
                <w:rPr>
                  <w:rFonts w:ascii="Cambria Math" w:hAnsi="Cambria Math"/>
                </w:rPr>
                <m:t>y</m:t>
              </m:r>
            </m:sub>
          </m:sSub>
          <m:r>
            <w:rPr>
              <w:rFonts w:ascii="Cambria Math" w:hAnsi="Cambria Math"/>
              <w:lang w:val="en-US"/>
            </w:rPr>
            <m:t>=</m:t>
          </m:r>
          <m:rad>
            <m:radPr>
              <m:degHide m:val="1"/>
              <m:ctrlPr>
                <w:rPr>
                  <w:rFonts w:ascii="Cambria Math" w:hAnsi="Cambria Math"/>
                  <w:lang w:val="en-US"/>
                </w:rPr>
              </m:ctrlPr>
            </m:radPr>
            <m:deg/>
            <m:e>
              <m:f>
                <m:fPr>
                  <m:ctrlPr>
                    <w:rPr>
                      <w:rFonts w:ascii="Cambria Math" w:hAnsi="Cambria Math"/>
                      <w:lang w:val="en-US"/>
                    </w:rPr>
                  </m:ctrlPr>
                </m:fPr>
                <m:num>
                  <m:r>
                    <w:rPr>
                      <w:rFonts w:ascii="Cambria Math" w:hAnsi="Cambria Math"/>
                      <w:lang w:val="en-US"/>
                    </w:rPr>
                    <m:t>1</m:t>
                  </m:r>
                </m:num>
                <m:den>
                  <m:r>
                    <w:rPr>
                      <w:rFonts w:ascii="Cambria Math" w:hAnsi="Cambria Math"/>
                      <w:lang w:val="en-US"/>
                    </w:rPr>
                    <m:t>N-1</m:t>
                  </m:r>
                </m:den>
              </m:f>
              <m:nary>
                <m:naryPr>
                  <m:chr m:val="∑"/>
                  <m:ctrlPr>
                    <w:rPr>
                      <w:rFonts w:ascii="Cambria Math" w:hAnsi="Cambria Math"/>
                      <w:lang w:val="en-US"/>
                    </w:rPr>
                  </m:ctrlPr>
                </m:naryPr>
                <m:sub>
                  <m:r>
                    <w:rPr>
                      <w:rFonts w:ascii="Cambria Math" w:hAnsi="Cambria Math"/>
                      <w:lang w:val="en-US"/>
                    </w:rPr>
                    <m:t>i=1</m:t>
                  </m:r>
                  <m:ctrlPr>
                    <w:rPr>
                      <w:rFonts w:ascii="Cambria Math" w:hAnsi="Cambria Math"/>
                      <w:i/>
                      <w:lang w:val="en-US"/>
                    </w:rPr>
                  </m:ctrlPr>
                </m:sub>
                <m:sup>
                  <m:r>
                    <w:rPr>
                      <w:rFonts w:ascii="Cambria Math" w:hAnsi="Cambria Math"/>
                      <w:lang w:val="en-US"/>
                    </w:rPr>
                    <m:t>N</m:t>
                  </m:r>
                  <m:ctrlPr>
                    <w:rPr>
                      <w:rFonts w:ascii="Cambria Math" w:hAnsi="Cambria Math"/>
                      <w:i/>
                      <w:lang w:val="en-US"/>
                    </w:rPr>
                  </m:ctrlPr>
                </m:sup>
                <m:e>
                  <m:sSup>
                    <m:sSupPr>
                      <m:ctrlPr>
                        <w:rPr>
                          <w:rFonts w:ascii="Cambria Math" w:hAnsi="Cambria Math"/>
                          <w:i/>
                          <w:lang w:val="en-US"/>
                        </w:rPr>
                      </m:ctrlPr>
                    </m:sSupPr>
                    <m:e>
                      <m:d>
                        <m:dPr>
                          <m:ctrlPr>
                            <w:rPr>
                              <w:rFonts w:ascii="Cambria Math" w:hAnsi="Cambria Math"/>
                              <w:lang w:val="en-US"/>
                            </w:rPr>
                          </m:ctrlPr>
                        </m:dPr>
                        <m:e>
                          <m:sSub>
                            <m:sSubPr>
                              <m:ctrlPr>
                                <w:rPr>
                                  <w:rFonts w:ascii="Cambria Math" w:hAnsi="Cambria Math"/>
                                  <w:i/>
                                  <w:lang w:val="en-US"/>
                                </w:rPr>
                              </m:ctrlPr>
                            </m:sSubPr>
                            <m:e>
                              <m:r>
                                <w:rPr>
                                  <w:rFonts w:ascii="Cambria Math" w:hAnsi="Cambria Math"/>
                                  <w:lang w:val="en-US"/>
                                </w:rPr>
                                <m:t>x</m:t>
                              </m:r>
                              <m:ctrlPr>
                                <w:rPr>
                                  <w:rFonts w:ascii="Cambria Math" w:hAnsi="Cambria Math"/>
                                  <w:lang w:val="en-US"/>
                                </w:rPr>
                              </m:ctrlPr>
                            </m:e>
                            <m:sub>
                              <m:r>
                                <w:rPr>
                                  <w:rFonts w:ascii="Cambria Math" w:hAnsi="Cambria Math"/>
                                  <w:lang w:val="en-US"/>
                                </w:rPr>
                                <m:t>n</m:t>
                              </m:r>
                            </m:sub>
                          </m:sSub>
                          <m:r>
                            <w:rPr>
                              <w:rFonts w:ascii="Cambria Math" w:hAnsi="Cambria Math"/>
                              <w:lang w:val="en-US"/>
                            </w:rPr>
                            <m:t>-</m:t>
                          </m:r>
                          <m:bar>
                            <m:barPr>
                              <m:pos m:val="top"/>
                              <m:ctrlPr>
                                <w:rPr>
                                  <w:rFonts w:ascii="Cambria Math" w:hAnsi="Cambria Math"/>
                                  <w:lang w:val="en-US"/>
                                </w:rPr>
                              </m:ctrlPr>
                            </m:barPr>
                            <m:e>
                              <m:r>
                                <w:rPr>
                                  <w:rFonts w:ascii="Cambria Math" w:hAnsi="Cambria Math"/>
                                  <w:lang w:val="en-US"/>
                                </w:rPr>
                                <m:t>x</m:t>
                              </m:r>
                            </m:e>
                          </m:bar>
                          <m:ctrlPr>
                            <w:rPr>
                              <w:rFonts w:ascii="Cambria Math" w:hAnsi="Cambria Math"/>
                              <w:i/>
                              <w:lang w:val="en-US"/>
                            </w:rPr>
                          </m:ctrlPr>
                        </m:e>
                      </m:d>
                      <m:ctrlPr>
                        <w:rPr>
                          <w:rFonts w:ascii="Cambria Math" w:hAnsi="Cambria Math"/>
                          <w:lang w:val="en-US"/>
                        </w:rPr>
                      </m:ctrlPr>
                    </m:e>
                    <m:sup>
                      <m:r>
                        <w:rPr>
                          <w:rFonts w:ascii="Cambria Math" w:hAnsi="Cambria Math"/>
                          <w:lang w:val="en-US"/>
                        </w:rPr>
                        <m:t>2</m:t>
                      </m:r>
                    </m:sup>
                  </m:sSup>
                </m:e>
              </m:nary>
            </m:e>
          </m:rad>
        </m:oMath>
      </m:oMathPara>
    </w:p>
    <w:p w14:paraId="0D01B284" w14:textId="77777777" w:rsidR="00FE085F" w:rsidRDefault="00FE085F" w:rsidP="00FE085F">
      <w:pPr>
        <w:jc w:val="both"/>
      </w:pPr>
      <w:r>
        <w:rPr>
          <w:lang w:val="en-US"/>
        </w:rPr>
        <w:t xml:space="preserve">are the mean </w:t>
      </w:r>
      <w:r>
        <w:t>and standard deviation of measured samples, respectively.</w:t>
      </w:r>
    </w:p>
    <w:p w14:paraId="152A24AF" w14:textId="77777777" w:rsidR="00FE085F" w:rsidRDefault="00FE085F" w:rsidP="00FE085F">
      <w:pPr>
        <w:jc w:val="both"/>
      </w:pPr>
      <w:r>
        <w:t xml:space="preserve">The independence threshold is set as </w:t>
      </w:r>
      <m:oMath>
        <m:r>
          <w:rPr>
            <w:rFonts w:ascii="Cambria Math" w:hAnsi="Cambria Math"/>
          </w:rPr>
          <m:t>1/e≈0.37</m:t>
        </m:r>
      </m:oMath>
      <w:r>
        <w:t xml:space="preserve"> if the number of samples is infinite. For finite number of samples, the threshold is adjusted as [2]:</w:t>
      </w:r>
    </w:p>
    <w:p w14:paraId="0CCDFFEE" w14:textId="77777777" w:rsidR="00FE085F" w:rsidRDefault="00FE085F" w:rsidP="00FE085F">
      <w:pPr>
        <w:jc w:val="both"/>
      </w:pPr>
      <m:oMathPara>
        <m:oMath>
          <m:r>
            <w:rPr>
              <w:rFonts w:ascii="Cambria Math" w:hAnsi="Cambria Math"/>
            </w:rPr>
            <m:t>r≈0.37</m:t>
          </m:r>
          <m:d>
            <m:dPr>
              <m:ctrlPr>
                <w:rPr>
                  <w:rFonts w:ascii="Cambria Math" w:hAnsi="Cambria Math"/>
                  <w:i/>
                </w:rPr>
              </m:ctrlPr>
            </m:dPr>
            <m:e>
              <m:r>
                <w:rPr>
                  <w:rFonts w:ascii="Cambria Math" w:hAnsi="Cambria Math"/>
                </w:rPr>
                <m:t>1-</m:t>
              </m:r>
              <m:f>
                <m:fPr>
                  <m:ctrlPr>
                    <w:rPr>
                      <w:rFonts w:ascii="Cambria Math" w:hAnsi="Cambria Math"/>
                      <w:i/>
                    </w:rPr>
                  </m:ctrlPr>
                </m:fPr>
                <m:num>
                  <m:r>
                    <w:rPr>
                      <w:rFonts w:ascii="Cambria Math" w:hAnsi="Cambria Math"/>
                    </w:rPr>
                    <m:t>7.22</m:t>
                  </m:r>
                </m:num>
                <m:den>
                  <m:sSup>
                    <m:sSupPr>
                      <m:ctrlPr>
                        <w:rPr>
                          <w:rFonts w:ascii="Cambria Math" w:hAnsi="Cambria Math"/>
                          <w:i/>
                        </w:rPr>
                      </m:ctrlPr>
                    </m:sSupPr>
                    <m:e>
                      <m:r>
                        <w:rPr>
                          <w:rFonts w:ascii="Cambria Math" w:hAnsi="Cambria Math"/>
                        </w:rPr>
                        <m:t>N</m:t>
                      </m:r>
                    </m:e>
                    <m:sup>
                      <m:r>
                        <w:rPr>
                          <w:rFonts w:ascii="Cambria Math" w:hAnsi="Cambria Math"/>
                        </w:rPr>
                        <m:t>0.64</m:t>
                      </m:r>
                    </m:sup>
                  </m:sSup>
                </m:den>
              </m:f>
            </m:e>
          </m:d>
        </m:oMath>
      </m:oMathPara>
    </w:p>
    <w:p w14:paraId="55E00355" w14:textId="77777777" w:rsidR="00FE085F" w:rsidRDefault="00FE085F" w:rsidP="00FE085F">
      <w:pPr>
        <w:jc w:val="both"/>
      </w:pPr>
      <w:r>
        <w:t xml:space="preserve">The 7200 measured samples are plotted in Figure 4 which shows the fading effect caused by the stirring. The correlation coefficient is plotted in Figure 5 with the independence threshold plotted in red. The threshold is calculated as </w:t>
      </w:r>
      <m:oMath>
        <m:r>
          <w:rPr>
            <w:rFonts w:ascii="Cambria Math" w:hAnsi="Cambria Math"/>
          </w:rPr>
          <m:t>r=0.37</m:t>
        </m:r>
        <m:d>
          <m:dPr>
            <m:ctrlPr>
              <w:rPr>
                <w:rFonts w:ascii="Cambria Math" w:hAnsi="Cambria Math"/>
                <w:i/>
              </w:rPr>
            </m:ctrlPr>
          </m:dPr>
          <m:e>
            <m:r>
              <w:rPr>
                <w:rFonts w:ascii="Cambria Math" w:hAnsi="Cambria Math"/>
              </w:rPr>
              <m:t>1-7.22/</m:t>
            </m:r>
            <m:sSup>
              <m:sSupPr>
                <m:ctrlPr>
                  <w:rPr>
                    <w:rFonts w:ascii="Cambria Math" w:hAnsi="Cambria Math"/>
                    <w:i/>
                  </w:rPr>
                </m:ctrlPr>
              </m:sSupPr>
              <m:e>
                <m:r>
                  <w:rPr>
                    <w:rFonts w:ascii="Cambria Math" w:hAnsi="Cambria Math"/>
                  </w:rPr>
                  <m:t>7200</m:t>
                </m:r>
              </m:e>
              <m:sup>
                <m:r>
                  <w:rPr>
                    <w:rFonts w:ascii="Cambria Math" w:hAnsi="Cambria Math"/>
                  </w:rPr>
                  <m:t>0.64</m:t>
                </m:r>
              </m:sup>
            </m:sSup>
            <m:r>
              <w:rPr>
                <w:rFonts w:ascii="Cambria Math" w:hAnsi="Cambria Math"/>
              </w:rPr>
              <m:t xml:space="preserve"> </m:t>
            </m:r>
          </m:e>
        </m:d>
        <m:r>
          <w:rPr>
            <w:rFonts w:ascii="Cambria Math" w:hAnsi="Cambria Math"/>
          </w:rPr>
          <m:t>=0.36</m:t>
        </m:r>
      </m:oMath>
      <w:r>
        <w:t xml:space="preserve">. In this figure, it is observed that the angular separation between the independent samples is </w:t>
      </w:r>
      <m:oMath>
        <m:sSup>
          <m:sSupPr>
            <m:ctrlPr>
              <w:rPr>
                <w:rFonts w:ascii="Cambria Math" w:hAnsi="Cambria Math"/>
                <w:i/>
              </w:rPr>
            </m:ctrlPr>
          </m:sSupPr>
          <m:e>
            <m:r>
              <w:rPr>
                <w:rFonts w:ascii="Cambria Math" w:hAnsi="Cambria Math"/>
              </w:rPr>
              <m:t>1</m:t>
            </m:r>
          </m:e>
          <m:sup>
            <m:r>
              <w:rPr>
                <w:rFonts w:ascii="Cambria Math" w:hAnsi="Cambria Math"/>
              </w:rPr>
              <m:t>∘</m:t>
            </m:r>
          </m:sup>
        </m:sSup>
      </m:oMath>
      <w:r>
        <w:t>. This angular separation means that only 360 independent samples are measured in one full rotation of the stirrer.</w:t>
      </w:r>
    </w:p>
    <w:p w14:paraId="0DECC4B9" w14:textId="77777777" w:rsidR="00FE085F" w:rsidRDefault="00FE085F" w:rsidP="00FE085F">
      <w:pPr>
        <w:jc w:val="both"/>
      </w:pPr>
      <w:r>
        <w:t xml:space="preserve">The number of independent samples </w:t>
      </w:r>
      <m:oMath>
        <m:sSub>
          <m:sSubPr>
            <m:ctrlPr>
              <w:rPr>
                <w:rFonts w:ascii="Cambria Math" w:hAnsi="Cambria Math"/>
                <w:i/>
              </w:rPr>
            </m:ctrlPr>
          </m:sSubPr>
          <m:e>
            <m:r>
              <w:rPr>
                <w:rFonts w:ascii="Cambria Math" w:hAnsi="Cambria Math"/>
              </w:rPr>
              <m:t>N</m:t>
            </m:r>
          </m:e>
          <m:sub>
            <m:r>
              <m:rPr>
                <m:sty m:val="p"/>
              </m:rPr>
              <w:rPr>
                <w:rFonts w:ascii="Cambria Math" w:hAnsi="Cambria Math"/>
              </w:rPr>
              <m:t>ind</m:t>
            </m:r>
          </m:sub>
        </m:sSub>
      </m:oMath>
      <w:r>
        <w:t xml:space="preserve"> is related to the uncertainty of chamber gain measurement as [3]:</w:t>
      </w:r>
    </w:p>
    <w:p w14:paraId="4F43B5D0" w14:textId="77777777" w:rsidR="00FE085F" w:rsidRDefault="00FE085F" w:rsidP="00FE085F">
      <w:pPr>
        <w:jc w:val="both"/>
      </w:pPr>
      <m:oMathPara>
        <m:oMath>
          <m:r>
            <w:rPr>
              <w:rFonts w:ascii="Cambria Math" w:hAnsi="Cambria Math"/>
            </w:rPr>
            <m:t>σ=</m:t>
          </m:r>
          <m:f>
            <m:fPr>
              <m:ctrlPr>
                <w:rPr>
                  <w:rFonts w:ascii="Cambria Math" w:hAnsi="Cambria Math"/>
                  <w:i/>
                </w:rPr>
              </m:ctrlPr>
            </m:fPr>
            <m:num>
              <m:r>
                <w:rPr>
                  <w:rFonts w:ascii="Cambria Math" w:hAnsi="Cambria Math"/>
                </w:rPr>
                <m:t>1</m:t>
              </m:r>
            </m:num>
            <m:den>
              <m:rad>
                <m:radPr>
                  <m:degHide m:val="1"/>
                  <m:ctrlPr>
                    <w:rPr>
                      <w:rFonts w:ascii="Cambria Math" w:hAnsi="Cambria Math"/>
                      <w:i/>
                    </w:rPr>
                  </m:ctrlPr>
                </m:radPr>
                <m:deg/>
                <m:e>
                  <m:sSub>
                    <m:sSubPr>
                      <m:ctrlPr>
                        <w:rPr>
                          <w:rFonts w:ascii="Cambria Math" w:hAnsi="Cambria Math"/>
                          <w:i/>
                        </w:rPr>
                      </m:ctrlPr>
                    </m:sSubPr>
                    <m:e>
                      <m:r>
                        <w:rPr>
                          <w:rFonts w:ascii="Cambria Math" w:hAnsi="Cambria Math"/>
                        </w:rPr>
                        <m:t>N</m:t>
                      </m:r>
                    </m:e>
                    <m:sub>
                      <m:r>
                        <m:rPr>
                          <m:sty m:val="p"/>
                        </m:rPr>
                        <w:rPr>
                          <w:rFonts w:ascii="Cambria Math" w:hAnsi="Cambria Math"/>
                        </w:rPr>
                        <m:t>ind</m:t>
                      </m:r>
                    </m:sub>
                  </m:sSub>
                </m:e>
              </m:rad>
            </m:den>
          </m:f>
        </m:oMath>
      </m:oMathPara>
    </w:p>
    <w:p w14:paraId="73A2C6C6" w14:textId="77777777" w:rsidR="00FE085F" w:rsidRDefault="00FE085F" w:rsidP="00FE085F">
      <w:pPr>
        <w:jc w:val="both"/>
      </w:pPr>
      <w:r>
        <w:lastRenderedPageBreak/>
        <w:t xml:space="preserve">which in this case corresponds to </w:t>
      </w:r>
      <m:oMath>
        <m:r>
          <w:rPr>
            <w:rFonts w:ascii="Cambria Math" w:hAnsi="Cambria Math"/>
          </w:rPr>
          <m:t>±5%</m:t>
        </m:r>
      </m:oMath>
      <w:r>
        <w:t xml:space="preserve"> or </w:t>
      </w:r>
      <m:oMath>
        <m:r>
          <w:rPr>
            <w:rFonts w:ascii="Cambria Math" w:hAnsi="Cambria Math"/>
          </w:rPr>
          <m:t xml:space="preserve">±0.25 </m:t>
        </m:r>
        <m:r>
          <m:rPr>
            <m:sty m:val="p"/>
          </m:rPr>
          <w:rPr>
            <w:rFonts w:ascii="Cambria Math" w:hAnsi="Cambria Math"/>
          </w:rPr>
          <m:t>dB</m:t>
        </m:r>
      </m:oMath>
      <w:r>
        <w:t>.</w:t>
      </w:r>
    </w:p>
    <w:p w14:paraId="46B08E71" w14:textId="089480C0" w:rsidR="00FE085F" w:rsidRDefault="00FE085F" w:rsidP="00FE085F">
      <w:pPr>
        <w:jc w:val="center"/>
      </w:pPr>
      <w:r>
        <w:rPr>
          <w:noProof/>
        </w:rPr>
        <w:drawing>
          <wp:inline distT="0" distB="0" distL="0" distR="0" wp14:anchorId="06A191CE" wp14:editId="769DC15A">
            <wp:extent cx="4451663" cy="2311284"/>
            <wp:effectExtent l="0" t="0" r="635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tretch>
                      <a:fillRect/>
                    </a:stretch>
                  </pic:blipFill>
                  <pic:spPr bwMode="auto">
                    <a:xfrm>
                      <a:off x="0" y="0"/>
                      <a:ext cx="4471479" cy="2321572"/>
                    </a:xfrm>
                    <a:prstGeom prst="rect">
                      <a:avLst/>
                    </a:prstGeom>
                    <a:noFill/>
                    <a:ln>
                      <a:noFill/>
                    </a:ln>
                  </pic:spPr>
                </pic:pic>
              </a:graphicData>
            </a:graphic>
          </wp:inline>
        </w:drawing>
      </w:r>
      <w:r w:rsidR="00B121D7" w:rsidRPr="00B121D7">
        <w:t xml:space="preserve"> </w:t>
      </w:r>
    </w:p>
    <w:p w14:paraId="7E557045" w14:textId="77777777" w:rsidR="00FE085F" w:rsidRDefault="00FE085F" w:rsidP="00FE085F">
      <w:pPr>
        <w:jc w:val="both"/>
        <w:rPr>
          <w:b/>
          <w:bCs/>
        </w:rPr>
      </w:pPr>
      <w:r>
        <w:rPr>
          <w:b/>
          <w:bCs/>
        </w:rPr>
        <w:t>Figure 4. Measured samples vs. stirrer angle.</w:t>
      </w:r>
    </w:p>
    <w:p w14:paraId="2EC1047F" w14:textId="77777777" w:rsidR="00FE085F" w:rsidRDefault="00FE085F" w:rsidP="00FE085F">
      <w:pPr>
        <w:jc w:val="both"/>
      </w:pPr>
    </w:p>
    <w:p w14:paraId="3DD658AC" w14:textId="2B312155" w:rsidR="00FE085F" w:rsidRDefault="00FD2A01" w:rsidP="00FE085F">
      <w:pPr>
        <w:jc w:val="center"/>
      </w:pPr>
      <w:r w:rsidRPr="00FD2A01">
        <w:rPr>
          <w:noProof/>
        </w:rPr>
        <w:drawing>
          <wp:inline distT="0" distB="0" distL="0" distR="0" wp14:anchorId="2248078F" wp14:editId="614ADF65">
            <wp:extent cx="4349534" cy="2304084"/>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6">
                      <a:extLst>
                        <a:ext uri="{28A0092B-C50C-407E-A947-70E740481C1C}">
                          <a14:useLocalDpi xmlns:a14="http://schemas.microsoft.com/office/drawing/2010/main" val="0"/>
                        </a:ext>
                      </a:extLst>
                    </a:blip>
                    <a:srcRect r="37503" b="31135"/>
                    <a:stretch/>
                  </pic:blipFill>
                  <pic:spPr bwMode="auto">
                    <a:xfrm>
                      <a:off x="0" y="0"/>
                      <a:ext cx="4381173" cy="2320844"/>
                    </a:xfrm>
                    <a:prstGeom prst="rect">
                      <a:avLst/>
                    </a:prstGeom>
                    <a:noFill/>
                    <a:ln>
                      <a:noFill/>
                    </a:ln>
                    <a:extLst>
                      <a:ext uri="{53640926-AAD7-44D8-BBD7-CCE9431645EC}">
                        <a14:shadowObscured xmlns:a14="http://schemas.microsoft.com/office/drawing/2010/main"/>
                      </a:ext>
                    </a:extLst>
                  </pic:spPr>
                </pic:pic>
              </a:graphicData>
            </a:graphic>
          </wp:inline>
        </w:drawing>
      </w:r>
    </w:p>
    <w:p w14:paraId="6314A4D6" w14:textId="77777777" w:rsidR="00FE085F" w:rsidRDefault="00FE085F" w:rsidP="00FE085F">
      <w:pPr>
        <w:rPr>
          <w:b/>
          <w:bCs/>
        </w:rPr>
      </w:pPr>
      <w:r>
        <w:rPr>
          <w:b/>
          <w:bCs/>
        </w:rPr>
        <w:t>Figure 5. Correlation coefficient vs. stirrer angle. The independence threshold plotted in red.</w:t>
      </w:r>
    </w:p>
    <w:p w14:paraId="2A04843A" w14:textId="77777777" w:rsidR="00FE085F" w:rsidRDefault="00FE085F" w:rsidP="00FE085F">
      <w:pPr>
        <w:pStyle w:val="Heading2"/>
      </w:pPr>
      <w:r>
        <w:t>2.3 K-factor</w:t>
      </w:r>
    </w:p>
    <w:p w14:paraId="0A5180C9" w14:textId="77777777" w:rsidR="00FE085F" w:rsidRDefault="00FE085F" w:rsidP="00FE085F">
      <w:pPr>
        <w:jc w:val="both"/>
      </w:pPr>
      <w:r>
        <w:t xml:space="preserve">The K-factor can be estimated from measured complex </w:t>
      </w:r>
      <m:oMath>
        <m:sSub>
          <m:sSubPr>
            <m:ctrlPr>
              <w:rPr>
                <w:rFonts w:ascii="Cambria Math" w:hAnsi="Cambria Math"/>
                <w:i/>
              </w:rPr>
            </m:ctrlPr>
          </m:sSubPr>
          <m:e>
            <m:r>
              <w:rPr>
                <w:rFonts w:ascii="Cambria Math" w:hAnsi="Cambria Math"/>
              </w:rPr>
              <m:t>S</m:t>
            </m:r>
          </m:e>
          <m:sub>
            <m:r>
              <w:rPr>
                <w:rFonts w:ascii="Cambria Math" w:hAnsi="Cambria Math"/>
              </w:rPr>
              <m:t>21</m:t>
            </m:r>
          </m:sub>
        </m:sSub>
      </m:oMath>
      <w:r>
        <w:t xml:space="preserve"> values as</w:t>
      </w:r>
    </w:p>
    <w:p w14:paraId="73C65F15" w14:textId="77777777" w:rsidR="00FE085F" w:rsidRPr="002A2AC3" w:rsidRDefault="00FE085F" w:rsidP="00FE085F">
      <w:pPr>
        <w:jc w:val="both"/>
        <w:rPr>
          <w:lang w:val="en-US"/>
        </w:rPr>
      </w:pPr>
      <m:oMathPara>
        <m:oMath>
          <m:r>
            <w:rPr>
              <w:rFonts w:ascii="Cambria Math" w:hAnsi="Cambria Math"/>
            </w:rPr>
            <m:t>K</m:t>
          </m:r>
          <m:r>
            <m:rPr>
              <m:sty m:val="p"/>
            </m:rPr>
            <w:rPr>
              <w:rFonts w:ascii="Cambria Math" w:hAnsi="Cambria Math"/>
            </w:rPr>
            <m:t>=</m:t>
          </m:r>
          <m:f>
            <m:fPr>
              <m:ctrlPr>
                <w:rPr>
                  <w:rFonts w:ascii="Cambria Math" w:hAnsi="Cambria Math"/>
                </w:rPr>
              </m:ctrlPr>
            </m:fPr>
            <m:num>
              <m:sSup>
                <m:sSupPr>
                  <m:ctrlPr>
                    <w:rPr>
                      <w:rFonts w:ascii="Cambria Math" w:hAnsi="Cambria Math"/>
                    </w:rPr>
                  </m:ctrlPr>
                </m:sSupPr>
                <m:e>
                  <m:d>
                    <m:dPr>
                      <m:begChr m:val="|"/>
                      <m:endChr m:val="|"/>
                      <m:ctrlPr>
                        <w:rPr>
                          <w:rFonts w:ascii="Cambria Math" w:hAnsi="Cambria Math"/>
                        </w:rPr>
                      </m:ctrlPr>
                    </m:dPr>
                    <m:e>
                      <m:d>
                        <m:dPr>
                          <m:begChr m:val="〈"/>
                          <m:endChr m:val="〉"/>
                          <m:ctrlPr>
                            <w:rPr>
                              <w:rFonts w:ascii="Cambria Math" w:hAnsi="Cambria Math"/>
                            </w:rPr>
                          </m:ctrlPr>
                        </m:dPr>
                        <m:e>
                          <m:sSub>
                            <m:sSubPr>
                              <m:ctrlPr>
                                <w:rPr>
                                  <w:rFonts w:ascii="Cambria Math" w:hAnsi="Cambria Math"/>
                                </w:rPr>
                              </m:ctrlPr>
                            </m:sSubPr>
                            <m:e>
                              <m:r>
                                <w:rPr>
                                  <w:rFonts w:ascii="Cambria Math" w:hAnsi="Cambria Math"/>
                                </w:rPr>
                                <m:t>S</m:t>
                              </m:r>
                            </m:e>
                            <m:sub>
                              <m:r>
                                <m:rPr>
                                  <m:sty m:val="p"/>
                                </m:rPr>
                                <w:rPr>
                                  <w:rFonts w:ascii="Cambria Math" w:hAnsi="Cambria Math"/>
                                </w:rPr>
                                <m:t>21</m:t>
                              </m:r>
                            </m:sub>
                          </m:sSub>
                        </m:e>
                      </m:d>
                    </m:e>
                  </m:d>
                </m:e>
                <m:sup>
                  <m:r>
                    <m:rPr>
                      <m:sty m:val="p"/>
                    </m:rPr>
                    <w:rPr>
                      <w:rFonts w:ascii="Cambria Math" w:hAnsi="Cambria Math"/>
                    </w:rPr>
                    <m:t>2</m:t>
                  </m:r>
                </m:sup>
              </m:sSup>
            </m:num>
            <m:den>
              <m:d>
                <m:dPr>
                  <m:begChr m:val="〈"/>
                  <m:endChr m:val="〉"/>
                  <m:ctrlPr>
                    <w:rPr>
                      <w:rFonts w:ascii="Cambria Math" w:hAnsi="Cambria Math"/>
                    </w:rPr>
                  </m:ctrlPr>
                </m:dPr>
                <m:e>
                  <m:sSup>
                    <m:sSupPr>
                      <m:ctrlPr>
                        <w:rPr>
                          <w:rFonts w:ascii="Cambria Math" w:hAnsi="Cambria Math"/>
                        </w:rPr>
                      </m:ctrlPr>
                    </m:sSupPr>
                    <m:e>
                      <m:d>
                        <m:dPr>
                          <m:begChr m:val="|"/>
                          <m:endChr m:val="|"/>
                          <m:ctrlPr>
                            <w:rPr>
                              <w:rFonts w:ascii="Cambria Math" w:hAnsi="Cambria Math"/>
                            </w:rPr>
                          </m:ctrlPr>
                        </m:dPr>
                        <m:e>
                          <m:sSub>
                            <m:sSubPr>
                              <m:ctrlPr>
                                <w:rPr>
                                  <w:rFonts w:ascii="Cambria Math" w:hAnsi="Cambria Math"/>
                                </w:rPr>
                              </m:ctrlPr>
                            </m:sSubPr>
                            <m:e>
                              <m:r>
                                <w:rPr>
                                  <w:rFonts w:ascii="Cambria Math" w:hAnsi="Cambria Math"/>
                                </w:rPr>
                                <m:t>S</m:t>
                              </m:r>
                            </m:e>
                            <m:sub>
                              <m:r>
                                <m:rPr>
                                  <m:sty m:val="p"/>
                                </m:rPr>
                                <w:rPr>
                                  <w:rFonts w:ascii="Cambria Math" w:hAnsi="Cambria Math"/>
                                </w:rPr>
                                <m:t>21</m:t>
                              </m:r>
                            </m:sub>
                          </m:sSub>
                          <m:r>
                            <m:rPr>
                              <m:sty m:val="p"/>
                            </m:rPr>
                            <w:rPr>
                              <w:rFonts w:ascii="Cambria Math" w:hAnsi="Cambria Math"/>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S</m:t>
                                  </m:r>
                                </m:e>
                                <m:sub>
                                  <m:r>
                                    <m:rPr>
                                      <m:sty m:val="p"/>
                                    </m:rPr>
                                    <w:rPr>
                                      <w:rFonts w:ascii="Cambria Math" w:hAnsi="Cambria Math"/>
                                    </w:rPr>
                                    <m:t>21</m:t>
                                  </m:r>
                                </m:sub>
                              </m:sSub>
                            </m:e>
                          </m:d>
                        </m:e>
                      </m:d>
                    </m:e>
                    <m:sup>
                      <m:r>
                        <m:rPr>
                          <m:sty m:val="p"/>
                        </m:rPr>
                        <w:rPr>
                          <w:rFonts w:ascii="Cambria Math" w:hAnsi="Cambria Math"/>
                        </w:rPr>
                        <m:t>2</m:t>
                      </m:r>
                    </m:sup>
                  </m:sSup>
                </m:e>
              </m:d>
            </m:den>
          </m:f>
        </m:oMath>
      </m:oMathPara>
    </w:p>
    <w:p w14:paraId="1C3A8E16" w14:textId="77777777" w:rsidR="00FE085F" w:rsidRDefault="00FE085F" w:rsidP="00FE085F">
      <w:pPr>
        <w:pBdr>
          <w:bottom w:val="single" w:sz="4" w:space="1" w:color="auto"/>
        </w:pBdr>
        <w:jc w:val="both"/>
      </w:pPr>
      <w:r w:rsidRPr="00CD3FCC">
        <w:t xml:space="preserve">where </w:t>
      </w:r>
      <m:oMath>
        <m:d>
          <m:dPr>
            <m:begChr m:val="〈"/>
            <m:endChr m:val="〉"/>
            <m:ctrlPr>
              <w:rPr>
                <w:rFonts w:ascii="Cambria Math" w:hAnsi="Cambria Math"/>
              </w:rPr>
            </m:ctrlPr>
          </m:dPr>
          <m:e>
            <m:r>
              <m:rPr>
                <m:sty m:val="p"/>
              </m:rPr>
              <w:rPr>
                <w:rFonts w:ascii="Cambria Math" w:hAnsi="Cambria Math"/>
              </w:rPr>
              <m:t>⋅</m:t>
            </m:r>
          </m:e>
        </m:d>
      </m:oMath>
      <w:r w:rsidRPr="00CD3FCC">
        <w:t xml:space="preserve"> denotes the expected value.</w:t>
      </w:r>
      <w:r>
        <w:t xml:space="preserve"> Note that complex </w:t>
      </w:r>
      <m:oMath>
        <m:sSub>
          <m:sSubPr>
            <m:ctrlPr>
              <w:rPr>
                <w:rFonts w:ascii="Cambria Math" w:hAnsi="Cambria Math"/>
                <w:i/>
              </w:rPr>
            </m:ctrlPr>
          </m:sSubPr>
          <m:e>
            <m:r>
              <w:rPr>
                <w:rFonts w:ascii="Cambria Math" w:hAnsi="Cambria Math"/>
              </w:rPr>
              <m:t>S</m:t>
            </m:r>
          </m:e>
          <m:sub>
            <m:r>
              <w:rPr>
                <w:rFonts w:ascii="Cambria Math" w:hAnsi="Cambria Math"/>
              </w:rPr>
              <m:t>21</m:t>
            </m:r>
          </m:sub>
        </m:sSub>
      </m:oMath>
      <w:r>
        <w:t xml:space="preserve"> values are </w:t>
      </w:r>
      <w:proofErr w:type="gramStart"/>
      <w:r>
        <w:t>needed</w:t>
      </w:r>
      <w:proofErr w:type="gramEnd"/>
      <w:r>
        <w:t xml:space="preserve"> and magnitude data is not enough to calculate the K-factor properly.</w:t>
      </w:r>
    </w:p>
    <w:p w14:paraId="0D699360" w14:textId="77777777" w:rsidR="00FE085F" w:rsidRDefault="00FE085F" w:rsidP="00FE085F">
      <w:pPr>
        <w:pBdr>
          <w:bottom w:val="single" w:sz="4" w:space="1" w:color="auto"/>
        </w:pBdr>
        <w:jc w:val="both"/>
      </w:pPr>
      <w:r>
        <w:t xml:space="preserve">The same chamber as above is used again. The presented results correspond to 2.5 GHz. The measurement is performed with stirrer steps of </w:t>
      </w:r>
      <m:oMath>
        <m:sSup>
          <m:sSupPr>
            <m:ctrlPr>
              <w:rPr>
                <w:rFonts w:ascii="Cambria Math" w:hAnsi="Cambria Math"/>
                <w:i/>
              </w:rPr>
            </m:ctrlPr>
          </m:sSupPr>
          <m:e>
            <m:r>
              <w:rPr>
                <w:rFonts w:ascii="Cambria Math" w:hAnsi="Cambria Math"/>
              </w:rPr>
              <m:t>0.05</m:t>
            </m:r>
          </m:e>
          <m:sup>
            <m:r>
              <w:rPr>
                <w:rFonts w:ascii="Cambria Math" w:hAnsi="Cambria Math"/>
              </w:rPr>
              <m:t>∘</m:t>
            </m:r>
          </m:sup>
        </m:sSup>
      </m:oMath>
      <w:r>
        <w:t xml:space="preserve"> which results in 7200 samples. However, not all these samples are independent. The angular separation between the independent samples can be found by calculating the correlation factors with the shifted measurement </w:t>
      </w:r>
      <w:r w:rsidRPr="00056557">
        <w:t>data [2].</w:t>
      </w:r>
      <w:r w:rsidRPr="00246389">
        <w:t xml:space="preserve"> </w:t>
      </w:r>
      <w:r>
        <w:t>Only independent samples are used here to calculate the K-factor.</w:t>
      </w:r>
    </w:p>
    <w:p w14:paraId="264771E3" w14:textId="77777777" w:rsidR="00FE085F" w:rsidRDefault="00FE085F" w:rsidP="00FE085F">
      <w:pPr>
        <w:pBdr>
          <w:bottom w:val="single" w:sz="4" w:space="1" w:color="auto"/>
        </w:pBdr>
        <w:jc w:val="both"/>
        <w:rPr>
          <w:lang w:val="en-US"/>
        </w:rPr>
      </w:pPr>
      <w:r>
        <w:rPr>
          <w:lang w:val="en-US"/>
        </w:rPr>
        <w:t xml:space="preserve">Figure 6 shows the K-factor values vs. chamber gain. It is seen that while the chamber gain has relatively small variation, the K-factor can vary a lot. Furthermore, the present setting shows many samples with K-factor larger than -15 dB which is required for TRP measurement with reasonable accuracy. Therefore, the present setup of the chamber does not provide low enough K-factor values for TRP measurements. Changes in the setup such as adding to the stirrers and adding a turntable for the </w:t>
      </w:r>
      <w:proofErr w:type="gramStart"/>
      <w:r>
        <w:rPr>
          <w:lang w:val="en-US"/>
        </w:rPr>
        <w:t>DUT, or</w:t>
      </w:r>
      <w:proofErr w:type="gramEnd"/>
      <w:r>
        <w:rPr>
          <w:lang w:val="en-US"/>
        </w:rPr>
        <w:t xml:space="preserve"> placing the antennas such that the direct path between the two is blocked by the stirrer can reduce the K-factor.</w:t>
      </w:r>
    </w:p>
    <w:p w14:paraId="1DE8EB28" w14:textId="77777777" w:rsidR="00FE085F" w:rsidRDefault="00FE085F" w:rsidP="00FE085F">
      <w:pPr>
        <w:pBdr>
          <w:bottom w:val="single" w:sz="4" w:space="1" w:color="auto"/>
        </w:pBdr>
        <w:jc w:val="center"/>
      </w:pPr>
      <w:r w:rsidRPr="00DC10A4">
        <w:rPr>
          <w:rFonts w:ascii="Arial" w:hAnsi="Arial" w:cs="Arial"/>
          <w:noProof/>
        </w:rPr>
        <w:lastRenderedPageBreak/>
        <w:drawing>
          <wp:inline distT="0" distB="0" distL="0" distR="0" wp14:anchorId="7C313AA1" wp14:editId="07A333BE">
            <wp:extent cx="4547851" cy="2296973"/>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7">
                      <a:extLst>
                        <a:ext uri="{28A0092B-C50C-407E-A947-70E740481C1C}">
                          <a14:useLocalDpi xmlns:a14="http://schemas.microsoft.com/office/drawing/2010/main" val="0"/>
                        </a:ext>
                      </a:extLst>
                    </a:blip>
                    <a:srcRect l="895" r="37940" b="31987"/>
                    <a:stretch/>
                  </pic:blipFill>
                  <pic:spPr bwMode="auto">
                    <a:xfrm>
                      <a:off x="0" y="0"/>
                      <a:ext cx="4562306" cy="2304274"/>
                    </a:xfrm>
                    <a:prstGeom prst="rect">
                      <a:avLst/>
                    </a:prstGeom>
                    <a:noFill/>
                    <a:ln>
                      <a:noFill/>
                    </a:ln>
                    <a:extLst>
                      <a:ext uri="{53640926-AAD7-44D8-BBD7-CCE9431645EC}">
                        <a14:shadowObscured xmlns:a14="http://schemas.microsoft.com/office/drawing/2010/main"/>
                      </a:ext>
                    </a:extLst>
                  </pic:spPr>
                </pic:pic>
              </a:graphicData>
            </a:graphic>
          </wp:inline>
        </w:drawing>
      </w:r>
    </w:p>
    <w:p w14:paraId="0B922145" w14:textId="77777777" w:rsidR="00FE085F" w:rsidRDefault="00FE085F" w:rsidP="00FE085F">
      <w:pPr>
        <w:pBdr>
          <w:bottom w:val="single" w:sz="4" w:space="1" w:color="auto"/>
        </w:pBdr>
        <w:jc w:val="both"/>
        <w:rPr>
          <w:b/>
          <w:bCs/>
        </w:rPr>
      </w:pPr>
      <w:r w:rsidRPr="00FE26A9">
        <w:rPr>
          <w:b/>
          <w:bCs/>
        </w:rPr>
        <w:t xml:space="preserve">Figure </w:t>
      </w:r>
      <w:r>
        <w:rPr>
          <w:b/>
          <w:bCs/>
        </w:rPr>
        <w:t>6</w:t>
      </w:r>
      <w:r w:rsidRPr="00FE26A9">
        <w:rPr>
          <w:b/>
          <w:bCs/>
        </w:rPr>
        <w:t xml:space="preserve">. </w:t>
      </w:r>
      <w:r>
        <w:rPr>
          <w:b/>
          <w:bCs/>
        </w:rPr>
        <w:t>Chamber transfer function vs. the K-factor in different positions in the chamber.</w:t>
      </w:r>
    </w:p>
    <w:p w14:paraId="00130F57" w14:textId="77777777" w:rsidR="00FE085F" w:rsidRDefault="00FE085F" w:rsidP="00FE085F">
      <w:pPr>
        <w:pBdr>
          <w:bottom w:val="single" w:sz="4" w:space="1" w:color="auto"/>
        </w:pBdr>
        <w:jc w:val="both"/>
        <w:rPr>
          <w:b/>
          <w:bCs/>
        </w:rPr>
      </w:pPr>
    </w:p>
    <w:p w14:paraId="764023B7" w14:textId="77777777" w:rsidR="00BD49F5" w:rsidRDefault="00BD49F5" w:rsidP="00BD49F5">
      <w:pPr>
        <w:pStyle w:val="Heading1"/>
        <w:keepLines w:val="0"/>
        <w:numPr>
          <w:ilvl w:val="0"/>
          <w:numId w:val="1"/>
        </w:numPr>
        <w:pBdr>
          <w:top w:val="none" w:sz="0" w:space="0" w:color="auto"/>
        </w:pBdr>
        <w:spacing w:before="0" w:after="240"/>
        <w:ind w:right="284" w:hanging="720"/>
        <w:jc w:val="both"/>
      </w:pPr>
      <w:r>
        <w:t>Conclusion</w:t>
      </w:r>
    </w:p>
    <w:p w14:paraId="15A71CA5" w14:textId="77777777" w:rsidR="00BD49F5" w:rsidRDefault="00FE085F" w:rsidP="00FE085F">
      <w:pPr>
        <w:pStyle w:val="BodyText"/>
        <w:jc w:val="both"/>
      </w:pPr>
      <w:r>
        <w:t xml:space="preserve">Measurement results of uniformity test, correlation between measured samples and the number of independent samples for a </w:t>
      </w:r>
      <m:oMath>
        <m:r>
          <w:rPr>
            <w:rFonts w:ascii="Cambria Math" w:hAnsi="Cambria Math"/>
          </w:rPr>
          <m:t xml:space="preserve">3.9×4.9×4.2 </m:t>
        </m:r>
        <m:sSup>
          <m:sSupPr>
            <m:ctrlPr>
              <w:rPr>
                <w:rFonts w:ascii="Cambria Math" w:hAnsi="Cambria Math"/>
                <w:i/>
              </w:rPr>
            </m:ctrlPr>
          </m:sSupPr>
          <m:e>
            <m:r>
              <m:rPr>
                <m:sty m:val="p"/>
              </m:rPr>
              <w:rPr>
                <w:rFonts w:ascii="Cambria Math" w:hAnsi="Cambria Math"/>
              </w:rPr>
              <m:t>m</m:t>
            </m:r>
          </m:e>
          <m:sup>
            <m:r>
              <w:rPr>
                <w:rFonts w:ascii="Cambria Math" w:hAnsi="Cambria Math"/>
              </w:rPr>
              <m:t>3</m:t>
            </m:r>
          </m:sup>
        </m:sSup>
      </m:oMath>
      <w:r>
        <w:t xml:space="preserve"> reverberation chamber </w:t>
      </w:r>
      <w:proofErr w:type="gramStart"/>
      <w:r>
        <w:t>are</w:t>
      </w:r>
      <w:proofErr w:type="gramEnd"/>
      <w:r>
        <w:t xml:space="preserve"> presented. These are part of the chamber verification procedure. </w:t>
      </w:r>
      <w:r w:rsidR="00BD49F5">
        <w:t>It is observed that the gain of the present chamber has relatively small variations with regards to different positions and polarizations in the test volume.</w:t>
      </w:r>
    </w:p>
    <w:p w14:paraId="47029C1D" w14:textId="77777777" w:rsidR="00FE085F" w:rsidRDefault="00FE085F" w:rsidP="00BD49F5">
      <w:pPr>
        <w:pStyle w:val="BodyText"/>
        <w:jc w:val="both"/>
        <w:rPr>
          <w:iCs/>
        </w:rPr>
      </w:pPr>
      <w:r>
        <w:t xml:space="preserve">The number of independent samples has a direct effect on the measurement uncertainty. 100 independent samples correspond to </w:t>
      </w:r>
      <m:oMath>
        <m:r>
          <w:rPr>
            <w:rFonts w:ascii="Cambria Math" w:hAnsi="Cambria Math"/>
          </w:rPr>
          <m:t xml:space="preserve">±0.5 </m:t>
        </m:r>
        <m:r>
          <m:rPr>
            <m:sty m:val="p"/>
          </m:rPr>
          <w:rPr>
            <w:rFonts w:ascii="Cambria Math" w:hAnsi="Cambria Math"/>
          </w:rPr>
          <m:t>dB</m:t>
        </m:r>
      </m:oMath>
      <w:r>
        <w:rPr>
          <w:iCs/>
        </w:rPr>
        <w:t xml:space="preserve"> uncertainty whereas 360 samples correspond to </w:t>
      </w:r>
      <m:oMath>
        <m:r>
          <w:rPr>
            <w:rFonts w:ascii="Cambria Math" w:hAnsi="Cambria Math"/>
          </w:rPr>
          <m:t xml:space="preserve">±0.25 </m:t>
        </m:r>
        <m:r>
          <m:rPr>
            <m:sty m:val="p"/>
          </m:rPr>
          <w:rPr>
            <w:rFonts w:ascii="Cambria Math" w:hAnsi="Cambria Math"/>
          </w:rPr>
          <m:t>dB</m:t>
        </m:r>
      </m:oMath>
      <w:r>
        <w:rPr>
          <w:iCs/>
        </w:rPr>
        <w:t xml:space="preserve"> uncertainty. The number of independent samples can be increased by, e.g., adding stirrers in the chamber or modifying the layout of the antennas.</w:t>
      </w:r>
    </w:p>
    <w:p w14:paraId="4A2BEAE3" w14:textId="77777777" w:rsidR="00FE085F" w:rsidRDefault="00FE085F" w:rsidP="00BD49F5">
      <w:pPr>
        <w:pStyle w:val="BodyText"/>
        <w:jc w:val="both"/>
      </w:pPr>
      <w:r>
        <w:t xml:space="preserve">The K-factor can be calculated from the complex </w:t>
      </w:r>
      <m:oMath>
        <m:sSub>
          <m:sSubPr>
            <m:ctrlPr>
              <w:rPr>
                <w:rFonts w:ascii="Cambria Math" w:hAnsi="Cambria Math"/>
                <w:i/>
              </w:rPr>
            </m:ctrlPr>
          </m:sSubPr>
          <m:e>
            <m:r>
              <w:rPr>
                <w:rFonts w:ascii="Cambria Math" w:hAnsi="Cambria Math"/>
              </w:rPr>
              <m:t>S</m:t>
            </m:r>
          </m:e>
          <m:sub>
            <m:r>
              <w:rPr>
                <w:rFonts w:ascii="Cambria Math" w:hAnsi="Cambria Math"/>
              </w:rPr>
              <m:t>21</m:t>
            </m:r>
          </m:sub>
        </m:sSub>
      </m:oMath>
      <w:r>
        <w:t xml:space="preserve"> values. It can be concluded that the present settings of the chamber </w:t>
      </w:r>
      <w:proofErr w:type="gramStart"/>
      <w:r>
        <w:t>does</w:t>
      </w:r>
      <w:proofErr w:type="gramEnd"/>
      <w:r>
        <w:t xml:space="preserve"> not provide low enough K-factor for TRP measurements. The K-factor can be reduced by enhanced stirring method and positioning the antennas in a more suitable manner.</w:t>
      </w:r>
    </w:p>
    <w:p w14:paraId="11DEE4F4" w14:textId="77777777" w:rsidR="00BD49F5" w:rsidRDefault="00BD49F5" w:rsidP="00BD49F5">
      <w:pPr>
        <w:pBdr>
          <w:bottom w:val="single" w:sz="4" w:space="1" w:color="auto"/>
        </w:pBdr>
        <w:jc w:val="both"/>
        <w:rPr>
          <w:rFonts w:ascii="Arial" w:hAnsi="Arial" w:cs="Arial"/>
        </w:rPr>
      </w:pPr>
    </w:p>
    <w:p w14:paraId="2F0219FE" w14:textId="77777777" w:rsidR="00BD49F5" w:rsidRDefault="00BD49F5" w:rsidP="00BD49F5">
      <w:pPr>
        <w:pStyle w:val="Heading1"/>
        <w:keepLines w:val="0"/>
        <w:pBdr>
          <w:top w:val="none" w:sz="0" w:space="0" w:color="auto"/>
        </w:pBdr>
        <w:spacing w:before="0" w:after="240"/>
        <w:ind w:right="284"/>
        <w:jc w:val="both"/>
      </w:pPr>
      <w:r>
        <w:t>References</w:t>
      </w:r>
    </w:p>
    <w:p w14:paraId="7EABE555" w14:textId="77777777" w:rsidR="00BD49F5" w:rsidRDefault="00BD49F5" w:rsidP="00BD49F5">
      <w:r>
        <w:t>[1] Ericsson and RISE, “R4-1812908 - On TRP measurement using reverberation chambers”, October 2018.</w:t>
      </w:r>
    </w:p>
    <w:p w14:paraId="2389F9B2" w14:textId="77777777" w:rsidR="00FE085F" w:rsidRDefault="00FE085F" w:rsidP="00FE085F">
      <w:pPr>
        <w:autoSpaceDE w:val="0"/>
        <w:autoSpaceDN w:val="0"/>
        <w:adjustRightInd w:val="0"/>
        <w:spacing w:before="240" w:after="0"/>
        <w:ind w:left="284" w:hanging="284"/>
        <w:jc w:val="both"/>
      </w:pPr>
      <w:r>
        <w:t>[2] IEC standard 61000-4-21, “Electromagnetic compatibility (EMC) – Part 4-21: Testing and measurement techniques – Reverberation chamber test Methods”</w:t>
      </w:r>
    </w:p>
    <w:p w14:paraId="7F3CF967" w14:textId="77777777" w:rsidR="00FE085F" w:rsidRDefault="00FE085F" w:rsidP="00FE085F">
      <w:pPr>
        <w:autoSpaceDE w:val="0"/>
        <w:autoSpaceDN w:val="0"/>
        <w:adjustRightInd w:val="0"/>
        <w:spacing w:before="240" w:after="0"/>
        <w:ind w:left="284" w:hanging="284"/>
        <w:jc w:val="both"/>
        <w:rPr>
          <w:lang w:val="en-US" w:bidi="fa-IR"/>
        </w:rPr>
      </w:pPr>
      <w:r>
        <w:rPr>
          <w:lang w:val="en-US"/>
        </w:rPr>
        <w:t xml:space="preserve">[3] P.-S. </w:t>
      </w:r>
      <w:proofErr w:type="spellStart"/>
      <w:r>
        <w:rPr>
          <w:lang w:val="en-US"/>
        </w:rPr>
        <w:t>Kildal</w:t>
      </w:r>
      <w:proofErr w:type="spellEnd"/>
      <w:r>
        <w:rPr>
          <w:lang w:val="en-US"/>
        </w:rPr>
        <w:t xml:space="preserve">, X. Chen, C. </w:t>
      </w:r>
      <w:proofErr w:type="spellStart"/>
      <w:r>
        <w:rPr>
          <w:lang w:val="en-US"/>
        </w:rPr>
        <w:t>Orlenius</w:t>
      </w:r>
      <w:proofErr w:type="spellEnd"/>
      <w:r>
        <w:rPr>
          <w:lang w:val="en-US"/>
        </w:rPr>
        <w:t xml:space="preserve">, M. </w:t>
      </w:r>
      <w:proofErr w:type="spellStart"/>
      <w:r>
        <w:rPr>
          <w:lang w:val="en-US"/>
        </w:rPr>
        <w:t>Franz</w:t>
      </w:r>
      <w:r>
        <w:rPr>
          <w:lang w:val="en-US" w:bidi="fa-IR"/>
        </w:rPr>
        <w:t>én</w:t>
      </w:r>
      <w:proofErr w:type="spellEnd"/>
      <w:r>
        <w:rPr>
          <w:lang w:val="en-US" w:bidi="fa-IR"/>
        </w:rPr>
        <w:t xml:space="preserve">, C. S. </w:t>
      </w:r>
      <w:proofErr w:type="spellStart"/>
      <w:r>
        <w:rPr>
          <w:lang w:val="en-US" w:bidi="fa-IR"/>
        </w:rPr>
        <w:t>Lötbäck</w:t>
      </w:r>
      <w:proofErr w:type="spellEnd"/>
      <w:r>
        <w:rPr>
          <w:lang w:val="en-US" w:bidi="fa-IR"/>
        </w:rPr>
        <w:t>, “Characterization of Reverberation Chambers for OTA Measurements of Wireless Devices: Physical Formulations of Channel Matrix and New Uncertainty Formula”, IEEE Transactions on Antennas and Propagation, Vol. 60, No. 8, August 2012.</w:t>
      </w:r>
    </w:p>
    <w:p w14:paraId="6138D928" w14:textId="77777777" w:rsidR="00FE085F" w:rsidRPr="00FE085F" w:rsidRDefault="00FE085F" w:rsidP="00BD49F5">
      <w:pPr>
        <w:rPr>
          <w:lang w:val="en-US"/>
        </w:rPr>
      </w:pPr>
    </w:p>
    <w:p w14:paraId="5CEFAD5E" w14:textId="77777777" w:rsidR="001D138E" w:rsidRDefault="00DF5C33"/>
    <w:sectPr w:rsidR="001D138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8B209C6"/>
    <w:multiLevelType w:val="hybridMultilevel"/>
    <w:tmpl w:val="BBF2B460"/>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49F5"/>
    <w:rsid w:val="000A135E"/>
    <w:rsid w:val="000D0D55"/>
    <w:rsid w:val="00195A8F"/>
    <w:rsid w:val="002622E6"/>
    <w:rsid w:val="002B778A"/>
    <w:rsid w:val="004912BD"/>
    <w:rsid w:val="00682BD3"/>
    <w:rsid w:val="006B03B7"/>
    <w:rsid w:val="007C29B3"/>
    <w:rsid w:val="007D7F97"/>
    <w:rsid w:val="00806D60"/>
    <w:rsid w:val="008F6185"/>
    <w:rsid w:val="00907605"/>
    <w:rsid w:val="00944E93"/>
    <w:rsid w:val="00966F5D"/>
    <w:rsid w:val="009A130F"/>
    <w:rsid w:val="00A21459"/>
    <w:rsid w:val="00B121D7"/>
    <w:rsid w:val="00BD49F5"/>
    <w:rsid w:val="00D124CA"/>
    <w:rsid w:val="00DC2BBB"/>
    <w:rsid w:val="00DF5C33"/>
    <w:rsid w:val="00E81D1C"/>
    <w:rsid w:val="00FD2A01"/>
    <w:rsid w:val="00FE085F"/>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DD3884"/>
  <w15:chartTrackingRefBased/>
  <w15:docId w15:val="{937FDB1F-9E37-4746-8A11-2013EE52C9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D49F5"/>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BD49F5"/>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Normal"/>
    <w:next w:val="Normal"/>
    <w:link w:val="Heading2Char"/>
    <w:uiPriority w:val="9"/>
    <w:unhideWhenUsed/>
    <w:qFormat/>
    <w:rsid w:val="00BD49F5"/>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D49F5"/>
    <w:rPr>
      <w:rFonts w:ascii="Arial" w:eastAsia="Times New Roman" w:hAnsi="Arial" w:cs="Times New Roman"/>
      <w:sz w:val="36"/>
      <w:szCs w:val="20"/>
      <w:lang w:val="en-GB"/>
    </w:rPr>
  </w:style>
  <w:style w:type="paragraph" w:styleId="CommentText">
    <w:name w:val="annotation text"/>
    <w:basedOn w:val="Normal"/>
    <w:link w:val="CommentTextChar"/>
    <w:uiPriority w:val="99"/>
    <w:semiHidden/>
    <w:unhideWhenUsed/>
    <w:rsid w:val="00BD49F5"/>
  </w:style>
  <w:style w:type="character" w:customStyle="1" w:styleId="CommentTextChar">
    <w:name w:val="Comment Text Char"/>
    <w:basedOn w:val="DefaultParagraphFont"/>
    <w:link w:val="CommentText"/>
    <w:uiPriority w:val="99"/>
    <w:semiHidden/>
    <w:rsid w:val="00BD49F5"/>
    <w:rPr>
      <w:rFonts w:ascii="Times New Roman" w:eastAsia="Times New Roman" w:hAnsi="Times New Roman" w:cs="Times New Roman"/>
      <w:sz w:val="20"/>
      <w:szCs w:val="20"/>
      <w:lang w:val="en-GB"/>
    </w:rPr>
  </w:style>
  <w:style w:type="paragraph" w:styleId="Header">
    <w:name w:val="header"/>
    <w:link w:val="HeaderChar"/>
    <w:semiHidden/>
    <w:unhideWhenUsed/>
    <w:rsid w:val="00BD49F5"/>
    <w:pPr>
      <w:widowControl w:val="0"/>
      <w:overflowPunct w:val="0"/>
      <w:autoSpaceDE w:val="0"/>
      <w:autoSpaceDN w:val="0"/>
      <w:adjustRightInd w:val="0"/>
      <w:spacing w:after="0" w:line="240" w:lineRule="auto"/>
    </w:pPr>
    <w:rPr>
      <w:rFonts w:ascii="Arial" w:eastAsia="Times New Roman" w:hAnsi="Arial" w:cs="Times New Roman"/>
      <w:b/>
      <w:noProof/>
      <w:sz w:val="18"/>
      <w:szCs w:val="20"/>
      <w:lang w:val="en-GB" w:eastAsia="ja-JP"/>
    </w:rPr>
  </w:style>
  <w:style w:type="character" w:customStyle="1" w:styleId="HeaderChar">
    <w:name w:val="Header Char"/>
    <w:basedOn w:val="DefaultParagraphFont"/>
    <w:link w:val="Header"/>
    <w:semiHidden/>
    <w:rsid w:val="00BD49F5"/>
    <w:rPr>
      <w:rFonts w:ascii="Arial" w:eastAsia="Times New Roman" w:hAnsi="Arial" w:cs="Times New Roman"/>
      <w:b/>
      <w:noProof/>
      <w:sz w:val="18"/>
      <w:szCs w:val="20"/>
      <w:lang w:val="en-GB" w:eastAsia="ja-JP"/>
    </w:rPr>
  </w:style>
  <w:style w:type="paragraph" w:styleId="BodyText">
    <w:name w:val="Body Text"/>
    <w:basedOn w:val="Normal"/>
    <w:link w:val="BodyTextChar"/>
    <w:uiPriority w:val="99"/>
    <w:unhideWhenUsed/>
    <w:rsid w:val="00BD49F5"/>
    <w:pPr>
      <w:spacing w:after="120"/>
    </w:pPr>
  </w:style>
  <w:style w:type="character" w:customStyle="1" w:styleId="BodyTextChar">
    <w:name w:val="Body Text Char"/>
    <w:basedOn w:val="DefaultParagraphFont"/>
    <w:link w:val="BodyText"/>
    <w:uiPriority w:val="99"/>
    <w:rsid w:val="00BD49F5"/>
    <w:rPr>
      <w:rFonts w:ascii="Times New Roman" w:eastAsia="Times New Roman" w:hAnsi="Times New Roman" w:cs="Times New Roman"/>
      <w:sz w:val="20"/>
      <w:szCs w:val="20"/>
      <w:lang w:val="en-GB"/>
    </w:rPr>
  </w:style>
  <w:style w:type="character" w:styleId="CommentReference">
    <w:name w:val="annotation reference"/>
    <w:basedOn w:val="DefaultParagraphFont"/>
    <w:uiPriority w:val="99"/>
    <w:semiHidden/>
    <w:unhideWhenUsed/>
    <w:rsid w:val="00BD49F5"/>
    <w:rPr>
      <w:sz w:val="16"/>
      <w:szCs w:val="16"/>
    </w:rPr>
  </w:style>
  <w:style w:type="table" w:styleId="TableGrid">
    <w:name w:val="Table Grid"/>
    <w:basedOn w:val="TableNormal"/>
    <w:uiPriority w:val="39"/>
    <w:rsid w:val="00BD49F5"/>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D49F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D49F5"/>
    <w:rPr>
      <w:rFonts w:ascii="Segoe UI" w:eastAsia="Times New Roman" w:hAnsi="Segoe UI" w:cs="Segoe UI"/>
      <w:sz w:val="18"/>
      <w:szCs w:val="18"/>
      <w:lang w:val="en-GB"/>
    </w:rPr>
  </w:style>
  <w:style w:type="character" w:customStyle="1" w:styleId="Heading2Char">
    <w:name w:val="Heading 2 Char"/>
    <w:basedOn w:val="DefaultParagraphFont"/>
    <w:link w:val="Heading2"/>
    <w:uiPriority w:val="9"/>
    <w:rsid w:val="00BD49F5"/>
    <w:rPr>
      <w:rFonts w:asciiTheme="majorHAnsi" w:eastAsiaTheme="majorEastAsia" w:hAnsiTheme="majorHAnsi" w:cstheme="majorBidi"/>
      <w:color w:val="2F5496" w:themeColor="accent1" w:themeShade="BF"/>
      <w:sz w:val="26"/>
      <w:szCs w:val="26"/>
      <w:lang w:val="en-GB"/>
    </w:rPr>
  </w:style>
  <w:style w:type="paragraph" w:styleId="ListParagraph">
    <w:name w:val="List Paragraph"/>
    <w:basedOn w:val="Normal"/>
    <w:uiPriority w:val="34"/>
    <w:qFormat/>
    <w:rsid w:val="00FE085F"/>
    <w:pPr>
      <w:ind w:left="720"/>
      <w:contextualSpacing/>
    </w:pPr>
  </w:style>
  <w:style w:type="paragraph" w:styleId="CommentSubject">
    <w:name w:val="annotation subject"/>
    <w:basedOn w:val="CommentText"/>
    <w:next w:val="CommentText"/>
    <w:link w:val="CommentSubjectChar"/>
    <w:uiPriority w:val="99"/>
    <w:semiHidden/>
    <w:unhideWhenUsed/>
    <w:rsid w:val="008F6185"/>
    <w:rPr>
      <w:b/>
      <w:bCs/>
    </w:rPr>
  </w:style>
  <w:style w:type="character" w:customStyle="1" w:styleId="CommentSubjectChar">
    <w:name w:val="Comment Subject Char"/>
    <w:basedOn w:val="CommentTextChar"/>
    <w:link w:val="CommentSubject"/>
    <w:uiPriority w:val="99"/>
    <w:semiHidden/>
    <w:rsid w:val="008F6185"/>
    <w:rPr>
      <w:rFonts w:ascii="Times New Roman" w:eastAsia="Times New Roman" w:hAnsi="Times New Roman" w:cs="Times New Roman"/>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195128">
      <w:bodyDiv w:val="1"/>
      <w:marLeft w:val="0"/>
      <w:marRight w:val="0"/>
      <w:marTop w:val="0"/>
      <w:marBottom w:val="0"/>
      <w:divBdr>
        <w:top w:val="none" w:sz="0" w:space="0" w:color="auto"/>
        <w:left w:val="none" w:sz="0" w:space="0" w:color="auto"/>
        <w:bottom w:val="none" w:sz="0" w:space="0" w:color="auto"/>
        <w:right w:val="none" w:sz="0" w:space="0" w:color="auto"/>
      </w:divBdr>
    </w:div>
    <w:div w:id="886140840">
      <w:bodyDiv w:val="1"/>
      <w:marLeft w:val="0"/>
      <w:marRight w:val="0"/>
      <w:marTop w:val="0"/>
      <w:marBottom w:val="0"/>
      <w:divBdr>
        <w:top w:val="none" w:sz="0" w:space="0" w:color="auto"/>
        <w:left w:val="none" w:sz="0" w:space="0" w:color="auto"/>
        <w:bottom w:val="none" w:sz="0" w:space="0" w:color="auto"/>
        <w:right w:val="none" w:sz="0" w:space="0" w:color="auto"/>
      </w:divBdr>
    </w:div>
    <w:div w:id="1888294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4.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image" Target="media/image8.emf"/><Relationship Id="rId2" Type="http://schemas.openxmlformats.org/officeDocument/2006/relationships/customXml" Target="../customXml/item2.xml"/><Relationship Id="rId16"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image" Target="media/image2.jpeg"/><Relationship Id="rId5" Type="http://schemas.openxmlformats.org/officeDocument/2006/relationships/customXml" Target="../customXml/item5.xml"/><Relationship Id="rId15" Type="http://schemas.openxmlformats.org/officeDocument/2006/relationships/image" Target="media/image6.png"/><Relationship Id="rId10" Type="http://schemas.openxmlformats.org/officeDocument/2006/relationships/image" Target="media/image1.jpeg"/><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5.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5NUHHDQN7SK2-1476151046-35144</_dlc_DocId>
    <_dlc_DocIdUrl xmlns="f166a696-7b5b-4ccd-9f0c-ffde0cceec81">
      <Url>https://ericsson.sharepoint.com/sites/star/_layouts/15/DocIdRedir.aspx?ID=5NUHHDQN7SK2-1476151046-35144</Url>
      <Description>5NUHHDQN7SK2-1476151046-35144</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6df4ec1a223f843a465236a129e05e3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8cb376894895338ca98d997fbfcb378d"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D03C9954-3007-4B20-B57B-50F2DF502DF5}">
  <ds:schemaRefs>
    <ds:schemaRef ds:uri="http://schemas.microsoft.com/sharepoint/events"/>
  </ds:schemaRefs>
</ds:datastoreItem>
</file>

<file path=customXml/itemProps2.xml><?xml version="1.0" encoding="utf-8"?>
<ds:datastoreItem xmlns:ds="http://schemas.openxmlformats.org/officeDocument/2006/customXml" ds:itemID="{6B09CAAD-7642-4EF3-9A83-6C0C226E9716}">
  <ds:schemaRefs>
    <ds:schemaRef ds:uri="http://schemas.microsoft.com/sharepoint/v3/contenttype/forms"/>
  </ds:schemaRefs>
</ds:datastoreItem>
</file>

<file path=customXml/itemProps3.xml><?xml version="1.0" encoding="utf-8"?>
<ds:datastoreItem xmlns:ds="http://schemas.openxmlformats.org/officeDocument/2006/customXml" ds:itemID="{157A3AF5-311A-4A23-8A11-3504840CC034}">
  <ds:schemaRefs>
    <ds:schemaRef ds:uri="http://schemas.microsoft.com/office/infopath/2007/PartnerControls"/>
    <ds:schemaRef ds:uri="http://purl.org/dc/elements/1.1/"/>
    <ds:schemaRef ds:uri="http://schemas.microsoft.com/office/2006/metadata/properties"/>
    <ds:schemaRef ds:uri="611109f9-ed58-4498-a270-1fb2086a5321"/>
    <ds:schemaRef ds:uri="http://schemas.microsoft.com/sharepoint/v4"/>
    <ds:schemaRef ds:uri="http://purl.org/dc/terms/"/>
    <ds:schemaRef ds:uri="http://schemas.openxmlformats.org/package/2006/metadata/core-properties"/>
    <ds:schemaRef ds:uri="f166a696-7b5b-4ccd-9f0c-ffde0cceec81"/>
    <ds:schemaRef ds:uri="http://schemas.microsoft.com/office/2006/documentManagement/types"/>
    <ds:schemaRef ds:uri="d8762117-8292-4133-b1c7-eab5c6487cfd"/>
    <ds:schemaRef ds:uri="http://www.w3.org/XML/1998/namespace"/>
    <ds:schemaRef ds:uri="http://purl.org/dc/dcmitype/"/>
  </ds:schemaRefs>
</ds:datastoreItem>
</file>

<file path=customXml/itemProps4.xml><?xml version="1.0" encoding="utf-8"?>
<ds:datastoreItem xmlns:ds="http://schemas.openxmlformats.org/officeDocument/2006/customXml" ds:itemID="{8D1A0ECC-2FFD-4F79-AA02-0C6FCFE037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DA5C373-1C8D-4CAD-9FDC-C0C892DCF97A}">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1269</Words>
  <Characters>6728</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Aidin Razavi</dc:creator>
  <cp:keywords/>
  <dc:description/>
  <cp:lastModifiedBy>Torbjörn Elfström</cp:lastModifiedBy>
  <cp:revision>2</cp:revision>
  <dcterms:created xsi:type="dcterms:W3CDTF">2018-11-02T16:38:00Z</dcterms:created>
  <dcterms:modified xsi:type="dcterms:W3CDTF">2018-11-02T16:38:00Z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EriCOLLProjects">
    <vt:lpwstr/>
  </property>
  <property fmtid="{D5CDD505-2E9C-101B-9397-08002B2CF9AE}" pid="4" name="EriCOLLCategory">
    <vt:lpwstr/>
  </property>
  <property fmtid="{D5CDD505-2E9C-101B-9397-08002B2CF9AE}" pid="5" name="TaxKeyword">
    <vt:lpwstr/>
  </property>
  <property fmtid="{D5CDD505-2E9C-101B-9397-08002B2CF9AE}" pid="6" name="EriCOLLProducts">
    <vt:lpwstr/>
  </property>
  <property fmtid="{D5CDD505-2E9C-101B-9397-08002B2CF9AE}" pid="7" name="EriCOLLCustomer">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
  </property>
  <property fmtid="{D5CDD505-2E9C-101B-9397-08002B2CF9AE}" pid="12" name="_dlc_DocIdItemGuid">
    <vt:lpwstr>d7b07db5-7f74-402a-8c83-d3626a72736c</vt:lpwstr>
  </property>
</Properties>
</file>