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Meeting#88</w:t>
      </w:r>
      <w:r w:rsidR="003F7D5F">
        <w:rPr>
          <w:rFonts w:ascii="Arial" w:eastAsia="SimSun" w:hAnsi="Arial" w:cs="Times New Roman"/>
          <w:b/>
          <w:sz w:val="24"/>
          <w:szCs w:val="20"/>
          <w:lang w:val="en-GB"/>
        </w:rPr>
        <w:t>bis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683220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</w:t>
      </w:r>
      <w:r w:rsidR="00235F5C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8</w:t>
      </w:r>
      <w:r w:rsidR="00696A83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</w:t>
      </w:r>
      <w:r w:rsidR="00E27A2C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4012</w:t>
      </w:r>
      <w:bookmarkStart w:id="3" w:name="_GoBack"/>
      <w:bookmarkEnd w:id="3"/>
    </w:p>
    <w:p w:rsidR="00841BCD" w:rsidRPr="00841BCD" w:rsidRDefault="003F7D5F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Chengdu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China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October</w:t>
      </w:r>
      <w:r w:rsidR="001C2F6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8</w:t>
      </w:r>
      <w:r w:rsidR="00BA724E" w:rsidRPr="00BA724E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–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12</w:t>
      </w:r>
      <w:r w:rsidR="00176671" w:rsidRPr="00001C9B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201</w:t>
      </w:r>
      <w:r w:rsidR="00176671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8</w:t>
      </w:r>
    </w:p>
    <w:bookmarkEnd w:id="0"/>
    <w:bookmarkEnd w:id="1"/>
    <w:p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2A1A19">
        <w:rPr>
          <w:rFonts w:ascii="Arial" w:eastAsia="Calibri" w:hAnsi="Arial" w:cs="Arial"/>
          <w:b/>
          <w:bCs/>
          <w:sz w:val="24"/>
          <w:lang w:val="en-GB"/>
        </w:rPr>
        <w:t>T</w:t>
      </w:r>
      <w:r w:rsidR="002A1A19" w:rsidRPr="002A1A19">
        <w:rPr>
          <w:rFonts w:ascii="Arial" w:eastAsia="Calibri" w:hAnsi="Arial" w:cs="Arial"/>
          <w:b/>
          <w:bCs/>
          <w:sz w:val="24"/>
          <w:lang w:val="en-GB"/>
        </w:rPr>
        <w:t xml:space="preserve">est cases for </w:t>
      </w:r>
      <w:r w:rsidR="002A1A19" w:rsidRPr="002A1A19">
        <w:rPr>
          <w:rFonts w:ascii="Arial" w:eastAsia="Calibri" w:hAnsi="Arial" w:cs="Arial"/>
          <w:b/>
          <w:bCs/>
          <w:sz w:val="24"/>
        </w:rPr>
        <w:t>beam failure detection and link recovery procedure</w:t>
      </w:r>
      <w:r w:rsidRPr="00841BCD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3F7D5F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 w:rsidRPr="003F7D5F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3F7D5F">
        <w:rPr>
          <w:rFonts w:ascii="Arial" w:eastAsia="MS Mincho" w:hAnsi="Arial" w:cs="Arial"/>
          <w:b/>
          <w:bCs/>
          <w:sz w:val="24"/>
          <w:szCs w:val="20"/>
          <w:lang w:val="en-GB"/>
        </w:rPr>
        <w:t>12</w:t>
      </w:r>
      <w:r w:rsidRPr="003F7D5F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696A83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="006B7010" w:rsidRPr="003F7D5F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696A83">
        <w:rPr>
          <w:rFonts w:ascii="Arial" w:eastAsia="MS Mincho" w:hAnsi="Arial" w:cs="Arial"/>
          <w:b/>
          <w:bCs/>
          <w:sz w:val="24"/>
          <w:szCs w:val="20"/>
          <w:lang w:val="en-GB"/>
        </w:rPr>
        <w:t>11</w:t>
      </w:r>
    </w:p>
    <w:p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3F7D5F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:rsidR="00A22B78" w:rsidRDefault="003F7D5F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Test cases for </w:t>
      </w:r>
      <w:r w:rsidR="002A1A19" w:rsidRPr="002A1A19">
        <w:rPr>
          <w:rFonts w:eastAsia="Calibri" w:cs="Times New Roman"/>
          <w:bCs/>
          <w:szCs w:val="20"/>
        </w:rPr>
        <w:t>beam failure detection and link recovery procedure</w:t>
      </w:r>
      <w:r>
        <w:rPr>
          <w:rFonts w:eastAsia="Calibri" w:cs="Times New Roman"/>
          <w:szCs w:val="20"/>
          <w:lang w:val="en-GB"/>
        </w:rPr>
        <w:t xml:space="preserve"> ar</w:t>
      </w:r>
      <w:r w:rsidR="001E663C">
        <w:rPr>
          <w:rFonts w:eastAsia="Calibri" w:cs="Times New Roman"/>
          <w:szCs w:val="20"/>
          <w:lang w:val="en-GB"/>
        </w:rPr>
        <w:t>e to be agreed during 2018 time-</w:t>
      </w:r>
      <w:r>
        <w:rPr>
          <w:rFonts w:eastAsia="Calibri" w:cs="Times New Roman"/>
          <w:szCs w:val="20"/>
          <w:lang w:val="en-GB"/>
        </w:rPr>
        <w:t xml:space="preserve">frame. This paper lists the planned test cases for </w:t>
      </w:r>
      <w:r w:rsidR="002A1A19" w:rsidRPr="002A1A19">
        <w:rPr>
          <w:rFonts w:eastAsia="Calibri" w:cs="Times New Roman"/>
          <w:bCs/>
          <w:szCs w:val="20"/>
        </w:rPr>
        <w:t>beam failure detection and link recovery procedure</w:t>
      </w:r>
      <w:r>
        <w:rPr>
          <w:rFonts w:eastAsia="Calibri" w:cs="Times New Roman"/>
          <w:szCs w:val="20"/>
          <w:lang w:val="en-GB"/>
        </w:rPr>
        <w:t>.</w:t>
      </w:r>
    </w:p>
    <w:p w:rsidR="003B659E" w:rsidRPr="00841BCD" w:rsidRDefault="003B659E" w:rsidP="00AE56B1">
      <w:pPr>
        <w:pStyle w:val="RAN4H1"/>
      </w:pPr>
      <w:r w:rsidRPr="00AE56B1">
        <w:t>Discussion</w:t>
      </w:r>
    </w:p>
    <w:p w:rsidR="003F7D5F" w:rsidRDefault="003F7D5F" w:rsidP="003F7D5F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RAN4 need to agree on and finalize test cases for </w:t>
      </w:r>
      <w:r w:rsidR="000D50FA" w:rsidRPr="002A1A19">
        <w:rPr>
          <w:rFonts w:eastAsia="Calibri" w:cs="Times New Roman"/>
          <w:bCs/>
          <w:szCs w:val="20"/>
        </w:rPr>
        <w:t>beam failure detection and link recovery</w:t>
      </w:r>
      <w:r w:rsidR="000D50FA">
        <w:rPr>
          <w:rFonts w:eastAsia="Calibri" w:cs="Times New Roman"/>
          <w:bCs/>
          <w:szCs w:val="20"/>
        </w:rPr>
        <w:t xml:space="preserve"> procedure</w:t>
      </w:r>
      <w:r w:rsidR="00696A83">
        <w:rPr>
          <w:rFonts w:eastAsia="Calibri" w:cs="Times New Roman"/>
          <w:szCs w:val="20"/>
          <w:lang w:val="en-GB"/>
        </w:rPr>
        <w:t xml:space="preserve"> during next two meetings. Nex</w:t>
      </w:r>
      <w:r>
        <w:rPr>
          <w:rFonts w:eastAsia="Calibri" w:cs="Times New Roman"/>
          <w:szCs w:val="20"/>
          <w:lang w:val="en-GB"/>
        </w:rPr>
        <w:t>t</w:t>
      </w:r>
      <w:r w:rsidR="00696A83">
        <w:rPr>
          <w:rFonts w:eastAsia="Calibri" w:cs="Times New Roman"/>
          <w:szCs w:val="20"/>
          <w:lang w:val="en-GB"/>
        </w:rPr>
        <w:t>,</w:t>
      </w:r>
      <w:r>
        <w:rPr>
          <w:rFonts w:eastAsia="Calibri" w:cs="Times New Roman"/>
          <w:szCs w:val="20"/>
          <w:lang w:val="en-GB"/>
        </w:rPr>
        <w:t xml:space="preserve"> we list </w:t>
      </w:r>
      <w:r w:rsidR="000D50FA">
        <w:rPr>
          <w:rFonts w:eastAsia="Calibri" w:cs="Times New Roman"/>
          <w:szCs w:val="20"/>
          <w:lang w:val="en-GB"/>
        </w:rPr>
        <w:t xml:space="preserve">some of </w:t>
      </w:r>
      <w:r>
        <w:rPr>
          <w:rFonts w:eastAsia="Calibri" w:cs="Times New Roman"/>
          <w:szCs w:val="20"/>
          <w:lang w:val="en-GB"/>
        </w:rPr>
        <w:t xml:space="preserve">the </w:t>
      </w:r>
      <w:r w:rsidR="000D50FA">
        <w:rPr>
          <w:rFonts w:eastAsia="Calibri" w:cs="Times New Roman"/>
          <w:szCs w:val="20"/>
          <w:lang w:val="en-GB"/>
        </w:rPr>
        <w:t>potential test</w:t>
      </w:r>
      <w:r>
        <w:rPr>
          <w:rFonts w:eastAsia="Calibri" w:cs="Times New Roman"/>
          <w:szCs w:val="20"/>
          <w:lang w:val="en-GB"/>
        </w:rPr>
        <w:t xml:space="preserve"> cases.</w:t>
      </w:r>
    </w:p>
    <w:p w:rsidR="003F7D5F" w:rsidRDefault="003F7D5F" w:rsidP="003F7D5F">
      <w:pPr>
        <w:ind w:right="-22"/>
        <w:rPr>
          <w:rFonts w:eastAsia="Calibri" w:cs="Times New Roman"/>
          <w:szCs w:val="20"/>
          <w:lang w:val="en-GB"/>
        </w:rPr>
      </w:pPr>
    </w:p>
    <w:p w:rsidR="003F7D5F" w:rsidRPr="008826C1" w:rsidRDefault="000D50FA" w:rsidP="003F7D5F">
      <w:pPr>
        <w:pStyle w:val="RAN4H2"/>
      </w:pPr>
      <w:r>
        <w:rPr>
          <w:bCs/>
        </w:rPr>
        <w:t>B</w:t>
      </w:r>
      <w:r w:rsidRPr="000D50FA">
        <w:rPr>
          <w:bCs/>
        </w:rPr>
        <w:t>eam failure detection and link recovery</w:t>
      </w:r>
      <w:r w:rsidR="003F7D5F">
        <w:t xml:space="preserve"> </w:t>
      </w:r>
    </w:p>
    <w:p w:rsidR="003F7D5F" w:rsidRDefault="003F7D5F" w:rsidP="003F7D5F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 xml:space="preserve">The basic proposal is based on what test cases were agreed for SSB based </w:t>
      </w:r>
      <w:r w:rsidR="00696A83">
        <w:rPr>
          <w:rFonts w:eastAsia="Calibri" w:cs="Times New Roman"/>
          <w:szCs w:val="20"/>
        </w:rPr>
        <w:t xml:space="preserve">and CSI-RS based </w:t>
      </w:r>
      <w:r>
        <w:rPr>
          <w:rFonts w:eastAsia="Calibri" w:cs="Times New Roman"/>
          <w:szCs w:val="20"/>
        </w:rPr>
        <w:t xml:space="preserve">RLM. </w:t>
      </w:r>
      <w:r w:rsidR="00696A83">
        <w:rPr>
          <w:rFonts w:eastAsia="Calibri" w:cs="Times New Roman"/>
          <w:szCs w:val="20"/>
        </w:rPr>
        <w:t xml:space="preserve">In the table below we have listed the different combinations for non-DRX only. </w:t>
      </w:r>
      <w:r w:rsidR="000D50FA">
        <w:rPr>
          <w:rFonts w:eastAsia="Calibri" w:cs="Times New Roman"/>
          <w:szCs w:val="20"/>
        </w:rPr>
        <w:t>Besides the test cases in the table, RAN4 also need to discuss a</w:t>
      </w:r>
      <w:r>
        <w:rPr>
          <w:rFonts w:eastAsia="Calibri" w:cs="Times New Roman"/>
          <w:szCs w:val="20"/>
        </w:rPr>
        <w:t>dditionally</w:t>
      </w:r>
      <w:r w:rsidR="000D50FA">
        <w:rPr>
          <w:rFonts w:eastAsia="Calibri" w:cs="Times New Roman"/>
          <w:szCs w:val="20"/>
        </w:rPr>
        <w:t xml:space="preserve"> </w:t>
      </w:r>
      <w:r>
        <w:rPr>
          <w:rFonts w:eastAsia="Calibri" w:cs="Times New Roman"/>
          <w:szCs w:val="20"/>
        </w:rPr>
        <w:t xml:space="preserve">test cases for </w:t>
      </w:r>
      <w:r w:rsidR="00696A83">
        <w:rPr>
          <w:rFonts w:eastAsia="Calibri" w:cs="Times New Roman"/>
          <w:szCs w:val="20"/>
        </w:rPr>
        <w:t>DRX. Additionally, for FR2 it needs to be discussed which test cases are needed for the overlapping cases</w:t>
      </w:r>
      <w:r>
        <w:rPr>
          <w:rFonts w:eastAsia="Calibri" w:cs="Times New Roman"/>
          <w:szCs w:val="20"/>
        </w:rPr>
        <w:t>:</w:t>
      </w:r>
    </w:p>
    <w:p w:rsidR="003F7D5F" w:rsidRDefault="003F7D5F" w:rsidP="003F7D5F">
      <w:pPr>
        <w:pStyle w:val="ListParagraph"/>
        <w:numPr>
          <w:ilvl w:val="0"/>
          <w:numId w:val="21"/>
        </w:numPr>
        <w:ind w:right="-22"/>
        <w:rPr>
          <w:rFonts w:eastAsia="Calibri" w:cs="Times New Roman"/>
          <w:szCs w:val="20"/>
        </w:rPr>
      </w:pPr>
      <w:r w:rsidRPr="003F7D5F">
        <w:rPr>
          <w:rFonts w:eastAsia="Calibri" w:cs="Times New Roman"/>
          <w:szCs w:val="20"/>
        </w:rPr>
        <w:t>RLM-RS is not overlapped with measurement gap and RLM-RS is partially overlapped with SMTC occasion</w:t>
      </w:r>
    </w:p>
    <w:p w:rsidR="00AD297D" w:rsidRDefault="00AD297D" w:rsidP="00AD297D">
      <w:pPr>
        <w:pStyle w:val="ListParagraph"/>
        <w:numPr>
          <w:ilvl w:val="0"/>
          <w:numId w:val="21"/>
        </w:numPr>
        <w:ind w:right="-22"/>
        <w:rPr>
          <w:rFonts w:eastAsia="Calibri" w:cs="Times New Roman"/>
          <w:szCs w:val="20"/>
        </w:rPr>
      </w:pPr>
      <w:r w:rsidRPr="00AD297D">
        <w:rPr>
          <w:rFonts w:eastAsia="Calibri" w:cs="Times New Roman"/>
          <w:szCs w:val="20"/>
        </w:rPr>
        <w:t>RLM-RS is partially overlapped with measurement gap and RLM-RS is partially overlapped with SMTC occasio</w:t>
      </w:r>
      <w:r>
        <w:rPr>
          <w:rFonts w:eastAsia="Calibri" w:cs="Times New Roman"/>
          <w:szCs w:val="20"/>
        </w:rPr>
        <w:t>n.</w:t>
      </w:r>
    </w:p>
    <w:p w:rsidR="00AD297D" w:rsidRDefault="00AD297D" w:rsidP="00AD297D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 xml:space="preserve">These two cases would represent two additional normal use cases when the UE is configured with and without gaps and the </w:t>
      </w:r>
      <w:r w:rsidR="000D50FA">
        <w:rPr>
          <w:rFonts w:eastAsia="Calibri" w:cs="Times New Roman"/>
          <w:szCs w:val="20"/>
        </w:rPr>
        <w:t xml:space="preserve">SSB or </w:t>
      </w:r>
      <w:r>
        <w:rPr>
          <w:rFonts w:eastAsia="Calibri" w:cs="Times New Roman"/>
          <w:szCs w:val="20"/>
        </w:rPr>
        <w:t>CSI-RS is partially overlapping with SMTC and gaps.</w:t>
      </w:r>
    </w:p>
    <w:p w:rsidR="00AD297D" w:rsidRPr="00AD297D" w:rsidRDefault="00AD297D" w:rsidP="00AD297D">
      <w:pPr>
        <w:ind w:right="-22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 xml:space="preserve">Draft test cases </w:t>
      </w:r>
      <w:r w:rsidR="00EB50D5">
        <w:rPr>
          <w:rFonts w:eastAsia="Calibri" w:cs="Times New Roman"/>
          <w:szCs w:val="20"/>
        </w:rPr>
        <w:t>are provided</w:t>
      </w:r>
      <w:r>
        <w:rPr>
          <w:rFonts w:eastAsia="Calibri" w:cs="Times New Roman"/>
          <w:szCs w:val="20"/>
        </w:rPr>
        <w:t xml:space="preserve"> in the CR </w:t>
      </w:r>
      <w:r w:rsidR="00696A83">
        <w:rPr>
          <w:rFonts w:eastAsia="Calibri" w:cs="Times New Roman"/>
          <w:szCs w:val="20"/>
        </w:rPr>
        <w:t xml:space="preserve">[2] </w:t>
      </w:r>
      <w:r>
        <w:rPr>
          <w:rFonts w:eastAsia="Calibri" w:cs="Times New Roman"/>
          <w:szCs w:val="20"/>
        </w:rPr>
        <w:t>for the cases marked green in the table.</w:t>
      </w:r>
    </w:p>
    <w:tbl>
      <w:tblPr>
        <w:tblW w:w="67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365B48" w:rsidRPr="00365B48" w:rsidTr="00365B4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  <w:t>no DRX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FR1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FDD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BFD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SSB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15KHz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30KHz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15KHz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no 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30KHz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no 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CSI-RS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15KHz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30KHz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15KHz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no 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30KHz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no 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BFR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SSB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15KHz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30KHz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15KHz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no 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30KHz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no 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CSI-RS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15KHz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30KHz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15KHz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no 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6100"/>
                <w:sz w:val="22"/>
                <w:lang w:val="fi-FI" w:eastAsia="fi-FI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30KHz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no 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TDD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BFD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SSB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15KHz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30KHz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15KHz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no 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30KHz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no 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CSI-RS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15KHz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30KHz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15KHz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no 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30KHz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no 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BFR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SSB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15KHz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30KHz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15KHz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no 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30KHz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no 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CSI-RS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15KHz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30KHz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15KHz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no 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30KHz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no 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FR2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TDD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BFD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SSB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120KHz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no 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CSI-RS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120KHz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no 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BFR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SSB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120KHz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no 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CSI-RS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120KHz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gaps</w:t>
            </w:r>
          </w:p>
        </w:tc>
      </w:tr>
      <w:tr w:rsidR="00365B48" w:rsidRPr="00365B48" w:rsidTr="00365B4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B48" w:rsidRPr="00365B48" w:rsidRDefault="00365B48" w:rsidP="00365B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</w:pPr>
            <w:r w:rsidRPr="00365B48">
              <w:rPr>
                <w:rFonts w:ascii="Calibri" w:eastAsia="Times New Roman" w:hAnsi="Calibri" w:cs="Calibri"/>
                <w:color w:val="000000"/>
                <w:sz w:val="22"/>
                <w:lang w:val="fi-FI" w:eastAsia="fi-FI"/>
              </w:rPr>
              <w:t>no gaps</w:t>
            </w:r>
          </w:p>
        </w:tc>
      </w:tr>
    </w:tbl>
    <w:p w:rsidR="00A37002" w:rsidRDefault="00A37002" w:rsidP="00A37002"/>
    <w:p w:rsidR="00365B48" w:rsidRPr="00A37002" w:rsidRDefault="00365B48" w:rsidP="00A37002">
      <w:r>
        <w:t>And similar list for DRX test cases would be needed. I.e. in all at least 80 potential test cases.</w:t>
      </w:r>
    </w:p>
    <w:p w:rsidR="002C2D19" w:rsidRDefault="00365B48" w:rsidP="003B659E">
      <w:pPr>
        <w:ind w:right="-22"/>
        <w:rPr>
          <w:rFonts w:cs="Times New Roman"/>
        </w:rPr>
      </w:pPr>
      <w:r>
        <w:rPr>
          <w:rFonts w:cs="Times New Roman"/>
        </w:rPr>
        <w:t>Based on this it is likely needed to reduce the number of test cases for beam fai</w:t>
      </w:r>
      <w:r w:rsidR="00F04910">
        <w:rPr>
          <w:rFonts w:cs="Times New Roman"/>
        </w:rPr>
        <w:t>lure and candidate selection. S</w:t>
      </w:r>
      <w:r>
        <w:rPr>
          <w:rFonts w:cs="Times New Roman"/>
        </w:rPr>
        <w:t>uch reduction can be done in different ways, e.g.</w:t>
      </w:r>
    </w:p>
    <w:p w:rsidR="00365B48" w:rsidRDefault="00365B48" w:rsidP="00365B48">
      <w:pPr>
        <w:pStyle w:val="ListParagraph"/>
        <w:numPr>
          <w:ilvl w:val="0"/>
          <w:numId w:val="22"/>
        </w:numPr>
        <w:ind w:right="-22"/>
        <w:rPr>
          <w:rFonts w:cs="Times New Roman"/>
        </w:rPr>
      </w:pPr>
      <w:r>
        <w:rPr>
          <w:rFonts w:cs="Times New Roman"/>
        </w:rPr>
        <w:t>Use 15KHz SCS with FDD and 30KHz SCS with TDD</w:t>
      </w:r>
    </w:p>
    <w:p w:rsidR="00365B48" w:rsidRDefault="00F04910" w:rsidP="00365B48">
      <w:pPr>
        <w:pStyle w:val="ListParagraph"/>
        <w:numPr>
          <w:ilvl w:val="0"/>
          <w:numId w:val="22"/>
        </w:numPr>
        <w:ind w:right="-22"/>
        <w:rPr>
          <w:rFonts w:cs="Times New Roman"/>
        </w:rPr>
      </w:pPr>
      <w:r>
        <w:rPr>
          <w:rFonts w:cs="Times New Roman"/>
        </w:rPr>
        <w:t>Define some tests with DRX and some without DRX</w:t>
      </w:r>
    </w:p>
    <w:p w:rsidR="00F04910" w:rsidRDefault="00F04910" w:rsidP="00365B48">
      <w:pPr>
        <w:pStyle w:val="ListParagraph"/>
        <w:numPr>
          <w:ilvl w:val="0"/>
          <w:numId w:val="22"/>
        </w:numPr>
        <w:ind w:right="-22"/>
        <w:rPr>
          <w:rFonts w:cs="Times New Roman"/>
        </w:rPr>
      </w:pPr>
      <w:r>
        <w:rPr>
          <w:rFonts w:cs="Times New Roman"/>
        </w:rPr>
        <w:t>Define some tests using SSB and some using CSI-RS</w:t>
      </w:r>
    </w:p>
    <w:p w:rsidR="00F04910" w:rsidRPr="00F04910" w:rsidRDefault="00F04910" w:rsidP="00F04910">
      <w:pPr>
        <w:ind w:right="-22"/>
        <w:rPr>
          <w:rFonts w:cs="Times New Roman"/>
        </w:rPr>
      </w:pPr>
      <w:r>
        <w:rPr>
          <w:rFonts w:cs="Times New Roman"/>
        </w:rPr>
        <w:t>All in all, this would lead to reduction of the overall number of test cases. When doing the down selection, it is important to ensure that there is still a reasonable and sufficient test coverage.</w:t>
      </w:r>
    </w:p>
    <w:p w:rsidR="00CD7492" w:rsidRPr="0095295C" w:rsidRDefault="00CD7492" w:rsidP="00A37002">
      <w:pPr>
        <w:pStyle w:val="RAN4H1"/>
      </w:pPr>
      <w:r w:rsidRPr="00A37002">
        <w:t>Conclusion</w:t>
      </w:r>
    </w:p>
    <w:p w:rsidR="002B4922" w:rsidRDefault="007027D4" w:rsidP="007027D4">
      <w:pPr>
        <w:pStyle w:val="RAN4Observation"/>
        <w:numPr>
          <w:ilvl w:val="0"/>
          <w:numId w:val="0"/>
        </w:numPr>
      </w:pPr>
      <w:r>
        <w:t>This paper lists the planned test cases for</w:t>
      </w:r>
      <w:r w:rsidRPr="007027D4">
        <w:t xml:space="preserve"> </w:t>
      </w:r>
      <w:r w:rsidR="00F04910">
        <w:t>beam failure and beam candidate detection</w:t>
      </w:r>
      <w:r>
        <w:t>.</w:t>
      </w:r>
    </w:p>
    <w:p w:rsidR="002B4922" w:rsidRDefault="00F04910" w:rsidP="002B4922">
      <w:pPr>
        <w:pStyle w:val="RAN4proposal"/>
        <w:numPr>
          <w:ilvl w:val="0"/>
          <w:numId w:val="14"/>
        </w:numPr>
      </w:pPr>
      <w:r>
        <w:t>RAN4 need to discuss and a</w:t>
      </w:r>
      <w:r w:rsidR="007027D4">
        <w:t xml:space="preserve">gree on </w:t>
      </w:r>
      <w:r>
        <w:t>a</w:t>
      </w:r>
      <w:r w:rsidR="00696A83">
        <w:t xml:space="preserve"> test case list</w:t>
      </w:r>
      <w:r>
        <w:t xml:space="preserve"> for</w:t>
      </w:r>
      <w:r w:rsidRPr="007027D4">
        <w:t xml:space="preserve"> </w:t>
      </w:r>
      <w:r>
        <w:t>beam failure and beam candidate detection</w:t>
      </w:r>
      <w:r w:rsidR="002B4922" w:rsidRPr="0008612A">
        <w:t>.</w:t>
      </w:r>
    </w:p>
    <w:p w:rsidR="003B659E" w:rsidRPr="0095295C" w:rsidRDefault="003B659E" w:rsidP="0008612A">
      <w:pPr>
        <w:pStyle w:val="RAN4H1"/>
      </w:pPr>
      <w:r w:rsidRPr="0095295C">
        <w:t>References</w:t>
      </w:r>
    </w:p>
    <w:p w:rsidR="003B659E" w:rsidRDefault="007027D4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4" w:name="_Ref431017336"/>
      <w:r w:rsidRPr="007027D4">
        <w:rPr>
          <w:rFonts w:eastAsia="Times New Roman" w:cs="Times New Roman"/>
          <w:szCs w:val="20"/>
        </w:rPr>
        <w:t>RP-18</w:t>
      </w:r>
      <w:r w:rsidRPr="007027D4">
        <w:rPr>
          <w:rFonts w:eastAsia="Times New Roman" w:cs="Times New Roman" w:hint="eastAsia"/>
          <w:szCs w:val="20"/>
        </w:rPr>
        <w:t>2149</w:t>
      </w:r>
      <w:r w:rsidR="003B659E" w:rsidRPr="007027D4">
        <w:rPr>
          <w:rFonts w:eastAsia="Times New Roman" w:cs="Times New Roman"/>
          <w:szCs w:val="20"/>
          <w:lang w:val="en-GB"/>
        </w:rPr>
        <w:t xml:space="preserve">, </w:t>
      </w:r>
      <w:bookmarkEnd w:id="4"/>
      <w:r w:rsidRPr="007027D4">
        <w:rPr>
          <w:rFonts w:eastAsia="Times New Roman" w:cs="Times New Roman"/>
          <w:szCs w:val="20"/>
          <w:lang w:val="en-GB"/>
        </w:rPr>
        <w:t>Way forward on RAN4 work for Core and Perf. part for NR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7027D4">
        <w:rPr>
          <w:rFonts w:eastAsia="Times New Roman" w:cs="Times New Roman" w:hint="eastAsia"/>
          <w:szCs w:val="20"/>
          <w:lang w:val="en-GB"/>
        </w:rPr>
        <w:t>RAN4 Chairmen</w:t>
      </w:r>
    </w:p>
    <w:p w:rsidR="00696A83" w:rsidRPr="007027D4" w:rsidRDefault="00696A83" w:rsidP="00696A8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696A83">
        <w:rPr>
          <w:rFonts w:eastAsia="Times New Roman" w:cs="Times New Roman"/>
          <w:szCs w:val="20"/>
          <w:lang w:val="en-GB"/>
        </w:rPr>
        <w:t>R4-1813147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696A83">
        <w:rPr>
          <w:rFonts w:eastAsia="Times New Roman" w:cs="Times New Roman"/>
          <w:szCs w:val="20"/>
          <w:lang w:val="en-GB"/>
        </w:rPr>
        <w:t>CR for introducing test cases for beam failure detection and link recovery procedure in 38.133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500159">
        <w:rPr>
          <w:noProof/>
        </w:rPr>
        <w:t xml:space="preserve">Nokia, </w:t>
      </w:r>
      <w:r>
        <w:rPr>
          <w:noProof/>
        </w:rPr>
        <w:t>Nokia</w:t>
      </w:r>
      <w:r w:rsidRPr="00500159">
        <w:rPr>
          <w:noProof/>
        </w:rPr>
        <w:t xml:space="preserve"> Shanghai Bel</w:t>
      </w:r>
      <w:r>
        <w:rPr>
          <w:noProof/>
        </w:rPr>
        <w:t>l</w:t>
      </w:r>
    </w:p>
    <w:p w:rsidR="003B659E" w:rsidRDefault="003B659E" w:rsidP="00841BCD">
      <w:pPr>
        <w:ind w:right="-22"/>
        <w:rPr>
          <w:lang w:val="en-GB"/>
        </w:rPr>
      </w:pPr>
    </w:p>
    <w:p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6660" w:rsidRDefault="00E46660" w:rsidP="00001C9B">
      <w:pPr>
        <w:spacing w:after="0" w:line="240" w:lineRule="auto"/>
      </w:pPr>
      <w:r>
        <w:separator/>
      </w:r>
    </w:p>
  </w:endnote>
  <w:endnote w:type="continuationSeparator" w:id="0">
    <w:p w:rsidR="00E46660" w:rsidRDefault="00E4666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6660" w:rsidRDefault="00E46660" w:rsidP="00001C9B">
      <w:pPr>
        <w:spacing w:after="0" w:line="240" w:lineRule="auto"/>
      </w:pPr>
      <w:r>
        <w:separator/>
      </w:r>
    </w:p>
  </w:footnote>
  <w:footnote w:type="continuationSeparator" w:id="0">
    <w:p w:rsidR="00E46660" w:rsidRDefault="00E4666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407D61"/>
    <w:multiLevelType w:val="hybridMultilevel"/>
    <w:tmpl w:val="103AEED6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257E4E"/>
    <w:multiLevelType w:val="hybridMultilevel"/>
    <w:tmpl w:val="90D49F52"/>
    <w:lvl w:ilvl="0" w:tplc="6636B9D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3"/>
  </w:num>
  <w:num w:numId="5">
    <w:abstractNumId w:val="11"/>
  </w:num>
  <w:num w:numId="6">
    <w:abstractNumId w:val="7"/>
  </w:num>
  <w:num w:numId="7">
    <w:abstractNumId w:val="8"/>
  </w:num>
  <w:num w:numId="8">
    <w:abstractNumId w:val="8"/>
    <w:lvlOverride w:ilvl="0">
      <w:startOverride w:val="1"/>
    </w:lvlOverride>
  </w:num>
  <w:num w:numId="9">
    <w:abstractNumId w:val="8"/>
    <w:lvlOverride w:ilvl="0">
      <w:startOverride w:val="1"/>
    </w:lvlOverride>
  </w:num>
  <w:num w:numId="10">
    <w:abstractNumId w:val="8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8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8"/>
    <w:lvlOverride w:ilvl="0">
      <w:startOverride w:val="1"/>
    </w:lvlOverride>
  </w:num>
  <w:num w:numId="15">
    <w:abstractNumId w:val="12"/>
  </w:num>
  <w:num w:numId="16">
    <w:abstractNumId w:val="2"/>
  </w:num>
  <w:num w:numId="17">
    <w:abstractNumId w:val="10"/>
  </w:num>
  <w:num w:numId="18">
    <w:abstractNumId w:val="10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8612A"/>
    <w:rsid w:val="000B0056"/>
    <w:rsid w:val="000D50FA"/>
    <w:rsid w:val="001745F8"/>
    <w:rsid w:val="00176671"/>
    <w:rsid w:val="001838CF"/>
    <w:rsid w:val="001C2F6D"/>
    <w:rsid w:val="001E30F6"/>
    <w:rsid w:val="001E663C"/>
    <w:rsid w:val="00235F5C"/>
    <w:rsid w:val="002A1A19"/>
    <w:rsid w:val="002B4922"/>
    <w:rsid w:val="002C2D19"/>
    <w:rsid w:val="002D10FA"/>
    <w:rsid w:val="002D4C55"/>
    <w:rsid w:val="00365B48"/>
    <w:rsid w:val="003B659E"/>
    <w:rsid w:val="003F7D5F"/>
    <w:rsid w:val="00417AA0"/>
    <w:rsid w:val="0043750A"/>
    <w:rsid w:val="004B7B4A"/>
    <w:rsid w:val="004E5E66"/>
    <w:rsid w:val="00503B4D"/>
    <w:rsid w:val="00504EE9"/>
    <w:rsid w:val="0054442C"/>
    <w:rsid w:val="00550285"/>
    <w:rsid w:val="005836F8"/>
    <w:rsid w:val="005918FA"/>
    <w:rsid w:val="005E61A8"/>
    <w:rsid w:val="005F6419"/>
    <w:rsid w:val="00617400"/>
    <w:rsid w:val="00664950"/>
    <w:rsid w:val="00683220"/>
    <w:rsid w:val="00687FA0"/>
    <w:rsid w:val="00696A83"/>
    <w:rsid w:val="006B7010"/>
    <w:rsid w:val="007027D4"/>
    <w:rsid w:val="007145FF"/>
    <w:rsid w:val="00751515"/>
    <w:rsid w:val="00781241"/>
    <w:rsid w:val="00785232"/>
    <w:rsid w:val="007C3ED0"/>
    <w:rsid w:val="00806A76"/>
    <w:rsid w:val="00811C9D"/>
    <w:rsid w:val="00816C80"/>
    <w:rsid w:val="00841BCD"/>
    <w:rsid w:val="008826C1"/>
    <w:rsid w:val="009042BD"/>
    <w:rsid w:val="00977E1D"/>
    <w:rsid w:val="00A22B78"/>
    <w:rsid w:val="00A25AE5"/>
    <w:rsid w:val="00A37002"/>
    <w:rsid w:val="00AA1B0E"/>
    <w:rsid w:val="00AC5CA7"/>
    <w:rsid w:val="00AD297D"/>
    <w:rsid w:val="00AE56B1"/>
    <w:rsid w:val="00B73862"/>
    <w:rsid w:val="00BA6E48"/>
    <w:rsid w:val="00BA724E"/>
    <w:rsid w:val="00BF2218"/>
    <w:rsid w:val="00CD7492"/>
    <w:rsid w:val="00CE3A6B"/>
    <w:rsid w:val="00D00211"/>
    <w:rsid w:val="00D06309"/>
    <w:rsid w:val="00D351EA"/>
    <w:rsid w:val="00D43403"/>
    <w:rsid w:val="00D62E71"/>
    <w:rsid w:val="00D740CA"/>
    <w:rsid w:val="00D85728"/>
    <w:rsid w:val="00DF2997"/>
    <w:rsid w:val="00E20475"/>
    <w:rsid w:val="00E27A2C"/>
    <w:rsid w:val="00E46660"/>
    <w:rsid w:val="00EB50D5"/>
    <w:rsid w:val="00EC7BC3"/>
    <w:rsid w:val="00ED7600"/>
    <w:rsid w:val="00EF2A70"/>
    <w:rsid w:val="00F04910"/>
    <w:rsid w:val="00F1362C"/>
    <w:rsid w:val="00F824F5"/>
    <w:rsid w:val="00FC29B9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DC71822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95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45027-2604-4939-AC98-36505DDF6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392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Networks</cp:lastModifiedBy>
  <cp:revision>2</cp:revision>
  <dcterms:created xsi:type="dcterms:W3CDTF">2018-10-12T08:11:00Z</dcterms:created>
  <dcterms:modified xsi:type="dcterms:W3CDTF">2018-10-12T08:11:00Z</dcterms:modified>
</cp:coreProperties>
</file>