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12CC5D66"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WG4 Meeting #</w:t>
      </w:r>
      <w:r w:rsidR="00B32A3F">
        <w:rPr>
          <w:rFonts w:eastAsia="Malgun Gothic"/>
          <w:b/>
          <w:bCs/>
          <w:sz w:val="28"/>
          <w:lang w:val="en-GB"/>
        </w:rPr>
        <w:t>87</w:t>
      </w:r>
      <w:r w:rsidRPr="00DE4417">
        <w:rPr>
          <w:rFonts w:eastAsia="Malgun Gothic"/>
          <w:b/>
          <w:bCs/>
          <w:sz w:val="28"/>
          <w:lang w:val="en-GB" w:eastAsia="ko-KR"/>
        </w:rPr>
        <w:tab/>
      </w:r>
      <w:r w:rsidR="00251775">
        <w:rPr>
          <w:rFonts w:eastAsia="Malgun Gothic"/>
          <w:b/>
          <w:bCs/>
          <w:sz w:val="28"/>
          <w:lang w:val="en-GB"/>
        </w:rPr>
        <w:t>R4-1807661</w:t>
      </w:r>
    </w:p>
    <w:p w14:paraId="50CBE1C5" w14:textId="663D5155" w:rsidR="003E1A65" w:rsidRPr="00DE4417" w:rsidRDefault="00B32A3F"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Busan</w:t>
      </w:r>
      <w:r w:rsidR="003E1A65" w:rsidRPr="00DE4417">
        <w:rPr>
          <w:rFonts w:eastAsia="Malgun Gothic"/>
          <w:b/>
          <w:bCs/>
          <w:sz w:val="28"/>
          <w:lang w:val="en-GB" w:eastAsia="ko-KR"/>
        </w:rPr>
        <w:t xml:space="preserve">, </w:t>
      </w:r>
      <w:r>
        <w:rPr>
          <w:rFonts w:eastAsia="Malgun Gothic"/>
          <w:b/>
          <w:bCs/>
          <w:sz w:val="28"/>
          <w:lang w:val="en-GB" w:eastAsia="ko-KR"/>
        </w:rPr>
        <w:t>South Korea</w:t>
      </w:r>
      <w:r w:rsidR="003E1A65" w:rsidRPr="00DE4417">
        <w:rPr>
          <w:rFonts w:eastAsia="Malgun Gothic"/>
          <w:b/>
          <w:bCs/>
          <w:sz w:val="28"/>
          <w:lang w:val="en-GB" w:eastAsia="ko-KR"/>
        </w:rPr>
        <w:t xml:space="preserve">, </w:t>
      </w:r>
      <w:r>
        <w:rPr>
          <w:rFonts w:eastAsia="Malgun Gothic"/>
          <w:b/>
          <w:bCs/>
          <w:sz w:val="28"/>
          <w:lang w:val="en-GB" w:eastAsia="ko-KR"/>
        </w:rPr>
        <w:t>21 – 25</w:t>
      </w:r>
      <w:r w:rsidR="00FC5279">
        <w:rPr>
          <w:rFonts w:eastAsia="Malgun Gothic"/>
          <w:b/>
          <w:bCs/>
          <w:sz w:val="28"/>
          <w:lang w:val="en-GB" w:eastAsia="ko-KR"/>
        </w:rPr>
        <w:t xml:space="preserve"> </w:t>
      </w:r>
      <w:r>
        <w:rPr>
          <w:rFonts w:eastAsia="Malgun Gothic"/>
          <w:b/>
          <w:bCs/>
          <w:sz w:val="28"/>
          <w:lang w:val="en-GB" w:eastAsia="ko-KR"/>
        </w:rPr>
        <w:t>May</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2178E4C2" w:rsidR="00B81FC7" w:rsidRPr="00DE4417" w:rsidRDefault="00B81FC7" w:rsidP="008159B1">
      <w:pPr>
        <w:ind w:left="2160" w:hanging="2160"/>
        <w:rPr>
          <w:b/>
          <w:lang w:val="en-GB"/>
        </w:rPr>
      </w:pPr>
      <w:r w:rsidRPr="00DE4417">
        <w:rPr>
          <w:b/>
          <w:lang w:val="en-GB"/>
        </w:rPr>
        <w:t>Title:</w:t>
      </w:r>
      <w:r w:rsidRPr="00DE4417">
        <w:rPr>
          <w:b/>
          <w:lang w:val="en-GB"/>
        </w:rPr>
        <w:tab/>
      </w:r>
      <w:r w:rsidR="00711530">
        <w:rPr>
          <w:lang w:val="en-GB"/>
        </w:rPr>
        <w:t>A</w:t>
      </w:r>
      <w:r w:rsidR="00A34DE5">
        <w:rPr>
          <w:lang w:val="en-GB"/>
        </w:rPr>
        <w:t>nalysis of WF on channel models</w:t>
      </w:r>
    </w:p>
    <w:p w14:paraId="75E65FB7" w14:textId="41179126"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A34DE5">
        <w:rPr>
          <w:lang w:val="en-GB"/>
        </w:rPr>
        <w:t>7.</w:t>
      </w:r>
      <w:r w:rsidR="00D323E4">
        <w:rPr>
          <w:lang w:val="en-GB"/>
        </w:rPr>
        <w:t>13.</w:t>
      </w:r>
      <w:r w:rsidR="00A34DE5">
        <w:rPr>
          <w:lang w:val="en-GB"/>
        </w:rPr>
        <w:t>4.2</w:t>
      </w:r>
      <w:bookmarkStart w:id="0" w:name="_GoBack"/>
      <w:bookmarkEnd w:id="0"/>
    </w:p>
    <w:p w14:paraId="21F2DA1B" w14:textId="77491303" w:rsidR="00B81FC7" w:rsidRPr="00DE4417" w:rsidRDefault="00B81FC7" w:rsidP="00B81FC7">
      <w:pPr>
        <w:rPr>
          <w:sz w:val="18"/>
          <w:szCs w:val="18"/>
          <w:lang w:val="en-GB"/>
        </w:rPr>
      </w:pPr>
      <w:r w:rsidRPr="00DE4417">
        <w:rPr>
          <w:b/>
          <w:lang w:val="en-GB"/>
        </w:rPr>
        <w:t>Document for:</w:t>
      </w:r>
      <w:r w:rsidRPr="00DE4417">
        <w:rPr>
          <w:lang w:val="en-GB"/>
        </w:rPr>
        <w:tab/>
      </w:r>
      <w:r w:rsidR="00FC5279">
        <w:rPr>
          <w:lang w:val="en-GB"/>
        </w:rPr>
        <w:t>Discussion</w:t>
      </w:r>
    </w:p>
    <w:p w14:paraId="7CA60390" w14:textId="77777777" w:rsidR="00B81FC7" w:rsidRPr="00DE4417" w:rsidRDefault="00B81FC7" w:rsidP="00B81FC7">
      <w:pPr>
        <w:pStyle w:val="berschrift1"/>
        <w:rPr>
          <w:rFonts w:cs="Arial"/>
        </w:rPr>
      </w:pPr>
      <w:r w:rsidRPr="00DE4417">
        <w:rPr>
          <w:rFonts w:cs="Arial"/>
        </w:rPr>
        <w:t>Introduction</w:t>
      </w:r>
    </w:p>
    <w:p w14:paraId="1D922F53" w14:textId="58130FA5" w:rsidR="005F37CF" w:rsidRPr="00DE4417" w:rsidRDefault="00ED2B38" w:rsidP="008159B1">
      <w:pPr>
        <w:jc w:val="both"/>
        <w:rPr>
          <w:lang w:val="en-GB"/>
        </w:rPr>
      </w:pPr>
      <w:bookmarkStart w:id="1" w:name="OLE_LINK10"/>
      <w:bookmarkStart w:id="2" w:name="OLE_LINK11"/>
      <w:r>
        <w:rPr>
          <w:lang w:val="en-GB"/>
        </w:rPr>
        <w:t>At the last RAN4 meeting in Melbourne a WF on channel modelling for demodulation in FR2 has been approved in [1]. In the WF two options for the channel modelling have been outlined and the TE vendors have been asked to evaluate whether those channel models are feasible to be implemented.</w:t>
      </w:r>
    </w:p>
    <w:p w14:paraId="59D92B3E" w14:textId="41CAD6E4" w:rsidR="00FC45FA" w:rsidRDefault="002A659B" w:rsidP="00FC45FA">
      <w:pPr>
        <w:pStyle w:val="berschrift1"/>
        <w:rPr>
          <w:rFonts w:cs="Arial"/>
        </w:rPr>
      </w:pPr>
      <w:r w:rsidRPr="00DE4417">
        <w:rPr>
          <w:rFonts w:cs="Arial"/>
        </w:rPr>
        <w:t>Discussion</w:t>
      </w:r>
    </w:p>
    <w:p w14:paraId="48EB840F" w14:textId="5ACD2625" w:rsidR="00123C55" w:rsidRPr="00ED2B38" w:rsidRDefault="00ED2B38" w:rsidP="00ED2B38">
      <w:pPr>
        <w:pStyle w:val="berschrift2"/>
      </w:pPr>
      <w:r w:rsidRPr="00ED2B38">
        <w:rPr>
          <w:lang w:val="en-US"/>
        </w:rPr>
        <w:t xml:space="preserve"> Discussion on Option 1: </w:t>
      </w:r>
      <w:r w:rsidR="00711530" w:rsidRPr="00ED2B38">
        <w:t>Use TDL channel models as described in 38.901</w:t>
      </w:r>
      <w:r w:rsidR="0037072D" w:rsidRPr="0037072D">
        <w:rPr>
          <w:lang w:val="en-US"/>
        </w:rPr>
        <w:t xml:space="preserve"> [2]</w:t>
      </w:r>
      <w:r w:rsidR="00711530" w:rsidRPr="00ED2B38">
        <w:t xml:space="preserve"> </w:t>
      </w:r>
    </w:p>
    <w:p w14:paraId="1DA2B735" w14:textId="5B8734EB" w:rsidR="003F426A" w:rsidRDefault="00ED2B38" w:rsidP="00ED2B38">
      <w:r>
        <w:t xml:space="preserve">In 38.901 [2] several CDL and TDL models are well described. The TDL models in the technical report are derived from the CDL models in the same document, by assuming isotropic antenna models at the BS and the UE. </w:t>
      </w:r>
      <w:r w:rsidR="0037072D">
        <w:t>The basic approach as taken from 38.901 is shown below in figure 1.</w:t>
      </w:r>
    </w:p>
    <w:p w14:paraId="46C430D9" w14:textId="77777777" w:rsidR="0037072D" w:rsidRDefault="00AB153A" w:rsidP="0037072D">
      <w:pPr>
        <w:keepNext/>
        <w:ind w:left="720" w:firstLine="720"/>
        <w:jc w:val="center"/>
      </w:pPr>
      <w:r>
        <w:rPr>
          <w:noProof/>
        </w:rPr>
        <w:fldChar w:fldCharType="begin"/>
      </w:r>
      <w:r>
        <w:rPr>
          <w:noProof/>
        </w:rPr>
        <w:instrText xml:space="preserve"> INCLUDEPICTURE  "cid:image043.png@01D1C00E.7F2102C0" \* MERGEFORMATINET </w:instrText>
      </w:r>
      <w:r>
        <w:rPr>
          <w:noProof/>
        </w:rPr>
        <w:fldChar w:fldCharType="separate"/>
      </w:r>
      <w:r w:rsidR="00C700CC">
        <w:rPr>
          <w:noProof/>
        </w:rPr>
        <w:fldChar w:fldCharType="begin"/>
      </w:r>
      <w:r w:rsidR="00C700CC">
        <w:rPr>
          <w:noProof/>
        </w:rPr>
        <w:instrText xml:space="preserve"> INCLUDEPICTURE  "cid:image043.png@01D1C00E.7F2102C0" \* MERGEFORMATINET </w:instrText>
      </w:r>
      <w:r w:rsidR="00C700CC">
        <w:rPr>
          <w:noProof/>
        </w:rPr>
        <w:fldChar w:fldCharType="separate"/>
      </w:r>
      <w:r w:rsidR="00681799">
        <w:rPr>
          <w:noProof/>
        </w:rPr>
        <w:fldChar w:fldCharType="begin"/>
      </w:r>
      <w:r w:rsidR="00681799">
        <w:rPr>
          <w:noProof/>
        </w:rPr>
        <w:instrText xml:space="preserve"> INCLUDEPICTURE  "cid:image043.png@01D1C00E.7F2102C0" \* MERGEFORMATINET </w:instrText>
      </w:r>
      <w:r w:rsidR="00681799">
        <w:rPr>
          <w:noProof/>
        </w:rPr>
        <w:fldChar w:fldCharType="separate"/>
      </w:r>
      <w:r w:rsidR="001E4CA3">
        <w:rPr>
          <w:noProof/>
        </w:rPr>
        <w:fldChar w:fldCharType="begin"/>
      </w:r>
      <w:r w:rsidR="001E4CA3">
        <w:rPr>
          <w:noProof/>
        </w:rPr>
        <w:instrText xml:space="preserve"> INCLUDEPICTURE  "cid:image043.png@01D1C00E.7F2102C0" \* MERGEFORMATINET </w:instrText>
      </w:r>
      <w:r w:rsidR="001E4CA3">
        <w:rPr>
          <w:noProof/>
        </w:rPr>
        <w:fldChar w:fldCharType="separate"/>
      </w:r>
      <w:r w:rsidR="00A34DE5">
        <w:rPr>
          <w:noProof/>
        </w:rPr>
        <w:fldChar w:fldCharType="begin"/>
      </w:r>
      <w:r w:rsidR="00A34DE5">
        <w:rPr>
          <w:noProof/>
        </w:rPr>
        <w:instrText xml:space="preserve"> INCLUDEPICTURE  "cid:image043.png@01D1C00E.7F2102C0" \* MERGEFORMATINET </w:instrText>
      </w:r>
      <w:r w:rsidR="00A34DE5">
        <w:rPr>
          <w:noProof/>
        </w:rPr>
        <w:fldChar w:fldCharType="separate"/>
      </w:r>
      <w:r w:rsidR="005C1572">
        <w:rPr>
          <w:noProof/>
        </w:rPr>
        <w:fldChar w:fldCharType="begin"/>
      </w:r>
      <w:r w:rsidR="005C1572">
        <w:rPr>
          <w:noProof/>
        </w:rPr>
        <w:instrText xml:space="preserve"> INCLUDEPICTURE  "cid:image043.png@01D1C00E.7F2102C0" \* MERGEFORMATINET </w:instrText>
      </w:r>
      <w:r w:rsidR="005C1572">
        <w:rPr>
          <w:noProof/>
        </w:rPr>
        <w:fldChar w:fldCharType="separate"/>
      </w:r>
      <w:r w:rsidR="00D25BD4">
        <w:rPr>
          <w:noProof/>
        </w:rPr>
        <w:fldChar w:fldCharType="begin"/>
      </w:r>
      <w:r w:rsidR="00D25BD4">
        <w:rPr>
          <w:noProof/>
        </w:rPr>
        <w:instrText xml:space="preserve"> INCLUDEPICTURE  "cid:image043.png@01D1C00E.7F2102C0" \* MERGEFORMATINET </w:instrText>
      </w:r>
      <w:r w:rsidR="00D25BD4">
        <w:rPr>
          <w:noProof/>
        </w:rPr>
        <w:fldChar w:fldCharType="separate"/>
      </w:r>
      <w:r w:rsidR="00940244">
        <w:rPr>
          <w:noProof/>
        </w:rPr>
        <w:fldChar w:fldCharType="begin"/>
      </w:r>
      <w:r w:rsidR="00940244">
        <w:rPr>
          <w:noProof/>
        </w:rPr>
        <w:instrText xml:space="preserve"> </w:instrText>
      </w:r>
      <w:r w:rsidR="00940244">
        <w:rPr>
          <w:noProof/>
        </w:rPr>
        <w:instrText>INCLUDEPICTURE  "cid:image043.png@01D1C00E.7F2102C0" \* MERGEFORMATINET</w:instrText>
      </w:r>
      <w:r w:rsidR="00940244">
        <w:rPr>
          <w:noProof/>
        </w:rPr>
        <w:instrText xml:space="preserve"> </w:instrText>
      </w:r>
      <w:r w:rsidR="00940244">
        <w:rPr>
          <w:noProof/>
        </w:rPr>
        <w:fldChar w:fldCharType="separate"/>
      </w:r>
      <w:r w:rsidR="00251775">
        <w:rPr>
          <w:noProof/>
        </w:rPr>
        <w:pict w14:anchorId="0B49D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32pt;visibility:visible">
            <v:imagedata r:id="rId8" r:href="rId9"/>
          </v:shape>
        </w:pict>
      </w:r>
      <w:r w:rsidR="00940244">
        <w:rPr>
          <w:noProof/>
        </w:rPr>
        <w:fldChar w:fldCharType="end"/>
      </w:r>
      <w:r w:rsidR="00D25BD4">
        <w:rPr>
          <w:noProof/>
        </w:rPr>
        <w:fldChar w:fldCharType="end"/>
      </w:r>
      <w:r w:rsidR="005C1572">
        <w:rPr>
          <w:noProof/>
        </w:rPr>
        <w:fldChar w:fldCharType="end"/>
      </w:r>
      <w:r w:rsidR="00A34DE5">
        <w:rPr>
          <w:noProof/>
        </w:rPr>
        <w:fldChar w:fldCharType="end"/>
      </w:r>
      <w:r w:rsidR="001E4CA3">
        <w:rPr>
          <w:noProof/>
        </w:rPr>
        <w:fldChar w:fldCharType="end"/>
      </w:r>
      <w:r w:rsidR="00681799">
        <w:rPr>
          <w:noProof/>
        </w:rPr>
        <w:fldChar w:fldCharType="end"/>
      </w:r>
      <w:r w:rsidR="00C700CC">
        <w:rPr>
          <w:noProof/>
        </w:rPr>
        <w:fldChar w:fldCharType="end"/>
      </w:r>
      <w:r>
        <w:rPr>
          <w:noProof/>
        </w:rPr>
        <w:fldChar w:fldCharType="end"/>
      </w:r>
    </w:p>
    <w:p w14:paraId="40E58BA5" w14:textId="4F645B18" w:rsidR="0037072D" w:rsidRDefault="0037072D" w:rsidP="0037072D">
      <w:pPr>
        <w:pStyle w:val="Beschriftung"/>
        <w:jc w:val="center"/>
      </w:pPr>
      <w:r>
        <w:t xml:space="preserve">Figure </w:t>
      </w:r>
      <w:r>
        <w:fldChar w:fldCharType="begin"/>
      </w:r>
      <w:r>
        <w:instrText xml:space="preserve"> SEQ Figure \* ARABIC </w:instrText>
      </w:r>
      <w:r>
        <w:fldChar w:fldCharType="separate"/>
      </w:r>
      <w:r>
        <w:rPr>
          <w:noProof/>
        </w:rPr>
        <w:t>1</w:t>
      </w:r>
      <w:r>
        <w:fldChar w:fldCharType="end"/>
      </w:r>
      <w:r>
        <w:t xml:space="preserve"> Basic approach for converting CDL to TDL</w:t>
      </w:r>
    </w:p>
    <w:p w14:paraId="1ED9961D" w14:textId="728503DF" w:rsidR="0037072D" w:rsidRDefault="0037072D" w:rsidP="0037072D">
      <w:r>
        <w:t>In addition to this, Option 1 assumes a Jakes fading model for each tap of the channel profile.</w:t>
      </w:r>
    </w:p>
    <w:p w14:paraId="2433B5EA" w14:textId="6AF3FE12" w:rsidR="0037072D" w:rsidRDefault="0037072D" w:rsidP="0037072D">
      <w:r>
        <w:t>In principle this is a well understood principle and an implementation of these channel models can be seen as feasible from a TE vendors point of view.</w:t>
      </w:r>
    </w:p>
    <w:p w14:paraId="2D66F9A4" w14:textId="5255116F" w:rsidR="00EF69C6" w:rsidRPr="00EF69C6" w:rsidRDefault="00EF69C6" w:rsidP="0037072D">
      <w:pPr>
        <w:rPr>
          <w:b/>
        </w:rPr>
      </w:pPr>
      <w:r w:rsidRPr="00EF69C6">
        <w:rPr>
          <w:b/>
        </w:rPr>
        <w:t>Observation 1: Implementation of channel models as per Option 1 in [1] can be seen as feasible.</w:t>
      </w:r>
    </w:p>
    <w:p w14:paraId="03C2039B" w14:textId="77777777" w:rsidR="0037072D" w:rsidRDefault="0037072D" w:rsidP="0037072D"/>
    <w:p w14:paraId="6C1EA76D" w14:textId="0D08FDC3" w:rsidR="00123C55" w:rsidRPr="00ED2B38" w:rsidRDefault="00EF69C6" w:rsidP="00ED2B38">
      <w:pPr>
        <w:pStyle w:val="berschrift2"/>
        <w:rPr>
          <w:lang w:val="en-US"/>
        </w:rPr>
      </w:pPr>
      <w:r>
        <w:rPr>
          <w:lang w:val="en-US"/>
        </w:rPr>
        <w:lastRenderedPageBreak/>
        <w:t xml:space="preserve"> </w:t>
      </w:r>
      <w:r w:rsidR="00ED2B38">
        <w:rPr>
          <w:lang w:val="en-US"/>
        </w:rPr>
        <w:t>Discussion on Option 2</w:t>
      </w:r>
      <w:r w:rsidR="00ED2B38" w:rsidRPr="00ED2B38">
        <w:rPr>
          <w:lang w:val="en-US"/>
        </w:rPr>
        <w:t xml:space="preserve">: </w:t>
      </w:r>
      <w:r w:rsidR="00711530" w:rsidRPr="00ED2B38">
        <w:rPr>
          <w:lang w:val="en-US"/>
        </w:rPr>
        <w:t>Generate TDL channel model based on the methodology in slide</w:t>
      </w:r>
      <w:r w:rsidR="00ED2B38">
        <w:rPr>
          <w:lang w:val="en-US"/>
        </w:rPr>
        <w:t xml:space="preserve"> 4 of the WF [1]</w:t>
      </w:r>
    </w:p>
    <w:p w14:paraId="05A82F3A" w14:textId="2B01E24B" w:rsidR="00ED2B38" w:rsidRDefault="0037072D" w:rsidP="00ED2B38">
      <w:r>
        <w:t>The WF outlines the procedure for Option 2 as below:</w:t>
      </w:r>
    </w:p>
    <w:p w14:paraId="6BFAA94C" w14:textId="77777777" w:rsidR="00123C55" w:rsidRPr="0037072D" w:rsidRDefault="00711530" w:rsidP="0037072D">
      <w:pPr>
        <w:numPr>
          <w:ilvl w:val="0"/>
          <w:numId w:val="49"/>
        </w:numPr>
        <w:rPr>
          <w:i/>
        </w:rPr>
      </w:pPr>
      <w:r w:rsidRPr="0037072D">
        <w:rPr>
          <w:i/>
          <w:lang w:val="en-GB"/>
        </w:rPr>
        <w:t>The CDL framework in 38.901 is used to derive the non-spatial TDLs used for FR2 demodulation requirements</w:t>
      </w:r>
    </w:p>
    <w:p w14:paraId="0A3DB14A" w14:textId="77777777" w:rsidR="00123C55" w:rsidRPr="0037072D" w:rsidRDefault="00711530" w:rsidP="0037072D">
      <w:pPr>
        <w:numPr>
          <w:ilvl w:val="0"/>
          <w:numId w:val="49"/>
        </w:numPr>
        <w:rPr>
          <w:i/>
        </w:rPr>
      </w:pPr>
      <w:r w:rsidRPr="0037072D">
        <w:rPr>
          <w:i/>
          <w:lang w:val="en-GB"/>
        </w:rPr>
        <w:t>The TDL generation procedure will include spatial filtering using assumed gNB and UE antenna patterns</w:t>
      </w:r>
    </w:p>
    <w:p w14:paraId="7BC70DEA" w14:textId="77777777" w:rsidR="00123C55" w:rsidRPr="0037072D" w:rsidRDefault="00711530" w:rsidP="0037072D">
      <w:pPr>
        <w:numPr>
          <w:ilvl w:val="1"/>
          <w:numId w:val="49"/>
        </w:numPr>
        <w:rPr>
          <w:i/>
        </w:rPr>
      </w:pPr>
      <w:r w:rsidRPr="0037072D">
        <w:rPr>
          <w:i/>
          <w:lang w:val="en-GB"/>
        </w:rPr>
        <w:t xml:space="preserve">gNB antenna model is FFS (one example is an 8x8 URA 0.5 </w:t>
      </w:r>
      <w:r w:rsidRPr="0037072D">
        <w:rPr>
          <w:i/>
          <w:lang w:val="el-GR"/>
        </w:rPr>
        <w:t>λ</w:t>
      </w:r>
      <w:r w:rsidRPr="0037072D">
        <w:rPr>
          <w:i/>
          <w:lang w:val="en-GB"/>
        </w:rPr>
        <w:t>array with 22.75 dB directivity as described in R4-1711826)</w:t>
      </w:r>
    </w:p>
    <w:p w14:paraId="1E6DC664" w14:textId="77777777" w:rsidR="00123C55" w:rsidRPr="0037072D" w:rsidRDefault="00711530" w:rsidP="0037072D">
      <w:pPr>
        <w:numPr>
          <w:ilvl w:val="1"/>
          <w:numId w:val="49"/>
        </w:numPr>
        <w:rPr>
          <w:i/>
          <w:lang w:val="de-DE"/>
        </w:rPr>
      </w:pPr>
      <w:r w:rsidRPr="0037072D">
        <w:rPr>
          <w:i/>
          <w:lang w:val="en-GB"/>
        </w:rPr>
        <w:t>For UE this is FFS</w:t>
      </w:r>
    </w:p>
    <w:p w14:paraId="7460B1E2" w14:textId="77777777" w:rsidR="00123C55" w:rsidRPr="0037072D" w:rsidRDefault="00711530" w:rsidP="0037072D">
      <w:pPr>
        <w:numPr>
          <w:ilvl w:val="0"/>
          <w:numId w:val="49"/>
        </w:numPr>
        <w:rPr>
          <w:i/>
        </w:rPr>
      </w:pPr>
      <w:r w:rsidRPr="0037072D">
        <w:rPr>
          <w:i/>
          <w:lang w:val="en-GB"/>
        </w:rPr>
        <w:t>The Doppler spectrum for the TDL will be derived from the CDL and not assume a Jakes spectrum</w:t>
      </w:r>
    </w:p>
    <w:p w14:paraId="3C9516D9" w14:textId="77777777" w:rsidR="00123C55" w:rsidRPr="0037072D" w:rsidRDefault="00711530" w:rsidP="0037072D">
      <w:pPr>
        <w:numPr>
          <w:ilvl w:val="1"/>
          <w:numId w:val="49"/>
        </w:numPr>
        <w:rPr>
          <w:i/>
        </w:rPr>
      </w:pPr>
      <w:r w:rsidRPr="0037072D">
        <w:rPr>
          <w:i/>
          <w:lang w:val="en-GB"/>
        </w:rPr>
        <w:t>The doppler shift of each tap will depend on the UE speed and movement direction, PAS, AoA, ZoA, ASA, ZSA</w:t>
      </w:r>
    </w:p>
    <w:p w14:paraId="3E9A6477" w14:textId="77777777" w:rsidR="00123C55" w:rsidRPr="0037072D" w:rsidRDefault="00711530" w:rsidP="0037072D">
      <w:pPr>
        <w:numPr>
          <w:ilvl w:val="0"/>
          <w:numId w:val="49"/>
        </w:numPr>
        <w:rPr>
          <w:i/>
        </w:rPr>
      </w:pPr>
      <w:r w:rsidRPr="0037072D">
        <w:rPr>
          <w:i/>
        </w:rPr>
        <w:t>For each channel model for demodulation performance testing in FR2, following parameters need to be defined:</w:t>
      </w:r>
    </w:p>
    <w:p w14:paraId="440CF6B5" w14:textId="77777777" w:rsidR="00123C55" w:rsidRPr="0037072D" w:rsidRDefault="00711530" w:rsidP="0037072D">
      <w:pPr>
        <w:numPr>
          <w:ilvl w:val="1"/>
          <w:numId w:val="49"/>
        </w:numPr>
        <w:rPr>
          <w:i/>
        </w:rPr>
      </w:pPr>
      <w:r w:rsidRPr="0037072D">
        <w:rPr>
          <w:i/>
        </w:rPr>
        <w:t>Base CDL channel model defined in TR 38.901</w:t>
      </w:r>
    </w:p>
    <w:p w14:paraId="4061508D" w14:textId="77777777" w:rsidR="00123C55" w:rsidRPr="0037072D" w:rsidRDefault="00711530" w:rsidP="0037072D">
      <w:pPr>
        <w:numPr>
          <w:ilvl w:val="1"/>
          <w:numId w:val="49"/>
        </w:numPr>
        <w:rPr>
          <w:i/>
          <w:lang w:val="de-DE"/>
        </w:rPr>
      </w:pPr>
      <w:r w:rsidRPr="0037072D">
        <w:rPr>
          <w:i/>
        </w:rPr>
        <w:t>Delay Spread</w:t>
      </w:r>
    </w:p>
    <w:p w14:paraId="705C000B" w14:textId="77777777" w:rsidR="00123C55" w:rsidRPr="0037072D" w:rsidRDefault="00711530" w:rsidP="0037072D">
      <w:pPr>
        <w:numPr>
          <w:ilvl w:val="1"/>
          <w:numId w:val="49"/>
        </w:numPr>
        <w:rPr>
          <w:i/>
        </w:rPr>
      </w:pPr>
      <w:r w:rsidRPr="0037072D">
        <w:rPr>
          <w:i/>
        </w:rPr>
        <w:t>Angular Spread for AOA, AOD, ZOA and ZOD</w:t>
      </w:r>
    </w:p>
    <w:p w14:paraId="147AA980" w14:textId="77777777" w:rsidR="00123C55" w:rsidRPr="0037072D" w:rsidRDefault="00711530" w:rsidP="0037072D">
      <w:pPr>
        <w:numPr>
          <w:ilvl w:val="1"/>
          <w:numId w:val="49"/>
        </w:numPr>
        <w:rPr>
          <w:i/>
        </w:rPr>
      </w:pPr>
      <w:r w:rsidRPr="0037072D">
        <w:rPr>
          <w:i/>
        </w:rPr>
        <w:t>Mean Angle for AOA, AOD, ZOA and ZOD.</w:t>
      </w:r>
    </w:p>
    <w:p w14:paraId="6E1F8FA2" w14:textId="587A23BC" w:rsidR="00681799" w:rsidRDefault="00711530" w:rsidP="00ED2B38">
      <w:pPr>
        <w:numPr>
          <w:ilvl w:val="1"/>
          <w:numId w:val="49"/>
        </w:numPr>
        <w:rPr>
          <w:i/>
        </w:rPr>
      </w:pPr>
      <w:r w:rsidRPr="0037072D">
        <w:rPr>
          <w:i/>
        </w:rPr>
        <w:t>Alternatively, Correlation between Tx antennas in case of more than one Tx antennas</w:t>
      </w:r>
    </w:p>
    <w:p w14:paraId="60B9DA35" w14:textId="67394BF5" w:rsidR="00681799" w:rsidRDefault="00681799" w:rsidP="00681799">
      <w:r>
        <w:t>In our understanding, Step 1 and 2 of Option 2 follow the procedure outlined in 38.901 [2]</w:t>
      </w:r>
      <w:r w:rsidRPr="00681799">
        <w:t xml:space="preserve"> </w:t>
      </w:r>
      <w:r>
        <w:t>and shown in Figure 1 of this paper, to convert a CDL channel model into a TDL. So this  seems to be a feasible approach from our point of view.</w:t>
      </w:r>
    </w:p>
    <w:p w14:paraId="46149F8F" w14:textId="3BF7A4E5" w:rsidR="00681799" w:rsidRPr="00681799" w:rsidRDefault="00681799" w:rsidP="00681799">
      <w:pPr>
        <w:rPr>
          <w:b/>
        </w:rPr>
      </w:pPr>
      <w:r w:rsidRPr="00681799">
        <w:rPr>
          <w:b/>
        </w:rPr>
        <w:t>Ob</w:t>
      </w:r>
      <w:r>
        <w:rPr>
          <w:b/>
        </w:rPr>
        <w:t>s</w:t>
      </w:r>
      <w:r w:rsidRPr="00681799">
        <w:rPr>
          <w:b/>
        </w:rPr>
        <w:t>ervation 2: Step 1 and 2 of Option 2 follow the procedure from 38.901 to convert a CDL into a TDL channel model.</w:t>
      </w:r>
    </w:p>
    <w:p w14:paraId="025310CC" w14:textId="1CBB1D65" w:rsidR="0037072D" w:rsidRDefault="00EF69C6" w:rsidP="00ED2B38">
      <w:r>
        <w:t xml:space="preserve">The main difference between Option 1 and Option 2 lies in step 3 of Option 2. In Option 1 the Doppler spectrum assumes a Jakes spectrum, whereas in Option 2 the Doppler shift for each tap will need to be modeled differently. </w:t>
      </w:r>
      <w:r w:rsidR="003478A0">
        <w:t>However with the current description in the procedure it is not clear how to model the Doppler spectrum exactly. To ensure that the implementations will be comparable between TE vendors in the future it should be described in detail how to model the Doppler for Option 2, by e.g. giving a formula or providing examples of said Doppler spectrum.</w:t>
      </w:r>
    </w:p>
    <w:p w14:paraId="18778519" w14:textId="4C0D8053" w:rsidR="00711530" w:rsidRDefault="00711530" w:rsidP="00ED2B38">
      <w:pPr>
        <w:rPr>
          <w:b/>
        </w:rPr>
      </w:pPr>
      <w:r w:rsidRPr="003478A0">
        <w:rPr>
          <w:b/>
        </w:rPr>
        <w:lastRenderedPageBreak/>
        <w:t xml:space="preserve">Observation </w:t>
      </w:r>
      <w:r w:rsidR="00681799">
        <w:rPr>
          <w:b/>
        </w:rPr>
        <w:t>3</w:t>
      </w:r>
      <w:r w:rsidRPr="003478A0">
        <w:rPr>
          <w:b/>
        </w:rPr>
        <w:t xml:space="preserve">: </w:t>
      </w:r>
      <w:r w:rsidR="003478A0">
        <w:rPr>
          <w:b/>
        </w:rPr>
        <w:t>How to model the Doppler spectrum for Option 2 in [1] needs to be described in detail to ensure proper implementation.</w:t>
      </w:r>
    </w:p>
    <w:p w14:paraId="6DAA1163" w14:textId="77777777" w:rsidR="003478A0" w:rsidRDefault="003478A0" w:rsidP="00ED2B38">
      <w:pPr>
        <w:rPr>
          <w:b/>
        </w:rPr>
      </w:pPr>
    </w:p>
    <w:p w14:paraId="35553092" w14:textId="4E9C4D15" w:rsidR="00ED2B38" w:rsidRPr="00E275CC" w:rsidRDefault="00EF69C6" w:rsidP="00EF69C6">
      <w:pPr>
        <w:pStyle w:val="berschrift2"/>
        <w:rPr>
          <w:lang w:val="en-GB"/>
        </w:rPr>
      </w:pPr>
      <w:r w:rsidRPr="00E275CC">
        <w:rPr>
          <w:lang w:val="en-GB"/>
        </w:rPr>
        <w:t>Summary and general remarks</w:t>
      </w:r>
    </w:p>
    <w:p w14:paraId="293BB1AE" w14:textId="40283677" w:rsidR="00EF69C6" w:rsidRDefault="00EF69C6" w:rsidP="00EF69C6">
      <w:pPr>
        <w:rPr>
          <w:lang w:eastAsia="en-US"/>
        </w:rPr>
      </w:pPr>
      <w:r w:rsidRPr="00EF69C6">
        <w:rPr>
          <w:lang w:eastAsia="en-US"/>
        </w:rPr>
        <w:t>In the two sections above we have given our view on the proposed option</w:t>
      </w:r>
      <w:r>
        <w:rPr>
          <w:lang w:eastAsia="en-US"/>
        </w:rPr>
        <w:t xml:space="preserve">s for channel modelling in FR2 and given our observations regarding both options. For option 2  </w:t>
      </w:r>
      <w:r w:rsidR="003478A0">
        <w:rPr>
          <w:lang w:eastAsia="en-US"/>
        </w:rPr>
        <w:t xml:space="preserve">the Doppler spectrum of Option 2 needs to be clarified as shown in </w:t>
      </w:r>
      <w:r w:rsidR="00C700CC">
        <w:rPr>
          <w:lang w:eastAsia="en-US"/>
        </w:rPr>
        <w:t>Observation</w:t>
      </w:r>
      <w:r w:rsidR="003478A0">
        <w:rPr>
          <w:lang w:eastAsia="en-US"/>
        </w:rPr>
        <w:t xml:space="preserve"> 2</w:t>
      </w:r>
      <w:r w:rsidR="00C700CC">
        <w:rPr>
          <w:lang w:eastAsia="en-US"/>
        </w:rPr>
        <w:t xml:space="preserve"> </w:t>
      </w:r>
      <w:r>
        <w:rPr>
          <w:lang w:eastAsia="en-US"/>
        </w:rPr>
        <w:t>before a final conclusion can be reached.</w:t>
      </w:r>
    </w:p>
    <w:p w14:paraId="05D02C19" w14:textId="6BE1F022" w:rsidR="00EF69C6" w:rsidRDefault="00EF69C6" w:rsidP="00EF69C6">
      <w:pPr>
        <w:rPr>
          <w:lang w:eastAsia="en-US"/>
        </w:rPr>
      </w:pPr>
      <w:r>
        <w:rPr>
          <w:lang w:eastAsia="en-US"/>
        </w:rPr>
        <w:t xml:space="preserve">Although we have given  our view on the feasibility on the channel models as described in the WF [1], it must be noted that the final implementation and complexity will depend on the parameters defined for the channel models like delay spread, number of taps, etc. As we already pointed out in [3], some restrictions will apply to the delay </w:t>
      </w:r>
      <w:r w:rsidR="003478A0">
        <w:rPr>
          <w:lang w:eastAsia="en-US"/>
        </w:rPr>
        <w:t xml:space="preserve">tolerance </w:t>
      </w:r>
      <w:r>
        <w:rPr>
          <w:lang w:eastAsia="en-US"/>
        </w:rPr>
        <w:t>of the signal to come to a feasible implementation. Further simplification of the channel models should be analyzed to e.g. reduce the number of taps.</w:t>
      </w:r>
    </w:p>
    <w:p w14:paraId="73E992F3" w14:textId="45702747" w:rsidR="00711530" w:rsidRPr="00711530" w:rsidRDefault="00711530" w:rsidP="00EF69C6">
      <w:pPr>
        <w:rPr>
          <w:b/>
          <w:lang w:eastAsia="en-US"/>
        </w:rPr>
      </w:pPr>
      <w:r w:rsidRPr="00711530">
        <w:rPr>
          <w:b/>
          <w:lang w:eastAsia="en-US"/>
        </w:rPr>
        <w:t xml:space="preserve">Observation </w:t>
      </w:r>
      <w:r w:rsidR="00681799">
        <w:rPr>
          <w:b/>
          <w:lang w:eastAsia="en-US"/>
        </w:rPr>
        <w:t>4</w:t>
      </w:r>
      <w:r w:rsidRPr="00711530">
        <w:rPr>
          <w:b/>
          <w:lang w:eastAsia="en-US"/>
        </w:rPr>
        <w:t>: Further restrictions to the channel models may apply, based on the final parameters of the models.</w:t>
      </w:r>
    </w:p>
    <w:bookmarkEnd w:id="1"/>
    <w:bookmarkEnd w:id="2"/>
    <w:p w14:paraId="6A30F3C3" w14:textId="75086BB4" w:rsidR="00EE0AC3" w:rsidRPr="00DE4417" w:rsidRDefault="00711530" w:rsidP="00EE0AC3">
      <w:pPr>
        <w:pStyle w:val="berschrift1"/>
        <w:rPr>
          <w:rFonts w:cs="Arial"/>
        </w:rPr>
      </w:pPr>
      <w:r>
        <w:rPr>
          <w:rFonts w:cs="Arial"/>
        </w:rPr>
        <w:t>Observations</w:t>
      </w:r>
    </w:p>
    <w:p w14:paraId="65C25269" w14:textId="35BBBDB7" w:rsidR="00DE1186" w:rsidRDefault="00711530" w:rsidP="00711530">
      <w:bookmarkStart w:id="3" w:name="_Ref473660868"/>
      <w:bookmarkStart w:id="4" w:name="_Ref473660708"/>
      <w:bookmarkStart w:id="5" w:name="OLE_LINK6"/>
      <w:bookmarkStart w:id="6" w:name="OLE_LINK7"/>
      <w:r>
        <w:t>In this paper we have shared our view on the approved WF from the RAN4#86bis meeting [1] and presented our observations regarding the channel model approaches outlined in that paper.</w:t>
      </w:r>
    </w:p>
    <w:p w14:paraId="2BFEE37C" w14:textId="34531127" w:rsidR="00711530" w:rsidRDefault="00711530" w:rsidP="00711530">
      <w:pPr>
        <w:rPr>
          <w:b/>
        </w:rPr>
      </w:pPr>
      <w:r w:rsidRPr="00EF69C6">
        <w:rPr>
          <w:b/>
        </w:rPr>
        <w:t>Observation 1: Implementation of channel models as per Option 1 in [1] can be seen as feasible.</w:t>
      </w:r>
    </w:p>
    <w:p w14:paraId="71C5E380" w14:textId="59331807" w:rsidR="00681799" w:rsidRPr="00EF69C6" w:rsidRDefault="00681799" w:rsidP="00711530">
      <w:pPr>
        <w:rPr>
          <w:b/>
        </w:rPr>
      </w:pPr>
      <w:r w:rsidRPr="00681799">
        <w:rPr>
          <w:b/>
        </w:rPr>
        <w:t>Ob</w:t>
      </w:r>
      <w:r>
        <w:rPr>
          <w:b/>
        </w:rPr>
        <w:t>s</w:t>
      </w:r>
      <w:r w:rsidRPr="00681799">
        <w:rPr>
          <w:b/>
        </w:rPr>
        <w:t>ervation 2: Step 1 and 2 of Option 2 follow the procedure from 38.901 to convert a CDL into a TDL channel model.</w:t>
      </w:r>
    </w:p>
    <w:p w14:paraId="6D39C32E" w14:textId="5A4541A2" w:rsidR="003478A0" w:rsidRPr="003478A0" w:rsidRDefault="003478A0" w:rsidP="003478A0">
      <w:pPr>
        <w:rPr>
          <w:b/>
        </w:rPr>
      </w:pPr>
      <w:r w:rsidRPr="003478A0">
        <w:rPr>
          <w:b/>
        </w:rPr>
        <w:t xml:space="preserve">Observation </w:t>
      </w:r>
      <w:r w:rsidR="00681799">
        <w:rPr>
          <w:b/>
        </w:rPr>
        <w:t>3</w:t>
      </w:r>
      <w:r w:rsidRPr="003478A0">
        <w:rPr>
          <w:b/>
        </w:rPr>
        <w:t xml:space="preserve">: </w:t>
      </w:r>
      <w:r>
        <w:rPr>
          <w:b/>
        </w:rPr>
        <w:t>How to model the Doppler spectrum for Option 2 in [1] needs to be described in detail to ensure proper implementation.</w:t>
      </w:r>
    </w:p>
    <w:p w14:paraId="7E69F250" w14:textId="58587AFB" w:rsidR="00711530" w:rsidRPr="00711530" w:rsidRDefault="00711530" w:rsidP="00711530">
      <w:pPr>
        <w:rPr>
          <w:b/>
          <w:lang w:eastAsia="en-US"/>
        </w:rPr>
      </w:pPr>
      <w:r w:rsidRPr="00711530">
        <w:rPr>
          <w:b/>
          <w:lang w:eastAsia="en-US"/>
        </w:rPr>
        <w:t xml:space="preserve">Observation </w:t>
      </w:r>
      <w:r w:rsidR="00681799">
        <w:rPr>
          <w:b/>
          <w:lang w:eastAsia="en-US"/>
        </w:rPr>
        <w:t>4</w:t>
      </w:r>
      <w:r w:rsidRPr="00711530">
        <w:rPr>
          <w:b/>
          <w:lang w:eastAsia="en-US"/>
        </w:rPr>
        <w:t>: Further restrictions to the channel models may apply, based on the final parameters of the models.</w:t>
      </w:r>
    </w:p>
    <w:p w14:paraId="1559997D" w14:textId="4AF64BAF" w:rsidR="00030A7F" w:rsidRPr="00DE4417" w:rsidRDefault="00030A7F" w:rsidP="00711530">
      <w:pPr>
        <w:pStyle w:val="berschrift1"/>
        <w:numPr>
          <w:ilvl w:val="0"/>
          <w:numId w:val="0"/>
        </w:numPr>
        <w:rPr>
          <w:rFonts w:cs="Arial"/>
        </w:rPr>
      </w:pPr>
      <w:r w:rsidRPr="00DE4417">
        <w:rPr>
          <w:rFonts w:cs="Arial"/>
        </w:rPr>
        <w:t>References</w:t>
      </w:r>
    </w:p>
    <w:p w14:paraId="296212CC" w14:textId="4AD822F4" w:rsidR="008D552A" w:rsidRPr="00DE4417" w:rsidRDefault="00711530" w:rsidP="00ED2B38">
      <w:pPr>
        <w:pStyle w:val="Listenabsatz"/>
        <w:numPr>
          <w:ilvl w:val="0"/>
          <w:numId w:val="46"/>
        </w:numPr>
        <w:spacing w:after="0" w:line="240" w:lineRule="auto"/>
        <w:rPr>
          <w:lang w:val="en-GB"/>
        </w:rPr>
      </w:pPr>
      <w:r>
        <w:rPr>
          <w:lang w:val="en-GB"/>
        </w:rPr>
        <w:t xml:space="preserve">R4-1805895: </w:t>
      </w:r>
      <w:r w:rsidR="00ED2B38" w:rsidRPr="00ED2B38">
        <w:rPr>
          <w:lang w:val="en-GB"/>
        </w:rPr>
        <w:t>WF on Channel model for Demodulation for FR2</w:t>
      </w:r>
      <w:r w:rsidR="00ED2B38">
        <w:rPr>
          <w:lang w:val="en-GB"/>
        </w:rPr>
        <w:t xml:space="preserve">; </w:t>
      </w:r>
      <w:r w:rsidR="00ED2B38" w:rsidRPr="00ED2B38">
        <w:rPr>
          <w:lang w:val="en-GB"/>
        </w:rPr>
        <w:t>Qualcomm, Keysight Technologies, Spirent</w:t>
      </w:r>
      <w:r w:rsidR="00ED2B38">
        <w:rPr>
          <w:lang w:val="en-GB"/>
        </w:rPr>
        <w:t>; RAN4#86bis Melbourne; April 2018</w:t>
      </w:r>
    </w:p>
    <w:p w14:paraId="75BABAD2" w14:textId="514A680B" w:rsidR="00571E93" w:rsidRDefault="0037072D" w:rsidP="00BF7A2F">
      <w:pPr>
        <w:pStyle w:val="Listenabsatz"/>
        <w:numPr>
          <w:ilvl w:val="0"/>
          <w:numId w:val="46"/>
        </w:numPr>
        <w:spacing w:after="0" w:line="240" w:lineRule="auto"/>
        <w:rPr>
          <w:lang w:val="en-GB"/>
        </w:rPr>
      </w:pPr>
      <w:r>
        <w:rPr>
          <w:lang w:val="en-GB"/>
        </w:rPr>
        <w:t>TR 38.901 v14.3.0 (2017-12)</w:t>
      </w:r>
    </w:p>
    <w:p w14:paraId="2E863F4B" w14:textId="4ECE199C" w:rsidR="00711530" w:rsidRPr="00711530" w:rsidRDefault="00711530" w:rsidP="00711530">
      <w:pPr>
        <w:pStyle w:val="Listenabsatz"/>
        <w:numPr>
          <w:ilvl w:val="0"/>
          <w:numId w:val="46"/>
        </w:numPr>
        <w:spacing w:after="0" w:line="240" w:lineRule="auto"/>
        <w:rPr>
          <w:lang w:val="en-GB"/>
        </w:rPr>
      </w:pPr>
      <w:r>
        <w:rPr>
          <w:lang w:val="en-GB"/>
        </w:rPr>
        <w:t xml:space="preserve">R4-1804845: </w:t>
      </w:r>
      <w:r w:rsidRPr="00711530">
        <w:rPr>
          <w:lang w:val="en-GB"/>
        </w:rPr>
        <w:t>Channel model: Tolerance for path delays</w:t>
      </w:r>
      <w:r>
        <w:rPr>
          <w:lang w:val="en-GB"/>
        </w:rPr>
        <w:t>; Rohde &amp; Schwarz; RAN4#86bis Melbourne; April 2018</w:t>
      </w:r>
    </w:p>
    <w:bookmarkEnd w:id="3"/>
    <w:bookmarkEnd w:id="4"/>
    <w:bookmarkEnd w:id="5"/>
    <w:bookmarkEnd w:id="6"/>
    <w:p w14:paraId="3F053A66" w14:textId="0C3F7631" w:rsidR="001B137F" w:rsidRPr="00DE4417" w:rsidRDefault="001B137F" w:rsidP="001747B0">
      <w:pPr>
        <w:spacing w:after="0" w:line="240" w:lineRule="auto"/>
        <w:ind w:left="720" w:hanging="720"/>
        <w:rPr>
          <w:lang w:val="en-GB"/>
        </w:rPr>
      </w:pPr>
    </w:p>
    <w:sectPr w:rsidR="001B137F" w:rsidRPr="00DE4417" w:rsidSect="003838EA">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ABAA7" w14:textId="77777777" w:rsidR="00940244" w:rsidRDefault="00940244" w:rsidP="00371D7D">
      <w:r>
        <w:separator/>
      </w:r>
    </w:p>
  </w:endnote>
  <w:endnote w:type="continuationSeparator" w:id="0">
    <w:p w14:paraId="6A9E42DA" w14:textId="77777777" w:rsidR="00940244" w:rsidRDefault="0094024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567495C"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51775">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9B633" w14:textId="77777777" w:rsidR="00940244" w:rsidRDefault="00940244" w:rsidP="00371D7D">
      <w:r>
        <w:separator/>
      </w:r>
    </w:p>
  </w:footnote>
  <w:footnote w:type="continuationSeparator" w:id="0">
    <w:p w14:paraId="5D92643C" w14:textId="77777777" w:rsidR="00940244" w:rsidRDefault="0094024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4454636"/>
    <w:multiLevelType w:val="hybridMultilevel"/>
    <w:tmpl w:val="8DF46C2E"/>
    <w:lvl w:ilvl="0" w:tplc="AA3A0CA0">
      <w:start w:val="1"/>
      <w:numFmt w:val="bullet"/>
      <w:lvlText w:val="–"/>
      <w:lvlJc w:val="left"/>
      <w:pPr>
        <w:tabs>
          <w:tab w:val="num" w:pos="720"/>
        </w:tabs>
        <w:ind w:left="720" w:hanging="360"/>
      </w:pPr>
      <w:rPr>
        <w:rFonts w:ascii="Arial" w:hAnsi="Arial" w:hint="default"/>
      </w:rPr>
    </w:lvl>
    <w:lvl w:ilvl="1" w:tplc="ACB8984A">
      <w:start w:val="1"/>
      <w:numFmt w:val="bullet"/>
      <w:lvlText w:val="–"/>
      <w:lvlJc w:val="left"/>
      <w:pPr>
        <w:tabs>
          <w:tab w:val="num" w:pos="1440"/>
        </w:tabs>
        <w:ind w:left="1440" w:hanging="360"/>
      </w:pPr>
      <w:rPr>
        <w:rFonts w:ascii="Arial" w:hAnsi="Arial" w:hint="default"/>
      </w:rPr>
    </w:lvl>
    <w:lvl w:ilvl="2" w:tplc="FDAEC096" w:tentative="1">
      <w:start w:val="1"/>
      <w:numFmt w:val="bullet"/>
      <w:lvlText w:val="–"/>
      <w:lvlJc w:val="left"/>
      <w:pPr>
        <w:tabs>
          <w:tab w:val="num" w:pos="2160"/>
        </w:tabs>
        <w:ind w:left="2160" w:hanging="360"/>
      </w:pPr>
      <w:rPr>
        <w:rFonts w:ascii="Arial" w:hAnsi="Arial" w:hint="default"/>
      </w:rPr>
    </w:lvl>
    <w:lvl w:ilvl="3" w:tplc="E47AC7DC" w:tentative="1">
      <w:start w:val="1"/>
      <w:numFmt w:val="bullet"/>
      <w:lvlText w:val="–"/>
      <w:lvlJc w:val="left"/>
      <w:pPr>
        <w:tabs>
          <w:tab w:val="num" w:pos="2880"/>
        </w:tabs>
        <w:ind w:left="2880" w:hanging="360"/>
      </w:pPr>
      <w:rPr>
        <w:rFonts w:ascii="Arial" w:hAnsi="Arial" w:hint="default"/>
      </w:rPr>
    </w:lvl>
    <w:lvl w:ilvl="4" w:tplc="B50C218E" w:tentative="1">
      <w:start w:val="1"/>
      <w:numFmt w:val="bullet"/>
      <w:lvlText w:val="–"/>
      <w:lvlJc w:val="left"/>
      <w:pPr>
        <w:tabs>
          <w:tab w:val="num" w:pos="3600"/>
        </w:tabs>
        <w:ind w:left="3600" w:hanging="360"/>
      </w:pPr>
      <w:rPr>
        <w:rFonts w:ascii="Arial" w:hAnsi="Arial" w:hint="default"/>
      </w:rPr>
    </w:lvl>
    <w:lvl w:ilvl="5" w:tplc="AE661036" w:tentative="1">
      <w:start w:val="1"/>
      <w:numFmt w:val="bullet"/>
      <w:lvlText w:val="–"/>
      <w:lvlJc w:val="left"/>
      <w:pPr>
        <w:tabs>
          <w:tab w:val="num" w:pos="4320"/>
        </w:tabs>
        <w:ind w:left="4320" w:hanging="360"/>
      </w:pPr>
      <w:rPr>
        <w:rFonts w:ascii="Arial" w:hAnsi="Arial" w:hint="default"/>
      </w:rPr>
    </w:lvl>
    <w:lvl w:ilvl="6" w:tplc="66B6CCFC" w:tentative="1">
      <w:start w:val="1"/>
      <w:numFmt w:val="bullet"/>
      <w:lvlText w:val="–"/>
      <w:lvlJc w:val="left"/>
      <w:pPr>
        <w:tabs>
          <w:tab w:val="num" w:pos="5040"/>
        </w:tabs>
        <w:ind w:left="5040" w:hanging="360"/>
      </w:pPr>
      <w:rPr>
        <w:rFonts w:ascii="Arial" w:hAnsi="Arial" w:hint="default"/>
      </w:rPr>
    </w:lvl>
    <w:lvl w:ilvl="7" w:tplc="933292C0" w:tentative="1">
      <w:start w:val="1"/>
      <w:numFmt w:val="bullet"/>
      <w:lvlText w:val="–"/>
      <w:lvlJc w:val="left"/>
      <w:pPr>
        <w:tabs>
          <w:tab w:val="num" w:pos="5760"/>
        </w:tabs>
        <w:ind w:left="5760" w:hanging="360"/>
      </w:pPr>
      <w:rPr>
        <w:rFonts w:ascii="Arial" w:hAnsi="Arial" w:hint="default"/>
      </w:rPr>
    </w:lvl>
    <w:lvl w:ilvl="8" w:tplc="73920F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F7B3E"/>
    <w:multiLevelType w:val="hybridMultilevel"/>
    <w:tmpl w:val="AE884E2E"/>
    <w:lvl w:ilvl="0" w:tplc="A49C8EDE">
      <w:start w:val="1"/>
      <w:numFmt w:val="decimal"/>
      <w:lvlText w:val="%1."/>
      <w:lvlJc w:val="left"/>
      <w:pPr>
        <w:tabs>
          <w:tab w:val="num" w:pos="720"/>
        </w:tabs>
        <w:ind w:left="720" w:hanging="360"/>
      </w:pPr>
    </w:lvl>
    <w:lvl w:ilvl="1" w:tplc="41A2582E">
      <w:start w:val="1"/>
      <w:numFmt w:val="decimal"/>
      <w:lvlText w:val="%2."/>
      <w:lvlJc w:val="left"/>
      <w:pPr>
        <w:tabs>
          <w:tab w:val="num" w:pos="1440"/>
        </w:tabs>
        <w:ind w:left="1440" w:hanging="360"/>
      </w:pPr>
    </w:lvl>
    <w:lvl w:ilvl="2" w:tplc="623C093C" w:tentative="1">
      <w:start w:val="1"/>
      <w:numFmt w:val="decimal"/>
      <w:lvlText w:val="%3."/>
      <w:lvlJc w:val="left"/>
      <w:pPr>
        <w:tabs>
          <w:tab w:val="num" w:pos="2160"/>
        </w:tabs>
        <w:ind w:left="2160" w:hanging="360"/>
      </w:pPr>
    </w:lvl>
    <w:lvl w:ilvl="3" w:tplc="C098223E" w:tentative="1">
      <w:start w:val="1"/>
      <w:numFmt w:val="decimal"/>
      <w:lvlText w:val="%4."/>
      <w:lvlJc w:val="left"/>
      <w:pPr>
        <w:tabs>
          <w:tab w:val="num" w:pos="2880"/>
        </w:tabs>
        <w:ind w:left="2880" w:hanging="360"/>
      </w:pPr>
    </w:lvl>
    <w:lvl w:ilvl="4" w:tplc="14D0EA6C" w:tentative="1">
      <w:start w:val="1"/>
      <w:numFmt w:val="decimal"/>
      <w:lvlText w:val="%5."/>
      <w:lvlJc w:val="left"/>
      <w:pPr>
        <w:tabs>
          <w:tab w:val="num" w:pos="3600"/>
        </w:tabs>
        <w:ind w:left="3600" w:hanging="360"/>
      </w:pPr>
    </w:lvl>
    <w:lvl w:ilvl="5" w:tplc="D8B65A10" w:tentative="1">
      <w:start w:val="1"/>
      <w:numFmt w:val="decimal"/>
      <w:lvlText w:val="%6."/>
      <w:lvlJc w:val="left"/>
      <w:pPr>
        <w:tabs>
          <w:tab w:val="num" w:pos="4320"/>
        </w:tabs>
        <w:ind w:left="4320" w:hanging="360"/>
      </w:pPr>
    </w:lvl>
    <w:lvl w:ilvl="6" w:tplc="9EACC04A" w:tentative="1">
      <w:start w:val="1"/>
      <w:numFmt w:val="decimal"/>
      <w:lvlText w:val="%7."/>
      <w:lvlJc w:val="left"/>
      <w:pPr>
        <w:tabs>
          <w:tab w:val="num" w:pos="5040"/>
        </w:tabs>
        <w:ind w:left="5040" w:hanging="360"/>
      </w:pPr>
    </w:lvl>
    <w:lvl w:ilvl="7" w:tplc="515CC1D0" w:tentative="1">
      <w:start w:val="1"/>
      <w:numFmt w:val="decimal"/>
      <w:lvlText w:val="%8."/>
      <w:lvlJc w:val="left"/>
      <w:pPr>
        <w:tabs>
          <w:tab w:val="num" w:pos="5760"/>
        </w:tabs>
        <w:ind w:left="5760" w:hanging="360"/>
      </w:pPr>
    </w:lvl>
    <w:lvl w:ilvl="8" w:tplc="F446D634" w:tentative="1">
      <w:start w:val="1"/>
      <w:numFmt w:val="decimal"/>
      <w:lvlText w:val="%9."/>
      <w:lvlJc w:val="left"/>
      <w:pPr>
        <w:tabs>
          <w:tab w:val="num" w:pos="6480"/>
        </w:tabs>
        <w:ind w:left="6480" w:hanging="360"/>
      </w:pPr>
    </w:lvl>
  </w:abstractNum>
  <w:abstractNum w:abstractNumId="12"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014E41"/>
    <w:multiLevelType w:val="hybridMultilevel"/>
    <w:tmpl w:val="B9B259C2"/>
    <w:lvl w:ilvl="0" w:tplc="BF00D2E8">
      <w:start w:val="1"/>
      <w:numFmt w:val="bullet"/>
      <w:lvlText w:val="–"/>
      <w:lvlJc w:val="left"/>
      <w:pPr>
        <w:tabs>
          <w:tab w:val="num" w:pos="720"/>
        </w:tabs>
        <w:ind w:left="720" w:hanging="360"/>
      </w:pPr>
      <w:rPr>
        <w:rFonts w:ascii="Arial" w:hAnsi="Arial" w:hint="default"/>
      </w:rPr>
    </w:lvl>
    <w:lvl w:ilvl="1" w:tplc="91701482">
      <w:start w:val="1"/>
      <w:numFmt w:val="bullet"/>
      <w:lvlText w:val="–"/>
      <w:lvlJc w:val="left"/>
      <w:pPr>
        <w:tabs>
          <w:tab w:val="num" w:pos="1440"/>
        </w:tabs>
        <w:ind w:left="1440" w:hanging="360"/>
      </w:pPr>
      <w:rPr>
        <w:rFonts w:ascii="Arial" w:hAnsi="Arial" w:hint="default"/>
      </w:rPr>
    </w:lvl>
    <w:lvl w:ilvl="2" w:tplc="43381760" w:tentative="1">
      <w:start w:val="1"/>
      <w:numFmt w:val="bullet"/>
      <w:lvlText w:val="–"/>
      <w:lvlJc w:val="left"/>
      <w:pPr>
        <w:tabs>
          <w:tab w:val="num" w:pos="2160"/>
        </w:tabs>
        <w:ind w:left="2160" w:hanging="360"/>
      </w:pPr>
      <w:rPr>
        <w:rFonts w:ascii="Arial" w:hAnsi="Arial" w:hint="default"/>
      </w:rPr>
    </w:lvl>
    <w:lvl w:ilvl="3" w:tplc="20F48E8A" w:tentative="1">
      <w:start w:val="1"/>
      <w:numFmt w:val="bullet"/>
      <w:lvlText w:val="–"/>
      <w:lvlJc w:val="left"/>
      <w:pPr>
        <w:tabs>
          <w:tab w:val="num" w:pos="2880"/>
        </w:tabs>
        <w:ind w:left="2880" w:hanging="360"/>
      </w:pPr>
      <w:rPr>
        <w:rFonts w:ascii="Arial" w:hAnsi="Arial" w:hint="default"/>
      </w:rPr>
    </w:lvl>
    <w:lvl w:ilvl="4" w:tplc="C03C4F6A" w:tentative="1">
      <w:start w:val="1"/>
      <w:numFmt w:val="bullet"/>
      <w:lvlText w:val="–"/>
      <w:lvlJc w:val="left"/>
      <w:pPr>
        <w:tabs>
          <w:tab w:val="num" w:pos="3600"/>
        </w:tabs>
        <w:ind w:left="3600" w:hanging="360"/>
      </w:pPr>
      <w:rPr>
        <w:rFonts w:ascii="Arial" w:hAnsi="Arial" w:hint="default"/>
      </w:rPr>
    </w:lvl>
    <w:lvl w:ilvl="5" w:tplc="22C41336" w:tentative="1">
      <w:start w:val="1"/>
      <w:numFmt w:val="bullet"/>
      <w:lvlText w:val="–"/>
      <w:lvlJc w:val="left"/>
      <w:pPr>
        <w:tabs>
          <w:tab w:val="num" w:pos="4320"/>
        </w:tabs>
        <w:ind w:left="4320" w:hanging="360"/>
      </w:pPr>
      <w:rPr>
        <w:rFonts w:ascii="Arial" w:hAnsi="Arial" w:hint="default"/>
      </w:rPr>
    </w:lvl>
    <w:lvl w:ilvl="6" w:tplc="76066168" w:tentative="1">
      <w:start w:val="1"/>
      <w:numFmt w:val="bullet"/>
      <w:lvlText w:val="–"/>
      <w:lvlJc w:val="left"/>
      <w:pPr>
        <w:tabs>
          <w:tab w:val="num" w:pos="5040"/>
        </w:tabs>
        <w:ind w:left="5040" w:hanging="360"/>
      </w:pPr>
      <w:rPr>
        <w:rFonts w:ascii="Arial" w:hAnsi="Arial" w:hint="default"/>
      </w:rPr>
    </w:lvl>
    <w:lvl w:ilvl="7" w:tplc="3E70C970" w:tentative="1">
      <w:start w:val="1"/>
      <w:numFmt w:val="bullet"/>
      <w:lvlText w:val="–"/>
      <w:lvlJc w:val="left"/>
      <w:pPr>
        <w:tabs>
          <w:tab w:val="num" w:pos="5760"/>
        </w:tabs>
        <w:ind w:left="5760" w:hanging="360"/>
      </w:pPr>
      <w:rPr>
        <w:rFonts w:ascii="Arial" w:hAnsi="Arial" w:hint="default"/>
      </w:rPr>
    </w:lvl>
    <w:lvl w:ilvl="8" w:tplc="59C2D5D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5"/>
  </w:num>
  <w:num w:numId="3">
    <w:abstractNumId w:val="20"/>
  </w:num>
  <w:num w:numId="4">
    <w:abstractNumId w:val="32"/>
  </w:num>
  <w:num w:numId="5">
    <w:abstractNumId w:val="20"/>
  </w:num>
  <w:num w:numId="6">
    <w:abstractNumId w:val="20"/>
  </w:num>
  <w:num w:numId="7">
    <w:abstractNumId w:val="20"/>
  </w:num>
  <w:num w:numId="8">
    <w:abstractNumId w:val="20"/>
  </w:num>
  <w:num w:numId="9">
    <w:abstractNumId w:val="19"/>
  </w:num>
  <w:num w:numId="10">
    <w:abstractNumId w:val="21"/>
  </w:num>
  <w:num w:numId="11">
    <w:abstractNumId w:val="18"/>
  </w:num>
  <w:num w:numId="12">
    <w:abstractNumId w:val="17"/>
  </w:num>
  <w:num w:numId="13">
    <w:abstractNumId w:val="35"/>
  </w:num>
  <w:num w:numId="14">
    <w:abstractNumId w:val="20"/>
  </w:num>
  <w:num w:numId="15">
    <w:abstractNumId w:val="28"/>
  </w:num>
  <w:num w:numId="16">
    <w:abstractNumId w:val="14"/>
  </w:num>
  <w:num w:numId="17">
    <w:abstractNumId w:val="1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3"/>
  </w:num>
  <w:num w:numId="23">
    <w:abstractNumId w:val="20"/>
  </w:num>
  <w:num w:numId="24">
    <w:abstractNumId w:val="12"/>
  </w:num>
  <w:num w:numId="25">
    <w:abstractNumId w:val="13"/>
  </w:num>
  <w:num w:numId="26">
    <w:abstractNumId w:val="20"/>
  </w:num>
  <w:num w:numId="27">
    <w:abstractNumId w:val="22"/>
  </w:num>
  <w:num w:numId="28">
    <w:abstractNumId w:val="4"/>
  </w:num>
  <w:num w:numId="29">
    <w:abstractNumId w:val="26"/>
  </w:num>
  <w:num w:numId="30">
    <w:abstractNumId w:val="31"/>
  </w:num>
  <w:num w:numId="31">
    <w:abstractNumId w:val="30"/>
  </w:num>
  <w:num w:numId="32">
    <w:abstractNumId w:val="8"/>
  </w:num>
  <w:num w:numId="33">
    <w:abstractNumId w:val="38"/>
  </w:num>
  <w:num w:numId="34">
    <w:abstractNumId w:val="3"/>
  </w:num>
  <w:num w:numId="35">
    <w:abstractNumId w:val="16"/>
  </w:num>
  <w:num w:numId="36">
    <w:abstractNumId w:val="29"/>
  </w:num>
  <w:num w:numId="37">
    <w:abstractNumId w:val="24"/>
  </w:num>
  <w:num w:numId="38">
    <w:abstractNumId w:val="37"/>
  </w:num>
  <w:num w:numId="39">
    <w:abstractNumId w:val="27"/>
  </w:num>
  <w:num w:numId="40">
    <w:abstractNumId w:val="34"/>
  </w:num>
  <w:num w:numId="41">
    <w:abstractNumId w:val="25"/>
  </w:num>
  <w:num w:numId="42">
    <w:abstractNumId w:val="20"/>
  </w:num>
  <w:num w:numId="43">
    <w:abstractNumId w:val="20"/>
  </w:num>
  <w:num w:numId="44">
    <w:abstractNumId w:val="2"/>
  </w:num>
  <w:num w:numId="45">
    <w:abstractNumId w:val="7"/>
  </w:num>
  <w:num w:numId="46">
    <w:abstractNumId w:val="9"/>
  </w:num>
  <w:num w:numId="47">
    <w:abstractNumId w:val="36"/>
  </w:num>
  <w:num w:numId="48">
    <w:abstractNumId w:val="1"/>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3C5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4CA3"/>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775"/>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478A0"/>
    <w:rsid w:val="0035204A"/>
    <w:rsid w:val="0036038D"/>
    <w:rsid w:val="003607C5"/>
    <w:rsid w:val="003608E0"/>
    <w:rsid w:val="003660C7"/>
    <w:rsid w:val="003664A2"/>
    <w:rsid w:val="00367E6D"/>
    <w:rsid w:val="0037072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1A65"/>
    <w:rsid w:val="003E2565"/>
    <w:rsid w:val="003E5779"/>
    <w:rsid w:val="003F0E6E"/>
    <w:rsid w:val="003F1A78"/>
    <w:rsid w:val="003F426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4B54"/>
    <w:rsid w:val="005964E4"/>
    <w:rsid w:val="005A04AB"/>
    <w:rsid w:val="005C1279"/>
    <w:rsid w:val="005C1572"/>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1799"/>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1530"/>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0057"/>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22DF"/>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024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4DE5"/>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53A"/>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0CC"/>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5BD4"/>
    <w:rsid w:val="00D27579"/>
    <w:rsid w:val="00D323E4"/>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275CC"/>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2B38"/>
    <w:rsid w:val="00ED533B"/>
    <w:rsid w:val="00ED5892"/>
    <w:rsid w:val="00EE0AC3"/>
    <w:rsid w:val="00EE17A9"/>
    <w:rsid w:val="00EE17D7"/>
    <w:rsid w:val="00EE33CE"/>
    <w:rsid w:val="00EE42C5"/>
    <w:rsid w:val="00EE4801"/>
    <w:rsid w:val="00EE49E6"/>
    <w:rsid w:val="00EE555F"/>
    <w:rsid w:val="00EE6715"/>
    <w:rsid w:val="00EF0BCA"/>
    <w:rsid w:val="00EF1BF6"/>
    <w:rsid w:val="00EF69C6"/>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39802376">
      <w:bodyDiv w:val="1"/>
      <w:marLeft w:val="0"/>
      <w:marRight w:val="0"/>
      <w:marTop w:val="0"/>
      <w:marBottom w:val="0"/>
      <w:divBdr>
        <w:top w:val="none" w:sz="0" w:space="0" w:color="auto"/>
        <w:left w:val="none" w:sz="0" w:space="0" w:color="auto"/>
        <w:bottom w:val="none" w:sz="0" w:space="0" w:color="auto"/>
        <w:right w:val="none" w:sz="0" w:space="0" w:color="auto"/>
      </w:divBdr>
      <w:divsChild>
        <w:div w:id="747533187">
          <w:marLeft w:val="547"/>
          <w:marRight w:val="0"/>
          <w:marTop w:val="96"/>
          <w:marBottom w:val="0"/>
          <w:divBdr>
            <w:top w:val="none" w:sz="0" w:space="0" w:color="auto"/>
            <w:left w:val="none" w:sz="0" w:space="0" w:color="auto"/>
            <w:bottom w:val="none" w:sz="0" w:space="0" w:color="auto"/>
            <w:right w:val="none" w:sz="0" w:space="0" w:color="auto"/>
          </w:divBdr>
        </w:div>
        <w:div w:id="1956711874">
          <w:marLeft w:val="720"/>
          <w:marRight w:val="0"/>
          <w:marTop w:val="96"/>
          <w:marBottom w:val="0"/>
          <w:divBdr>
            <w:top w:val="none" w:sz="0" w:space="0" w:color="auto"/>
            <w:left w:val="none" w:sz="0" w:space="0" w:color="auto"/>
            <w:bottom w:val="none" w:sz="0" w:space="0" w:color="auto"/>
            <w:right w:val="none" w:sz="0" w:space="0" w:color="auto"/>
          </w:divBdr>
        </w:div>
        <w:div w:id="1310596177">
          <w:marLeft w:val="1267"/>
          <w:marRight w:val="0"/>
          <w:marTop w:val="86"/>
          <w:marBottom w:val="0"/>
          <w:divBdr>
            <w:top w:val="none" w:sz="0" w:space="0" w:color="auto"/>
            <w:left w:val="none" w:sz="0" w:space="0" w:color="auto"/>
            <w:bottom w:val="none" w:sz="0" w:space="0" w:color="auto"/>
            <w:right w:val="none" w:sz="0" w:space="0" w:color="auto"/>
          </w:divBdr>
        </w:div>
        <w:div w:id="513610452">
          <w:marLeft w:val="1267"/>
          <w:marRight w:val="0"/>
          <w:marTop w:val="86"/>
          <w:marBottom w:val="0"/>
          <w:divBdr>
            <w:top w:val="none" w:sz="0" w:space="0" w:color="auto"/>
            <w:left w:val="none" w:sz="0" w:space="0" w:color="auto"/>
            <w:bottom w:val="none" w:sz="0" w:space="0" w:color="auto"/>
            <w:right w:val="none" w:sz="0" w:space="0" w:color="auto"/>
          </w:divBdr>
        </w:div>
        <w:div w:id="1065879365">
          <w:marLeft w:val="720"/>
          <w:marRight w:val="0"/>
          <w:marTop w:val="96"/>
          <w:marBottom w:val="0"/>
          <w:divBdr>
            <w:top w:val="none" w:sz="0" w:space="0" w:color="auto"/>
            <w:left w:val="none" w:sz="0" w:space="0" w:color="auto"/>
            <w:bottom w:val="none" w:sz="0" w:space="0" w:color="auto"/>
            <w:right w:val="none" w:sz="0" w:space="0" w:color="auto"/>
          </w:divBdr>
        </w:div>
        <w:div w:id="405763871">
          <w:marLeft w:val="1354"/>
          <w:marRight w:val="0"/>
          <w:marTop w:val="77"/>
          <w:marBottom w:val="0"/>
          <w:divBdr>
            <w:top w:val="none" w:sz="0" w:space="0" w:color="auto"/>
            <w:left w:val="none" w:sz="0" w:space="0" w:color="auto"/>
            <w:bottom w:val="none" w:sz="0" w:space="0" w:color="auto"/>
            <w:right w:val="none" w:sz="0" w:space="0" w:color="auto"/>
          </w:divBdr>
        </w:div>
        <w:div w:id="1515799971">
          <w:marLeft w:val="720"/>
          <w:marRight w:val="0"/>
          <w:marTop w:val="96"/>
          <w:marBottom w:val="0"/>
          <w:divBdr>
            <w:top w:val="none" w:sz="0" w:space="0" w:color="auto"/>
            <w:left w:val="none" w:sz="0" w:space="0" w:color="auto"/>
            <w:bottom w:val="none" w:sz="0" w:space="0" w:color="auto"/>
            <w:right w:val="none" w:sz="0" w:space="0" w:color="auto"/>
          </w:divBdr>
        </w:div>
        <w:div w:id="1341928666">
          <w:marLeft w:val="1166"/>
          <w:marRight w:val="0"/>
          <w:marTop w:val="77"/>
          <w:marBottom w:val="0"/>
          <w:divBdr>
            <w:top w:val="none" w:sz="0" w:space="0" w:color="auto"/>
            <w:left w:val="none" w:sz="0" w:space="0" w:color="auto"/>
            <w:bottom w:val="none" w:sz="0" w:space="0" w:color="auto"/>
            <w:right w:val="none" w:sz="0" w:space="0" w:color="auto"/>
          </w:divBdr>
        </w:div>
        <w:div w:id="479927154">
          <w:marLeft w:val="1166"/>
          <w:marRight w:val="0"/>
          <w:marTop w:val="77"/>
          <w:marBottom w:val="0"/>
          <w:divBdr>
            <w:top w:val="none" w:sz="0" w:space="0" w:color="auto"/>
            <w:left w:val="none" w:sz="0" w:space="0" w:color="auto"/>
            <w:bottom w:val="none" w:sz="0" w:space="0" w:color="auto"/>
            <w:right w:val="none" w:sz="0" w:space="0" w:color="auto"/>
          </w:divBdr>
        </w:div>
        <w:div w:id="846823258">
          <w:marLeft w:val="1166"/>
          <w:marRight w:val="0"/>
          <w:marTop w:val="77"/>
          <w:marBottom w:val="0"/>
          <w:divBdr>
            <w:top w:val="none" w:sz="0" w:space="0" w:color="auto"/>
            <w:left w:val="none" w:sz="0" w:space="0" w:color="auto"/>
            <w:bottom w:val="none" w:sz="0" w:space="0" w:color="auto"/>
            <w:right w:val="none" w:sz="0" w:space="0" w:color="auto"/>
          </w:divBdr>
        </w:div>
        <w:div w:id="2056616490">
          <w:marLeft w:val="1166"/>
          <w:marRight w:val="0"/>
          <w:marTop w:val="77"/>
          <w:marBottom w:val="0"/>
          <w:divBdr>
            <w:top w:val="none" w:sz="0" w:space="0" w:color="auto"/>
            <w:left w:val="none" w:sz="0" w:space="0" w:color="auto"/>
            <w:bottom w:val="none" w:sz="0" w:space="0" w:color="auto"/>
            <w:right w:val="none" w:sz="0" w:space="0" w:color="auto"/>
          </w:divBdr>
        </w:div>
        <w:div w:id="206458225">
          <w:marLeft w:val="1166"/>
          <w:marRight w:val="0"/>
          <w:marTop w:val="77"/>
          <w:marBottom w:val="0"/>
          <w:divBdr>
            <w:top w:val="none" w:sz="0" w:space="0" w:color="auto"/>
            <w:left w:val="none" w:sz="0" w:space="0" w:color="auto"/>
            <w:bottom w:val="none" w:sz="0" w:space="0" w:color="auto"/>
            <w:right w:val="none" w:sz="0" w:space="0" w:color="auto"/>
          </w:divBdr>
        </w:div>
      </w:divsChild>
    </w:div>
    <w:div w:id="309941788">
      <w:bodyDiv w:val="1"/>
      <w:marLeft w:val="0"/>
      <w:marRight w:val="0"/>
      <w:marTop w:val="0"/>
      <w:marBottom w:val="0"/>
      <w:divBdr>
        <w:top w:val="none" w:sz="0" w:space="0" w:color="auto"/>
        <w:left w:val="none" w:sz="0" w:space="0" w:color="auto"/>
        <w:bottom w:val="none" w:sz="0" w:space="0" w:color="auto"/>
        <w:right w:val="none" w:sz="0" w:space="0" w:color="auto"/>
      </w:divBdr>
      <w:divsChild>
        <w:div w:id="970674943">
          <w:marLeft w:val="1166"/>
          <w:marRight w:val="0"/>
          <w:marTop w:val="115"/>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91677125">
      <w:bodyDiv w:val="1"/>
      <w:marLeft w:val="0"/>
      <w:marRight w:val="0"/>
      <w:marTop w:val="0"/>
      <w:marBottom w:val="0"/>
      <w:divBdr>
        <w:top w:val="none" w:sz="0" w:space="0" w:color="auto"/>
        <w:left w:val="none" w:sz="0" w:space="0" w:color="auto"/>
        <w:bottom w:val="none" w:sz="0" w:space="0" w:color="auto"/>
        <w:right w:val="none" w:sz="0" w:space="0" w:color="auto"/>
      </w:divBdr>
      <w:divsChild>
        <w:div w:id="1807814114">
          <w:marLeft w:val="1166"/>
          <w:marRight w:val="0"/>
          <w:marTop w:val="115"/>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43.png@01D1C00E.7F2102C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72D65-09E7-4E37-A048-E3337B273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800</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6</cp:revision>
  <dcterms:created xsi:type="dcterms:W3CDTF">2018-05-14T14:29:00Z</dcterms:created>
  <dcterms:modified xsi:type="dcterms:W3CDTF">2018-05-14T16:33:00Z</dcterms:modified>
  <cp:category/>
</cp:coreProperties>
</file>