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140CBA" w:rsidRPr="00140CBA">
        <w:rPr>
          <w:rFonts w:ascii="Arial" w:eastAsia="宋体" w:hAnsi="Arial" w:cs="Times New Roman"/>
          <w:b/>
          <w:bCs/>
          <w:sz w:val="24"/>
          <w:szCs w:val="20"/>
          <w:lang w:val="en-GB" w:eastAsia="ja-JP"/>
        </w:rPr>
        <w:t>R4-1806642</w:t>
      </w:r>
      <w:bookmarkStart w:id="3" w:name="_GoBack"/>
      <w:bookmarkEnd w:id="3"/>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F55C5">
        <w:rPr>
          <w:rFonts w:ascii="Arial" w:eastAsia="Calibri" w:hAnsi="Arial" w:cs="Arial"/>
          <w:b/>
          <w:bCs/>
          <w:sz w:val="24"/>
          <w:lang w:val="en-GB"/>
        </w:rPr>
        <w:t xml:space="preserve">Further discussion on BFR requirements </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60DC2">
        <w:rPr>
          <w:rFonts w:ascii="Arial" w:eastAsia="MS Mincho" w:hAnsi="Arial" w:cs="Arial"/>
          <w:b/>
          <w:bCs/>
          <w:sz w:val="24"/>
          <w:szCs w:val="20"/>
          <w:lang w:val="en-GB"/>
        </w:rPr>
        <w:t>7.10.</w:t>
      </w:r>
      <w:r w:rsidR="00820C48">
        <w:rPr>
          <w:rFonts w:ascii="Arial" w:eastAsia="MS Mincho" w:hAnsi="Arial" w:cs="Arial"/>
          <w:b/>
          <w:bCs/>
          <w:sz w:val="24"/>
          <w:szCs w:val="20"/>
          <w:lang w:val="en-GB"/>
        </w:rPr>
        <w:t>4.</w:t>
      </w:r>
      <w:r w:rsidR="00FF55C5">
        <w:rPr>
          <w:rFonts w:ascii="Arial" w:eastAsia="MS Mincho" w:hAnsi="Arial" w:cs="Arial"/>
          <w:b/>
          <w:bCs/>
          <w:sz w:val="24"/>
          <w:szCs w:val="20"/>
          <w:lang w:val="en-GB"/>
        </w:rPr>
        <w:t>4</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A4DAC" w:rsidRDefault="00CF7FE6" w:rsidP="00C74935">
      <w:pPr>
        <w:ind w:right="-23"/>
        <w:rPr>
          <w:rFonts w:eastAsia="Calibri" w:cs="Times New Roman"/>
          <w:szCs w:val="20"/>
        </w:rPr>
      </w:pPr>
      <w:bookmarkStart w:id="4" w:name="_Hlk513205245"/>
      <w:r>
        <w:rPr>
          <w:rFonts w:eastAsia="Calibri" w:cs="Times New Roman"/>
          <w:szCs w:val="20"/>
        </w:rPr>
        <w:t>RAN4 has been discussing the RRM requirements for BFR procedure</w:t>
      </w:r>
      <w:r w:rsidR="006A4DAC" w:rsidRPr="006A4DAC">
        <w:rPr>
          <w:rFonts w:eastAsia="Calibri" w:cs="Times New Roman"/>
          <w:szCs w:val="20"/>
        </w:rPr>
        <w:t xml:space="preserve">. </w:t>
      </w:r>
      <w:r>
        <w:rPr>
          <w:rFonts w:eastAsia="Calibri" w:cs="Times New Roman"/>
          <w:szCs w:val="20"/>
        </w:rPr>
        <w:t xml:space="preserve">In RAN4#86bis </w:t>
      </w:r>
      <w:r w:rsidR="006A4DAC" w:rsidRPr="006A4DAC">
        <w:rPr>
          <w:rFonts w:eastAsia="Calibri" w:cs="Times New Roman"/>
          <w:szCs w:val="20"/>
        </w:rPr>
        <w:t xml:space="preserve">WF </w:t>
      </w:r>
      <w:r>
        <w:rPr>
          <w:rFonts w:eastAsia="Calibri" w:cs="Times New Roman"/>
          <w:szCs w:val="20"/>
        </w:rPr>
        <w:fldChar w:fldCharType="begin"/>
      </w:r>
      <w:r>
        <w:rPr>
          <w:rFonts w:eastAsia="Calibri" w:cs="Times New Roman"/>
          <w:szCs w:val="20"/>
        </w:rPr>
        <w:instrText xml:space="preserve"> REF _Ref431017336 \r \h </w:instrText>
      </w:r>
      <w:r>
        <w:rPr>
          <w:rFonts w:eastAsia="Calibri" w:cs="Times New Roman"/>
          <w:szCs w:val="20"/>
        </w:rPr>
      </w:r>
      <w:r>
        <w:rPr>
          <w:rFonts w:eastAsia="Calibri" w:cs="Times New Roman"/>
          <w:szCs w:val="20"/>
        </w:rPr>
        <w:fldChar w:fldCharType="separate"/>
      </w:r>
      <w:r>
        <w:rPr>
          <w:rFonts w:eastAsia="Calibri" w:cs="Times New Roman"/>
          <w:szCs w:val="20"/>
        </w:rPr>
        <w:t>[1]</w:t>
      </w:r>
      <w:r>
        <w:rPr>
          <w:rFonts w:eastAsia="Calibri" w:cs="Times New Roman"/>
          <w:szCs w:val="20"/>
        </w:rPr>
        <w:fldChar w:fldCharType="end"/>
      </w:r>
      <w:r>
        <w:rPr>
          <w:rFonts w:eastAsia="Calibri" w:cs="Times New Roman"/>
          <w:szCs w:val="20"/>
        </w:rPr>
        <w:t xml:space="preserve"> is agreed and following are for BFR</w:t>
      </w:r>
      <w:r w:rsidR="006A4DAC" w:rsidRPr="006A4DAC">
        <w:rPr>
          <w:rFonts w:eastAsia="Calibri" w:cs="Times New Roman"/>
          <w:szCs w:val="20"/>
        </w:rPr>
        <w:t>.</w:t>
      </w:r>
    </w:p>
    <w:tbl>
      <w:tblPr>
        <w:tblStyle w:val="TableGrid"/>
        <w:tblW w:w="0" w:type="auto"/>
        <w:tblLook w:val="04A0" w:firstRow="1" w:lastRow="0" w:firstColumn="1" w:lastColumn="0" w:noHBand="0" w:noVBand="1"/>
      </w:tblPr>
      <w:tblGrid>
        <w:gridCol w:w="9617"/>
      </w:tblGrid>
      <w:tr w:rsidR="00B85AFC" w:rsidTr="00B85AFC">
        <w:tc>
          <w:tcPr>
            <w:tcW w:w="9617" w:type="dxa"/>
          </w:tcPr>
          <w:p w:rsidR="00340673" w:rsidRPr="00CF7FE6" w:rsidRDefault="00107D6F" w:rsidP="00107D6F">
            <w:pPr>
              <w:numPr>
                <w:ilvl w:val="0"/>
                <w:numId w:val="6"/>
              </w:numPr>
              <w:tabs>
                <w:tab w:val="num" w:pos="1440"/>
              </w:tabs>
              <w:ind w:right="-23"/>
              <w:rPr>
                <w:rFonts w:eastAsia="Calibri" w:cs="Times New Roman"/>
                <w:szCs w:val="20"/>
              </w:rPr>
            </w:pPr>
            <w:r w:rsidRPr="00CF7FE6">
              <w:rPr>
                <w:rFonts w:eastAsia="Calibri" w:cs="Times New Roman"/>
                <w:szCs w:val="20"/>
              </w:rPr>
              <w:t>FFS to clarify the definition of beam failure and whether to introduce the beam failure detection requirements in RAN4.</w:t>
            </w:r>
          </w:p>
          <w:p w:rsidR="00340673" w:rsidRPr="00CF7FE6" w:rsidRDefault="00107D6F" w:rsidP="00107D6F">
            <w:pPr>
              <w:numPr>
                <w:ilvl w:val="0"/>
                <w:numId w:val="6"/>
              </w:numPr>
              <w:tabs>
                <w:tab w:val="num" w:pos="1440"/>
              </w:tabs>
              <w:ind w:right="-23"/>
              <w:rPr>
                <w:rFonts w:eastAsia="Calibri" w:cs="Times New Roman"/>
                <w:szCs w:val="20"/>
              </w:rPr>
            </w:pPr>
            <w:r w:rsidRPr="00CF7FE6">
              <w:rPr>
                <w:rFonts w:eastAsia="Calibri" w:cs="Times New Roman"/>
                <w:szCs w:val="20"/>
              </w:rPr>
              <w:t>Companies are encouraged to investigate:</w:t>
            </w:r>
          </w:p>
          <w:p w:rsidR="00340673" w:rsidRPr="00CF7FE6" w:rsidRDefault="00107D6F" w:rsidP="00107D6F">
            <w:pPr>
              <w:numPr>
                <w:ilvl w:val="1"/>
                <w:numId w:val="6"/>
              </w:numPr>
              <w:ind w:right="-23"/>
              <w:rPr>
                <w:rFonts w:eastAsia="Calibri" w:cs="Times New Roman"/>
                <w:szCs w:val="20"/>
              </w:rPr>
            </w:pPr>
            <w:r w:rsidRPr="00CF7FE6">
              <w:rPr>
                <w:rFonts w:eastAsia="Calibri" w:cs="Times New Roman"/>
                <w:szCs w:val="20"/>
              </w:rPr>
              <w:t>Evaluation period for beam link failure detection with/without DRX</w:t>
            </w:r>
          </w:p>
          <w:p w:rsidR="00340673" w:rsidRPr="00CF7FE6" w:rsidRDefault="00107D6F" w:rsidP="00107D6F">
            <w:pPr>
              <w:numPr>
                <w:ilvl w:val="2"/>
                <w:numId w:val="6"/>
              </w:numPr>
              <w:tabs>
                <w:tab w:val="num" w:pos="1440"/>
              </w:tabs>
              <w:ind w:right="-23"/>
              <w:rPr>
                <w:rFonts w:eastAsia="Calibri" w:cs="Times New Roman"/>
                <w:szCs w:val="20"/>
              </w:rPr>
            </w:pPr>
            <w:r w:rsidRPr="00CF7FE6">
              <w:rPr>
                <w:rFonts w:eastAsia="Calibri" w:cs="Times New Roman"/>
                <w:szCs w:val="20"/>
              </w:rPr>
              <w:t>SSB-based and CSI-RS based and CSI-RS+SSB based</w:t>
            </w:r>
          </w:p>
          <w:p w:rsidR="00340673" w:rsidRPr="00CF7FE6" w:rsidRDefault="00107D6F" w:rsidP="00107D6F">
            <w:pPr>
              <w:numPr>
                <w:ilvl w:val="1"/>
                <w:numId w:val="6"/>
              </w:numPr>
              <w:ind w:right="-23"/>
              <w:rPr>
                <w:rFonts w:eastAsia="Calibri" w:cs="Times New Roman"/>
                <w:szCs w:val="20"/>
              </w:rPr>
            </w:pPr>
            <w:r w:rsidRPr="00CF7FE6">
              <w:rPr>
                <w:rFonts w:eastAsia="Calibri" w:cs="Times New Roman"/>
                <w:szCs w:val="20"/>
              </w:rPr>
              <w:t>Whether it is feasible to reuse RLM out-of-synch framework or new sets of parameter values are needed</w:t>
            </w:r>
          </w:p>
          <w:p w:rsidR="00340673" w:rsidRPr="00CF7FE6" w:rsidRDefault="00107D6F" w:rsidP="00107D6F">
            <w:pPr>
              <w:numPr>
                <w:ilvl w:val="2"/>
                <w:numId w:val="6"/>
              </w:numPr>
              <w:tabs>
                <w:tab w:val="num" w:pos="1440"/>
              </w:tabs>
              <w:ind w:right="-23"/>
              <w:rPr>
                <w:rFonts w:eastAsia="Calibri" w:cs="Times New Roman"/>
                <w:szCs w:val="20"/>
              </w:rPr>
            </w:pPr>
            <w:r w:rsidRPr="00CF7FE6">
              <w:rPr>
                <w:rFonts w:eastAsia="Calibri" w:cs="Times New Roman"/>
                <w:szCs w:val="20"/>
              </w:rPr>
              <w:t>PDCCH configuration parameters</w:t>
            </w:r>
          </w:p>
          <w:p w:rsidR="00340673" w:rsidRPr="00CF7FE6" w:rsidRDefault="00107D6F" w:rsidP="00107D6F">
            <w:pPr>
              <w:numPr>
                <w:ilvl w:val="1"/>
                <w:numId w:val="6"/>
              </w:numPr>
              <w:ind w:right="-23"/>
              <w:rPr>
                <w:rFonts w:eastAsia="Calibri" w:cs="Times New Roman"/>
                <w:szCs w:val="20"/>
              </w:rPr>
            </w:pPr>
            <w:r w:rsidRPr="00CF7FE6">
              <w:rPr>
                <w:rFonts w:eastAsia="Calibri" w:cs="Times New Roman"/>
                <w:szCs w:val="20"/>
              </w:rPr>
              <w:t>UE is not assumed to perform BFR outside its active DL BWP</w:t>
            </w:r>
          </w:p>
          <w:p w:rsidR="00B85AFC" w:rsidRPr="00CF7FE6" w:rsidRDefault="00107D6F" w:rsidP="00107D6F">
            <w:pPr>
              <w:numPr>
                <w:ilvl w:val="0"/>
                <w:numId w:val="6"/>
              </w:numPr>
              <w:tabs>
                <w:tab w:val="num" w:pos="1440"/>
              </w:tabs>
              <w:ind w:right="-23"/>
              <w:rPr>
                <w:rFonts w:eastAsia="Calibri" w:cs="Times New Roman"/>
                <w:szCs w:val="20"/>
              </w:rPr>
            </w:pPr>
            <w:r w:rsidRPr="00CF7FE6">
              <w:rPr>
                <w:rFonts w:eastAsia="Calibri" w:cs="Times New Roman"/>
                <w:szCs w:val="20"/>
              </w:rPr>
              <w:t>FFS whether and how to define the new beam identification requirements.</w:t>
            </w:r>
          </w:p>
        </w:tc>
      </w:tr>
    </w:tbl>
    <w:p w:rsidR="00126990" w:rsidRPr="00126990" w:rsidRDefault="00C203DD" w:rsidP="00C74935">
      <w:pPr>
        <w:ind w:right="-23"/>
        <w:rPr>
          <w:rFonts w:eastAsia="Calibri" w:cs="Times New Roman"/>
          <w:szCs w:val="20"/>
        </w:rPr>
      </w:pPr>
      <w:bookmarkStart w:id="5" w:name="_Hlk513205847"/>
      <w:bookmarkEnd w:id="4"/>
      <w:r>
        <w:rPr>
          <w:rFonts w:eastAsia="Calibri" w:cs="Times New Roman"/>
          <w:szCs w:val="20"/>
        </w:rPr>
        <w:t xml:space="preserve">In this paper, we will provide our views on </w:t>
      </w:r>
      <w:r w:rsidR="00CF7FE6">
        <w:rPr>
          <w:rFonts w:eastAsia="Calibri" w:cs="Times New Roman"/>
          <w:szCs w:val="20"/>
        </w:rPr>
        <w:t>RRM requirements for BFR</w:t>
      </w:r>
      <w:r>
        <w:rPr>
          <w:rFonts w:eastAsia="Calibri" w:cs="Times New Roman"/>
          <w:szCs w:val="20"/>
        </w:rPr>
        <w:t xml:space="preserve">. </w:t>
      </w:r>
    </w:p>
    <w:bookmarkEnd w:id="5"/>
    <w:p w:rsidR="003B659E" w:rsidRDefault="003B659E" w:rsidP="00AE56B1">
      <w:pPr>
        <w:pStyle w:val="RAN4H1"/>
      </w:pPr>
      <w:r w:rsidRPr="00AE56B1">
        <w:t>Discussion</w:t>
      </w:r>
    </w:p>
    <w:p w:rsidR="00CF7FE6" w:rsidRDefault="00CF7FE6" w:rsidP="00CF7FE6">
      <w:bookmarkStart w:id="6" w:name="_Hlk513733380"/>
      <w:r>
        <w:t xml:space="preserve">Link reconfiguration is also known as beam failure recovery (BFR), and is part of beam management framework for NR. The procedure is detailed in section 6 of 38.213 and section 5.17 of 38.321. Basically, it requires UE to detect the radio failure of current set of beams (BFD, which is similar as that for RLM) and report a new beam from a candidate set of beams (the selection of new beam is based on RSRP threshold). </w:t>
      </w:r>
    </w:p>
    <w:p w:rsidR="00CF7FE6" w:rsidRDefault="00CF7FE6" w:rsidP="00CF7FE6">
      <w:r>
        <w:t>In our understanding, BFR is mandatory for UE for PCell and PSCell, and there is no UE capability to indicate the network which UE can be configured with this procedure and which cannot. Moreover, the beam failure detection part needs to be done by the UE even network does n</w:t>
      </w:r>
      <w:r w:rsidR="000B021D">
        <w:t xml:space="preserve">ot provide the explicit RSs as agreed by RAN2 </w:t>
      </w:r>
      <w:r w:rsidR="000B021D">
        <w:fldChar w:fldCharType="begin"/>
      </w:r>
      <w:r w:rsidR="000B021D">
        <w:instrText xml:space="preserve"> REF _Ref513801234 \r \h </w:instrText>
      </w:r>
      <w:r w:rsidR="000B021D">
        <w:fldChar w:fldCharType="separate"/>
      </w:r>
      <w:r w:rsidR="000B021D">
        <w:t>[2]</w:t>
      </w:r>
      <w:r w:rsidR="000B021D">
        <w:fldChar w:fldCharType="end"/>
      </w:r>
      <w:r w:rsidR="000B021D">
        <w:t>.</w:t>
      </w:r>
      <w:r w:rsidR="00AD7661">
        <w:t xml:space="preserve"> Therefore, RRM requirements for BFR should be defined in RAN4.</w:t>
      </w:r>
    </w:p>
    <w:tbl>
      <w:tblPr>
        <w:tblStyle w:val="TableGrid"/>
        <w:tblW w:w="0" w:type="auto"/>
        <w:tblLook w:val="04A0" w:firstRow="1" w:lastRow="0" w:firstColumn="1" w:lastColumn="0" w:noHBand="0" w:noVBand="1"/>
      </w:tblPr>
      <w:tblGrid>
        <w:gridCol w:w="9617"/>
      </w:tblGrid>
      <w:tr w:rsidR="000B021D" w:rsidTr="000B021D">
        <w:tc>
          <w:tcPr>
            <w:tcW w:w="9617" w:type="dxa"/>
          </w:tcPr>
          <w:p w:rsidR="000B021D" w:rsidRDefault="000B021D" w:rsidP="000B021D">
            <w:pPr>
              <w:pStyle w:val="Doc-text2"/>
              <w:tabs>
                <w:tab w:val="left" w:pos="340"/>
              </w:tabs>
              <w:ind w:left="340" w:hanging="340"/>
            </w:pPr>
            <w:r>
              <w:rPr>
                <w:b/>
              </w:rPr>
              <w:t>Agreements</w:t>
            </w:r>
          </w:p>
          <w:p w:rsidR="000B021D" w:rsidRDefault="000B021D" w:rsidP="000B021D">
            <w:pPr>
              <w:pStyle w:val="Doc-text2"/>
              <w:tabs>
                <w:tab w:val="left" w:pos="340"/>
              </w:tabs>
              <w:ind w:left="340" w:hanging="340"/>
            </w:pPr>
          </w:p>
          <w:p w:rsidR="000B021D" w:rsidRDefault="000B021D" w:rsidP="000B021D">
            <w:pPr>
              <w:pStyle w:val="Doc-text2"/>
              <w:tabs>
                <w:tab w:val="left" w:pos="340"/>
              </w:tabs>
              <w:ind w:left="340" w:hanging="340"/>
            </w:pPr>
            <w:r>
              <w:t>1</w:t>
            </w:r>
            <w:r>
              <w:tab/>
              <w:t xml:space="preserve">Introduce one list of RSs and indicate for each whether it is used for beam- and/or cell-RLM. </w:t>
            </w:r>
          </w:p>
          <w:p w:rsidR="000B021D" w:rsidRDefault="000B021D" w:rsidP="000B021D">
            <w:pPr>
              <w:pStyle w:val="Doc-text2"/>
              <w:tabs>
                <w:tab w:val="left" w:pos="340"/>
              </w:tabs>
              <w:ind w:left="340" w:hanging="340"/>
            </w:pPr>
          </w:p>
          <w:p w:rsidR="000B021D" w:rsidRDefault="000B021D" w:rsidP="000B021D">
            <w:pPr>
              <w:pStyle w:val="Doc-text2"/>
              <w:tabs>
                <w:tab w:val="left" w:pos="340"/>
              </w:tabs>
              <w:ind w:left="340" w:hanging="340"/>
            </w:pPr>
            <w:r>
              <w:t>1a</w:t>
            </w:r>
            <w:r>
              <w:tab/>
              <w:t>If no RSs are provided for Beam-Monitoring, the UE performs Beam-Monitoring based on the TCI-State for PDCCH (as agreed by RAN1)</w:t>
            </w:r>
          </w:p>
          <w:p w:rsidR="000B021D" w:rsidRDefault="000B021D" w:rsidP="000B021D">
            <w:pPr>
              <w:pStyle w:val="Doc-text2"/>
              <w:tabs>
                <w:tab w:val="left" w:pos="340"/>
              </w:tabs>
            </w:pPr>
          </w:p>
          <w:p w:rsidR="000B021D" w:rsidRPr="000B021D" w:rsidRDefault="000B021D" w:rsidP="000B021D">
            <w:pPr>
              <w:pStyle w:val="Doc-text2"/>
              <w:tabs>
                <w:tab w:val="left" w:pos="340"/>
              </w:tabs>
              <w:ind w:left="340" w:hanging="340"/>
            </w:pPr>
            <w:r>
              <w:t>2</w:t>
            </w:r>
            <w:r>
              <w:tab/>
            </w:r>
            <w:r w:rsidRPr="00F62AC9">
              <w:t xml:space="preserve">If no RSs are provided </w:t>
            </w:r>
            <w:r>
              <w:t xml:space="preserve">in this list at all (neither </w:t>
            </w:r>
            <w:r w:rsidRPr="00F62AC9">
              <w:t xml:space="preserve">for </w:t>
            </w:r>
            <w:r>
              <w:t>Cell</w:t>
            </w:r>
            <w:r w:rsidRPr="00F62AC9">
              <w:t>-</w:t>
            </w:r>
            <w:r>
              <w:t xml:space="preserve"> nor for Beam-RLM)</w:t>
            </w:r>
            <w:r w:rsidRPr="00F62AC9">
              <w:t>, the UE performs</w:t>
            </w:r>
            <w:r>
              <w:t xml:space="preserve"> Cell-RLM based on TCI-State of PDCCH</w:t>
            </w:r>
          </w:p>
        </w:tc>
      </w:tr>
    </w:tbl>
    <w:p w:rsidR="000B021D" w:rsidRDefault="000B021D" w:rsidP="00CF7FE6">
      <w:r>
        <w:t xml:space="preserve">For SCell, RAN1 agreed that </w:t>
      </w:r>
      <w:r w:rsidR="00AD7661">
        <w:t xml:space="preserve">UE is not mandated to support BFR on SCell, so RRM requirements for BFR should apply for SCell only if UE can support BFR on SCell. </w:t>
      </w:r>
    </w:p>
    <w:tbl>
      <w:tblPr>
        <w:tblStyle w:val="TableGrid"/>
        <w:tblW w:w="0" w:type="auto"/>
        <w:tblLook w:val="04A0" w:firstRow="1" w:lastRow="0" w:firstColumn="1" w:lastColumn="0" w:noHBand="0" w:noVBand="1"/>
      </w:tblPr>
      <w:tblGrid>
        <w:gridCol w:w="9617"/>
      </w:tblGrid>
      <w:tr w:rsidR="000B021D" w:rsidTr="000B021D">
        <w:tc>
          <w:tcPr>
            <w:tcW w:w="9617" w:type="dxa"/>
          </w:tcPr>
          <w:p w:rsidR="000B021D" w:rsidRPr="007C0DA8" w:rsidRDefault="000B021D" w:rsidP="00CF7FE6">
            <w:pPr>
              <w:rPr>
                <w:b/>
              </w:rPr>
            </w:pPr>
            <w:r w:rsidRPr="007C0DA8">
              <w:rPr>
                <w:b/>
              </w:rPr>
              <w:lastRenderedPageBreak/>
              <w:t>It is noted that BFR is already supported for PCell and PSCell, therefore the remaining question is whether BFR can be supported for SCell as well. An email discussion was conducted in RAN1 and the summary is provided in [1]. After further discussion, it is agreed that beam failure recovery is additionally supported on SCell in Rel.15. The number of SCells BFR needs to be supported on is 1. UE is not mandated to support BFR on SCell. Note that there is no additional RAN1 specification impact for BFR on SCell.</w:t>
            </w:r>
          </w:p>
        </w:tc>
      </w:tr>
    </w:tbl>
    <w:p w:rsidR="00CF7FE6" w:rsidRDefault="00AD7661" w:rsidP="00CF7FE6">
      <w:r>
        <w:t>Another reason to define RRM requirements for BFR is that</w:t>
      </w:r>
      <w:r w:rsidR="00CF7FE6">
        <w:t xml:space="preserve"> </w:t>
      </w:r>
      <w:r>
        <w:t xml:space="preserve">BFR </w:t>
      </w:r>
      <w:r w:rsidR="00CF7FE6">
        <w:t>is essential in beam based operation. Without it, UE will trigger RLF even if some other beams than the current set of beams in the serving cell can still serve the UE with good performance, or the UE has to support a large number of beams for the current set of beams. In RAN4#86</w:t>
      </w:r>
      <w:r>
        <w:t>bis</w:t>
      </w:r>
      <w:r w:rsidR="00CF7FE6">
        <w:t>, there were questions regarding whether RRM requirements for this procedure are needed. If no requirement is defined, UE may completely skip the BFR, so when the current set of beams becomes un-usable, UE could do nothing but just wait for T310 to expire and then trigger RLF. Instead, if requirements are defined, UE would be required to perform recovery, and L2 will trigger the RACH to report the new usable beams to the network, and this is much more efficient than the case without BFR.</w:t>
      </w:r>
    </w:p>
    <w:p w:rsidR="00CF7FE6" w:rsidRDefault="00CF7FE6" w:rsidP="00CF7FE6">
      <w:r>
        <w:t xml:space="preserve">Based on above analysis, RRM requirements should be defined for BFR. In addition, the requirements are needed for both FR1 and FR2 as beam based operation is possible in both FRs. Also, the requirements are needed for both SSB and CSI-RS as both may be configured for the current and candidate sets. </w:t>
      </w:r>
    </w:p>
    <w:p w:rsidR="00CF7FE6" w:rsidRDefault="00CF7FE6" w:rsidP="00AD7661">
      <w:pPr>
        <w:pStyle w:val="RAN4proposal"/>
      </w:pPr>
      <w:bookmarkStart w:id="7" w:name="_Ref513814846"/>
      <w:r>
        <w:t xml:space="preserve">RAN4 to define RRM requirements for </w:t>
      </w:r>
      <w:r w:rsidR="00AD7661">
        <w:t>BFR</w:t>
      </w:r>
      <w:r>
        <w:t>, for both FR1 and FR2, and for both SSB based and CSI-RS based.</w:t>
      </w:r>
      <w:r w:rsidR="00AD7661">
        <w:t xml:space="preserve"> The requirements are mandatory for PCell/PSCell and optional for SCell.</w:t>
      </w:r>
      <w:bookmarkEnd w:id="7"/>
    </w:p>
    <w:p w:rsidR="00EC1B37" w:rsidRDefault="00EC1B37" w:rsidP="00EC1B37">
      <w:r w:rsidRPr="00EC1B37">
        <w:t>Next, we will analyze the procedure in detail and discuss what requirements should be defined.</w:t>
      </w:r>
      <w:r>
        <w:t xml:space="preserve"> The BFR procedure consists of two sub-procedures: BFD and beam recovery.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A2962" w:rsidRPr="004466A9" w:rsidTr="00E068D6">
        <w:tc>
          <w:tcPr>
            <w:tcW w:w="9855" w:type="dxa"/>
            <w:shd w:val="clear" w:color="auto" w:fill="auto"/>
          </w:tcPr>
          <w:p w:rsidR="00C63E4C" w:rsidRPr="00B916EC" w:rsidRDefault="00C63E4C" w:rsidP="00C63E4C">
            <w:r w:rsidRPr="00B916EC">
              <w:rPr>
                <w:rFonts w:eastAsia="MS Mincho"/>
                <w:lang w:eastAsia="ja-JP"/>
              </w:rPr>
              <w:t xml:space="preserve">A </w:t>
            </w:r>
            <w:r w:rsidRPr="00B916EC">
              <w:t xml:space="preserve">UE can be configured, for a serving cell, with a set </w:t>
            </w:r>
            <w:r w:rsidRPr="00B916EC">
              <w:rPr>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5.8pt" o:ole="">
                  <v:imagedata r:id="rId8" o:title=""/>
                </v:shape>
                <o:OLEObject Type="Embed" ProgID="Equation.3" ShapeID="_x0000_i1025" DrawAspect="Content" ObjectID="_1587633188" r:id="rId9"/>
              </w:object>
            </w:r>
            <w:r w:rsidRPr="00B916EC">
              <w:rPr>
                <w:iCs/>
              </w:rPr>
              <w:t xml:space="preserve"> of periodic CSI-RS resource configuration indexes by higher layer parameter </w:t>
            </w:r>
            <w:r w:rsidRPr="00A27728">
              <w:rPr>
                <w:i/>
              </w:rPr>
              <w:t>failureDetectionResources</w:t>
            </w:r>
            <w:r w:rsidRPr="00B916EC">
              <w:rPr>
                <w:iCs/>
              </w:rPr>
              <w:t xml:space="preserve"> and </w:t>
            </w:r>
            <w:r w:rsidRPr="00B916EC">
              <w:t xml:space="preserve">with a set </w:t>
            </w:r>
            <w:r w:rsidRPr="00B916EC">
              <w:rPr>
                <w:iCs/>
                <w:position w:val="-10"/>
              </w:rPr>
              <w:object w:dxaOrig="220" w:dyaOrig="300">
                <v:shape id="_x0000_i1026" type="#_x0000_t75" style="width:10.85pt;height:15.8pt" o:ole="">
                  <v:imagedata r:id="rId10" o:title=""/>
                </v:shape>
                <o:OLEObject Type="Embed" ProgID="Equation.3" ShapeID="_x0000_i1026" DrawAspect="Content" ObjectID="_1587633189" r:id="rId11"/>
              </w:object>
            </w:r>
            <w:r w:rsidRPr="00B916EC">
              <w:rPr>
                <w:iCs/>
              </w:rPr>
              <w:t xml:space="preserve"> </w:t>
            </w:r>
            <w:r w:rsidRPr="00B916EC">
              <w:t xml:space="preserve">of </w:t>
            </w:r>
            <w:r>
              <w:t xml:space="preserve">periodic </w:t>
            </w:r>
            <w:r w:rsidRPr="00B916EC">
              <w:t xml:space="preserve">CSI-RS resource configuration indexes and/or SS/PBCH block indexes by </w:t>
            </w:r>
            <w:r w:rsidRPr="00B916EC">
              <w:rPr>
                <w:rFonts w:eastAsia="MS Mincho"/>
                <w:lang w:eastAsia="ja-JP"/>
              </w:rPr>
              <w:t xml:space="preserve">higher layer parameter </w:t>
            </w:r>
            <w:r>
              <w:rPr>
                <w:rFonts w:eastAsia="MS Mincho"/>
                <w:i/>
                <w:lang w:eastAsia="ja-JP"/>
              </w:rPr>
              <w:t>c</w:t>
            </w:r>
            <w:r w:rsidRPr="00B916EC">
              <w:rPr>
                <w:rFonts w:eastAsia="MS Mincho"/>
                <w:i/>
                <w:lang w:eastAsia="ja-JP"/>
              </w:rPr>
              <w:t>andidateBeamRSList</w:t>
            </w:r>
            <w:r w:rsidRPr="00B916EC">
              <w:rPr>
                <w:rFonts w:eastAsia="MS Mincho"/>
                <w:lang w:eastAsia="ja-JP"/>
              </w:rPr>
              <w:t xml:space="preserve"> </w:t>
            </w:r>
            <w:r w:rsidRPr="00B916EC">
              <w:t xml:space="preserve">for radio link quality measurements on the serving cell. If the UE is not provided with </w:t>
            </w:r>
            <w:r w:rsidRPr="00B916EC">
              <w:rPr>
                <w:iCs/>
              </w:rPr>
              <w:t xml:space="preserve">higher layer parameter </w:t>
            </w:r>
            <w:r w:rsidRPr="00A27728">
              <w:rPr>
                <w:i/>
              </w:rPr>
              <w:t>failureDetectionResources</w:t>
            </w:r>
            <w:r w:rsidRPr="00B916EC">
              <w:rPr>
                <w:iCs/>
              </w:rPr>
              <w:t>, the UE determines</w:t>
            </w:r>
            <w:r>
              <w:rPr>
                <w:iCs/>
              </w:rPr>
              <w:t xml:space="preserve"> the set</w:t>
            </w:r>
            <w:r w:rsidRPr="00B916EC">
              <w:rPr>
                <w:iCs/>
              </w:rPr>
              <w:t xml:space="preserve"> </w:t>
            </w:r>
            <w:r w:rsidRPr="00B916EC">
              <w:rPr>
                <w:iCs/>
                <w:position w:val="-10"/>
              </w:rPr>
              <w:object w:dxaOrig="240" w:dyaOrig="300">
                <v:shape id="_x0000_i1027" type="#_x0000_t75" style="width:11.85pt;height:15.8pt" o:ole="">
                  <v:imagedata r:id="rId8" o:title=""/>
                </v:shape>
                <o:OLEObject Type="Embed" ProgID="Equation.3" ShapeID="_x0000_i1027" DrawAspect="Content" ObjectID="_1587633190" r:id="rId12"/>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 </w:t>
            </w:r>
            <w:r>
              <w:t xml:space="preserve">The UE expects single port RS in the </w:t>
            </w:r>
            <w:r>
              <w:rPr>
                <w:iCs/>
              </w:rPr>
              <w:t>set</w:t>
            </w:r>
            <w:r w:rsidRPr="00B916EC">
              <w:rPr>
                <w:iCs/>
              </w:rPr>
              <w:t xml:space="preserve"> </w:t>
            </w:r>
            <w:r w:rsidRPr="00B916EC">
              <w:rPr>
                <w:iCs/>
                <w:position w:val="-10"/>
              </w:rPr>
              <w:object w:dxaOrig="240" w:dyaOrig="300">
                <v:shape id="_x0000_i1028" type="#_x0000_t75" style="width:11.85pt;height:15.8pt" o:ole="">
                  <v:imagedata r:id="rId8" o:title=""/>
                </v:shape>
                <o:OLEObject Type="Embed" ProgID="Equation.3" ShapeID="_x0000_i1028" DrawAspect="Content" ObjectID="_1587633191" r:id="rId13"/>
              </w:object>
            </w:r>
            <w:r>
              <w:rPr>
                <w:iCs/>
              </w:rPr>
              <w:t>.</w:t>
            </w:r>
            <w:r>
              <w:t xml:space="preserve"> </w:t>
            </w:r>
          </w:p>
          <w:p w:rsidR="00C63E4C" w:rsidRPr="00B916EC" w:rsidRDefault="00C63E4C" w:rsidP="00C63E4C">
            <w:r w:rsidRPr="00B916EC">
              <w:t>The threshold</w:t>
            </w:r>
            <w:r>
              <w:t>s</w:t>
            </w:r>
            <w:r w:rsidRPr="00B916EC">
              <w:t xml:space="preserve"> </w:t>
            </w:r>
            <w:r w:rsidRPr="00C63E4C">
              <w:rPr>
                <w:highlight w:val="yellow"/>
              </w:rPr>
              <w:t>Q</w:t>
            </w:r>
            <w:r w:rsidRPr="00C63E4C">
              <w:rPr>
                <w:highlight w:val="yellow"/>
                <w:vertAlign w:val="subscript"/>
              </w:rPr>
              <w:t>out,LR</w:t>
            </w:r>
            <w:r w:rsidRPr="00B916EC">
              <w:t xml:space="preserve"> </w:t>
            </w:r>
            <w:r>
              <w:t xml:space="preserve">and </w:t>
            </w:r>
            <w:r w:rsidRPr="00230501">
              <w:rPr>
                <w:highlight w:val="green"/>
              </w:rPr>
              <w:t>Q</w:t>
            </w:r>
            <w:r w:rsidRPr="00230501">
              <w:rPr>
                <w:highlight w:val="green"/>
                <w:vertAlign w:val="subscript"/>
              </w:rPr>
              <w:t>in,LR</w:t>
            </w:r>
            <w:r w:rsidRPr="00B916EC">
              <w:t xml:space="preserve"> correspond to the default value of higher layer parameter </w:t>
            </w:r>
            <w:r w:rsidRPr="00C63E4C">
              <w:rPr>
                <w:i/>
                <w:highlight w:val="yellow"/>
              </w:rPr>
              <w:t>rlmInSyncOutOfSyncThreshold</w:t>
            </w:r>
            <w:r w:rsidRPr="00B916EC" w:rsidDel="009C09A2">
              <w:rPr>
                <w:i/>
              </w:rPr>
              <w:t xml:space="preserve"> </w:t>
            </w:r>
            <w:r w:rsidRPr="00B916EC">
              <w:t xml:space="preserve">and </w:t>
            </w:r>
            <w:r w:rsidRPr="00230501">
              <w:rPr>
                <w:i/>
                <w:highlight w:val="green"/>
              </w:rPr>
              <w:t>candidateBeamThreshold</w:t>
            </w:r>
            <w:r w:rsidRPr="00B916EC">
              <w:t>, respectively.</w:t>
            </w:r>
            <w:r>
              <w:t xml:space="preserve"> </w:t>
            </w:r>
          </w:p>
          <w:p w:rsidR="00C63E4C" w:rsidRPr="00B916EC" w:rsidRDefault="00C63E4C" w:rsidP="00C63E4C">
            <w:r w:rsidRPr="00230501">
              <w:rPr>
                <w:highlight w:val="yellow"/>
              </w:rPr>
              <w:t xml:space="preserve">The physical layer in the UE assesses the radio link quality according to the set </w:t>
            </w:r>
            <w:r w:rsidRPr="00230501">
              <w:rPr>
                <w:iCs/>
                <w:position w:val="-10"/>
                <w:highlight w:val="yellow"/>
              </w:rPr>
              <w:object w:dxaOrig="240" w:dyaOrig="300">
                <v:shape id="_x0000_i1029" type="#_x0000_t75" style="width:11.85pt;height:15.8pt" o:ole="">
                  <v:imagedata r:id="rId8" o:title=""/>
                </v:shape>
                <o:OLEObject Type="Embed" ProgID="Equation.3" ShapeID="_x0000_i1029" DrawAspect="Content" ObjectID="_1587633192" r:id="rId14"/>
              </w:object>
            </w:r>
            <w:r w:rsidRPr="00230501">
              <w:rPr>
                <w:iCs/>
                <w:highlight w:val="yellow"/>
              </w:rPr>
              <w:t xml:space="preserve"> </w:t>
            </w:r>
            <w:r w:rsidRPr="00230501">
              <w:rPr>
                <w:highlight w:val="yellow"/>
              </w:rPr>
              <w:t>of resource configurations against the threshold Q</w:t>
            </w:r>
            <w:r w:rsidRPr="00230501">
              <w:rPr>
                <w:highlight w:val="yellow"/>
                <w:vertAlign w:val="subscript"/>
              </w:rPr>
              <w:t>out,LR</w:t>
            </w:r>
            <w:r w:rsidRPr="00230501">
              <w:rPr>
                <w:highlight w:val="yellow"/>
              </w:rPr>
              <w:t xml:space="preserve"> [10, TS 38.133]. For</w:t>
            </w:r>
            <w:r w:rsidRPr="00C63E4C">
              <w:rPr>
                <w:highlight w:val="yellow"/>
              </w:rPr>
              <w:t xml:space="preserve"> the set </w:t>
            </w:r>
            <w:r w:rsidRPr="00C63E4C">
              <w:rPr>
                <w:iCs/>
                <w:position w:val="-10"/>
                <w:highlight w:val="yellow"/>
              </w:rPr>
              <w:object w:dxaOrig="240" w:dyaOrig="300">
                <v:shape id="_x0000_i1030" type="#_x0000_t75" style="width:11.85pt;height:15.8pt" o:ole="">
                  <v:imagedata r:id="rId8" o:title=""/>
                </v:shape>
                <o:OLEObject Type="Embed" ProgID="Equation.3" ShapeID="_x0000_i1030" DrawAspect="Content" ObjectID="_1587633193" r:id="rId15"/>
              </w:object>
            </w:r>
            <w:r w:rsidRPr="00C63E4C">
              <w:rPr>
                <w:iCs/>
                <w:highlight w:val="yellow"/>
              </w:rPr>
              <w:t>, the UE</w:t>
            </w:r>
            <w:r w:rsidRPr="00C63E4C">
              <w:rPr>
                <w:highlight w:val="yellow"/>
              </w:rPr>
              <w:t xml:space="preserve"> assesses the radio link quality only according to periodic </w:t>
            </w:r>
            <w:r w:rsidRPr="00C63E4C">
              <w:rPr>
                <w:iCs/>
                <w:highlight w:val="yellow"/>
              </w:rPr>
              <w:t>CSI-RS resource configurations or SS/PBCH blocks that</w:t>
            </w:r>
            <w:r w:rsidRPr="00C63E4C">
              <w:rPr>
                <w:highlight w:val="yellow"/>
              </w:rPr>
              <w:t xml:space="preserve"> are quasi co-located, as described in [6, TS 38.214], with the DM-RS of PDCCH receptions monitored by the UE.</w:t>
            </w:r>
            <w:r w:rsidRPr="00B916EC">
              <w:t xml:space="preserve"> </w:t>
            </w:r>
            <w:r w:rsidRPr="00230501">
              <w:rPr>
                <w:highlight w:val="green"/>
              </w:rPr>
              <w:t>The UE applies the Q</w:t>
            </w:r>
            <w:r w:rsidRPr="00230501">
              <w:rPr>
                <w:highlight w:val="green"/>
                <w:vertAlign w:val="subscript"/>
              </w:rPr>
              <w:t>in,LR</w:t>
            </w:r>
            <w:r w:rsidRPr="00230501">
              <w:rPr>
                <w:highlight w:val="green"/>
              </w:rPr>
              <w:t xml:space="preserve"> threshold to the L1-RSRP measurement obtained from a SS/PBCH block. The UE applies the Q</w:t>
            </w:r>
            <w:r w:rsidRPr="00230501">
              <w:rPr>
                <w:highlight w:val="green"/>
                <w:vertAlign w:val="subscript"/>
              </w:rPr>
              <w:t>in,LR</w:t>
            </w:r>
            <w:r w:rsidRPr="00230501">
              <w:rPr>
                <w:highlight w:val="green"/>
              </w:rPr>
              <w:t xml:space="preserve"> threshold to the L1-RSRP measurement obtained for a CSI-RS resource after scaling a respective CSI-RS reception power with a value provided by higher layer parameter </w:t>
            </w:r>
            <w:r w:rsidRPr="00230501">
              <w:rPr>
                <w:i/>
                <w:highlight w:val="green"/>
              </w:rPr>
              <w:t>powerControlOffsetSS</w:t>
            </w:r>
            <w:r w:rsidRPr="00230501">
              <w:rPr>
                <w:highlight w:val="green"/>
              </w:rPr>
              <w:t>.</w:t>
            </w:r>
            <w:r>
              <w:t xml:space="preserve"> </w:t>
            </w:r>
          </w:p>
          <w:p w:rsidR="00C63E4C" w:rsidRPr="00B916EC" w:rsidRDefault="00C63E4C" w:rsidP="00C63E4C">
            <w:r w:rsidRPr="00230501">
              <w:rPr>
                <w:highlight w:val="yellow"/>
              </w:rPr>
              <w:t xml:space="preserve">The physical layer in the UE provides an indication to higher layers when the radio link quality for all corresponding resource configurations in the set </w:t>
            </w:r>
            <w:r w:rsidRPr="00230501">
              <w:rPr>
                <w:iCs/>
                <w:position w:val="-10"/>
                <w:highlight w:val="yellow"/>
              </w:rPr>
              <w:object w:dxaOrig="240" w:dyaOrig="300">
                <v:shape id="_x0000_i1031" type="#_x0000_t75" style="width:11.85pt;height:15.8pt" o:ole="">
                  <v:imagedata r:id="rId8" o:title=""/>
                </v:shape>
                <o:OLEObject Type="Embed" ProgID="Equation.3" ShapeID="_x0000_i1031" DrawAspect="Content" ObjectID="_1587633194" r:id="rId16"/>
              </w:object>
            </w:r>
            <w:r w:rsidRPr="00230501">
              <w:rPr>
                <w:iCs/>
                <w:highlight w:val="yellow"/>
              </w:rPr>
              <w:t xml:space="preserve"> that the UE uses to assess the radio link quality </w:t>
            </w:r>
            <w:r w:rsidRPr="00230501">
              <w:rPr>
                <w:highlight w:val="yellow"/>
              </w:rPr>
              <w:t>is worse than the threshold Q</w:t>
            </w:r>
            <w:r w:rsidRPr="00230501">
              <w:rPr>
                <w:highlight w:val="yellow"/>
                <w:vertAlign w:val="subscript"/>
              </w:rPr>
              <w:t>out,LR</w:t>
            </w:r>
            <w:r w:rsidRPr="00230501">
              <w:rPr>
                <w:highlight w:val="yellow"/>
              </w:rPr>
              <w:t xml:space="preserve">. The physical layer informs the higher layers when the </w:t>
            </w:r>
            <w:r w:rsidRPr="00230501">
              <w:rPr>
                <w:iCs/>
                <w:highlight w:val="yellow"/>
              </w:rPr>
              <w:t xml:space="preserve">radio link quality </w:t>
            </w:r>
            <w:r w:rsidRPr="00230501">
              <w:rPr>
                <w:highlight w:val="yellow"/>
              </w:rPr>
              <w:t>is worse than the threshold Q</w:t>
            </w:r>
            <w:r w:rsidRPr="00230501">
              <w:rPr>
                <w:highlight w:val="yellow"/>
                <w:vertAlign w:val="subscript"/>
              </w:rPr>
              <w:t>out,LR</w:t>
            </w:r>
            <w:r w:rsidRPr="00230501">
              <w:rPr>
                <w:highlight w:val="yellow"/>
              </w:rPr>
              <w:t xml:space="preserve"> with a periodicity determined by the maximum between the shortest periodicity of periodic CSI-RS configurations or SS/PBCH blocks in the set </w:t>
            </w:r>
            <w:r w:rsidRPr="00230501">
              <w:rPr>
                <w:iCs/>
                <w:position w:val="-10"/>
                <w:highlight w:val="yellow"/>
              </w:rPr>
              <w:object w:dxaOrig="240" w:dyaOrig="300">
                <v:shape id="_x0000_i1032" type="#_x0000_t75" style="width:11.85pt;height:15.8pt" o:ole="">
                  <v:imagedata r:id="rId8" o:title=""/>
                </v:shape>
                <o:OLEObject Type="Embed" ProgID="Equation.3" ShapeID="_x0000_i1032" DrawAspect="Content" ObjectID="_1587633195" r:id="rId17"/>
              </w:object>
            </w:r>
            <w:r w:rsidRPr="00230501">
              <w:rPr>
                <w:iCs/>
                <w:highlight w:val="yellow"/>
              </w:rPr>
              <w:t xml:space="preserve"> that the UE uses to assess the radio link quality and 2 msec.</w:t>
            </w:r>
            <w:r w:rsidRPr="00034AF1">
              <w:rPr>
                <w:iCs/>
              </w:rPr>
              <w:t xml:space="preserve"> </w:t>
            </w:r>
          </w:p>
          <w:p w:rsidR="00EA2962" w:rsidRPr="007C0DA8" w:rsidRDefault="00C63E4C" w:rsidP="00C63E4C">
            <w:r w:rsidRPr="00230501">
              <w:rPr>
                <w:highlight w:val="green"/>
              </w:rPr>
              <w:t>Upon request from higher layers, the UE provides to higher layers the periodic CSI-RS configuration indexes and/or SS/PBCH block indexes</w:t>
            </w:r>
            <w:r w:rsidRPr="00230501">
              <w:rPr>
                <w:iCs/>
                <w:highlight w:val="green"/>
              </w:rPr>
              <w:t xml:space="preserve"> </w:t>
            </w:r>
            <w:r w:rsidRPr="00230501">
              <w:rPr>
                <w:highlight w:val="green"/>
              </w:rPr>
              <w:t xml:space="preserve">from the set </w:t>
            </w:r>
            <w:r w:rsidRPr="00230501">
              <w:rPr>
                <w:iCs/>
                <w:position w:val="-10"/>
                <w:highlight w:val="green"/>
              </w:rPr>
              <w:object w:dxaOrig="220" w:dyaOrig="300">
                <v:shape id="_x0000_i1033" type="#_x0000_t75" style="width:10.85pt;height:15.8pt" o:ole="">
                  <v:imagedata r:id="rId10" o:title=""/>
                </v:shape>
                <o:OLEObject Type="Embed" ProgID="Equation.3" ShapeID="_x0000_i1033" DrawAspect="Content" ObjectID="_1587633196" r:id="rId18"/>
              </w:object>
            </w:r>
            <w:r w:rsidRPr="00230501">
              <w:rPr>
                <w:iCs/>
                <w:highlight w:val="green"/>
              </w:rPr>
              <w:t xml:space="preserve"> and the corresponding L1-RSRP measurements that are larger than or equal to the corresponding thresholds.</w:t>
            </w:r>
            <w:r w:rsidRPr="00B916EC">
              <w:rPr>
                <w:iCs/>
              </w:rPr>
              <w:t xml:space="preserve"> </w:t>
            </w:r>
          </w:p>
        </w:tc>
      </w:tr>
    </w:tbl>
    <w:p w:rsidR="00EC1B37" w:rsidRDefault="00EC1B37" w:rsidP="00EC1B37">
      <w:r>
        <w:t xml:space="preserve">BFD is very similar to RLM in that </w:t>
      </w:r>
      <w:r w:rsidR="00F3291A">
        <w:t>UE monitors the radio link quality on a set of RSes by comparing with a threshold corresponding to hypothetical PDCCH BLER.</w:t>
      </w:r>
      <w:r w:rsidR="00B749E2">
        <w:t xml:space="preserve"> Also L1 of UE indicates the beam failure instance periodically to higher layers based on the evaluation outcome on all RSes. The difference is that there is no counter-part of in-sync detection in BFD. </w:t>
      </w:r>
    </w:p>
    <w:p w:rsidR="00B749E2" w:rsidRDefault="00B749E2" w:rsidP="00EC1B37">
      <w:r>
        <w:lastRenderedPageBreak/>
        <w:t xml:space="preserve">In our view, it is straightforward to define RRM requirements for BFD by re-using RLM </w:t>
      </w:r>
      <w:r w:rsidR="00512F8C">
        <w:t xml:space="preserve">out-of-sync </w:t>
      </w:r>
      <w:r>
        <w:t xml:space="preserve">requirements. </w:t>
      </w:r>
    </w:p>
    <w:p w:rsidR="00B749E2" w:rsidRDefault="00B749E2" w:rsidP="00107D6F">
      <w:pPr>
        <w:pStyle w:val="ListParagraph"/>
        <w:numPr>
          <w:ilvl w:val="0"/>
          <w:numId w:val="7"/>
        </w:numPr>
      </w:pPr>
      <w:r>
        <w:t>Evaluation period: In RAN4#86bis, some companies mentioned the possibility to have shorter evaluation period for BF than for RLM. It is of course desirable, but in terms of UE measurement behavior BFD is same as RLM, and the SINR condition and the required measurement accuracy are also same as RLM, so we don’t see how UE could achieve a shorter evaluation period for BFD.</w:t>
      </w:r>
    </w:p>
    <w:p w:rsidR="00B749E2" w:rsidRDefault="00512F8C" w:rsidP="00107D6F">
      <w:pPr>
        <w:pStyle w:val="ListParagraph"/>
        <w:numPr>
          <w:ilvl w:val="0"/>
          <w:numId w:val="7"/>
        </w:numPr>
      </w:pPr>
      <w:r>
        <w:t>Hypothetical PDCCH parameters: hypothetical PDCCH parameters for RLM are discussed in RAN4#86bis based on simulation results on NR PDCCH performances, and one of the criteria in deciding the parameter values is to ensure reasonable cell coverage (Qout level). Here we do not see any reason why BFD should be triggered at a different SINR level than RLF.</w:t>
      </w:r>
    </w:p>
    <w:p w:rsidR="00512F8C" w:rsidRDefault="00512F8C" w:rsidP="00107D6F">
      <w:pPr>
        <w:pStyle w:val="ListParagraph"/>
        <w:numPr>
          <w:ilvl w:val="0"/>
          <w:numId w:val="7"/>
        </w:numPr>
      </w:pPr>
      <w:r>
        <w:t xml:space="preserve">L1 indication interval: for both RLM and BFD, RAN1 agrees that L1 indication of “failure” is based on the event where link quality in all RSes are below Qout threshold, and the indication interval is both based on the smallest period of all RSes. </w:t>
      </w:r>
      <w:r w:rsidR="00DA2080">
        <w:t xml:space="preserve">There is a difference that for RLM the lower bound is 10ms while for BFD 2ms. </w:t>
      </w:r>
    </w:p>
    <w:p w:rsidR="00510765" w:rsidRDefault="00DA2080" w:rsidP="00107D6F">
      <w:pPr>
        <w:pStyle w:val="ListParagraph"/>
        <w:numPr>
          <w:ilvl w:val="0"/>
          <w:numId w:val="7"/>
        </w:numPr>
      </w:pPr>
      <w:r>
        <w:t xml:space="preserve">Number of RSes: </w:t>
      </w:r>
      <w:r w:rsidR="00510765">
        <w:t xml:space="preserve">the number RSes UE shall monitor for RLM and BFD is different as agreed in </w:t>
      </w:r>
      <w:r w:rsidR="00510765">
        <w:fldChar w:fldCharType="begin"/>
      </w:r>
      <w:r w:rsidR="00510765">
        <w:instrText xml:space="preserve"> REF _Ref513812861 \r \h </w:instrText>
      </w:r>
      <w:r w:rsidR="00510765">
        <w:fldChar w:fldCharType="separate"/>
      </w:r>
      <w:r w:rsidR="00510765">
        <w:t>[4]</w:t>
      </w:r>
      <w:r w:rsidR="00510765">
        <w:fldChar w:fldCharType="end"/>
      </w:r>
      <w:r w:rsidR="00510765">
        <w:t>. This should be clearly captured in RAN4 spec.</w:t>
      </w:r>
    </w:p>
    <w:tbl>
      <w:tblPr>
        <w:tblStyle w:val="TableGrid"/>
        <w:tblW w:w="0" w:type="auto"/>
        <w:tblLook w:val="04A0" w:firstRow="1" w:lastRow="0" w:firstColumn="1" w:lastColumn="0" w:noHBand="0" w:noVBand="1"/>
      </w:tblPr>
      <w:tblGrid>
        <w:gridCol w:w="9617"/>
      </w:tblGrid>
      <w:tr w:rsidR="00510765" w:rsidTr="00510765">
        <w:tc>
          <w:tcPr>
            <w:tcW w:w="9617" w:type="dxa"/>
          </w:tcPr>
          <w:p w:rsidR="00510765" w:rsidRPr="00510765" w:rsidRDefault="00510765" w:rsidP="00510765">
            <w:pPr>
              <w:spacing w:before="0" w:after="0"/>
              <w:rPr>
                <w:rFonts w:ascii="Arial" w:eastAsia="Times New Roman" w:hAnsi="Arial" w:cs="Arial"/>
                <w:szCs w:val="20"/>
                <w:lang w:val="en-GB"/>
              </w:rPr>
            </w:pPr>
            <w:r w:rsidRPr="00510765">
              <w:rPr>
                <w:rFonts w:ascii="Arial" w:eastAsia="Times New Roman" w:hAnsi="Arial" w:cs="Arial"/>
                <w:szCs w:val="20"/>
                <w:lang w:val="en-GB"/>
              </w:rPr>
              <w:t xml:space="preserve">The maximum number of BFD-RS(s) is 2 per BWP. </w:t>
            </w:r>
          </w:p>
          <w:p w:rsidR="00510765" w:rsidRPr="00510765" w:rsidRDefault="00510765" w:rsidP="00510765">
            <w:pPr>
              <w:spacing w:before="0" w:after="0"/>
              <w:rPr>
                <w:rFonts w:ascii="Arial" w:eastAsia="Times New Roman" w:hAnsi="Arial" w:cs="Arial"/>
                <w:szCs w:val="20"/>
                <w:lang w:val="en-GB"/>
              </w:rPr>
            </w:pPr>
            <w:r w:rsidRPr="00510765">
              <w:rPr>
                <w:rFonts w:ascii="Arial" w:eastAsia="Times New Roman" w:hAnsi="Arial" w:cs="Arial"/>
                <w:szCs w:val="20"/>
                <w:lang w:val="en-GB"/>
              </w:rPr>
              <w:t>The maximum number of RLM-RS(s) and BFD-RS(s) should depend on whether same RS(s) is shared between RLM and BFD. The maximum number of unique RS(s), each RS using different set of resources, for both RLM-RS(s) and BFD-RS(s) are:</w:t>
            </w:r>
          </w:p>
          <w:p w:rsidR="00510765" w:rsidRPr="00510765" w:rsidRDefault="00510765" w:rsidP="00107D6F">
            <w:pPr>
              <w:numPr>
                <w:ilvl w:val="0"/>
                <w:numId w:val="8"/>
              </w:numPr>
              <w:spacing w:before="0" w:after="0"/>
              <w:rPr>
                <w:rFonts w:ascii="Arial" w:eastAsia="Times New Roman" w:hAnsi="Arial" w:cs="Arial"/>
                <w:szCs w:val="20"/>
                <w:lang w:val="en-GB"/>
              </w:rPr>
            </w:pPr>
            <w:r w:rsidRPr="00510765">
              <w:rPr>
                <w:rFonts w:ascii="Arial" w:eastAsia="Times New Roman" w:hAnsi="Arial" w:cs="Arial"/>
                <w:szCs w:val="20"/>
                <w:lang w:val="en-GB"/>
              </w:rPr>
              <w:t>2 RS(s) per BWP for below 3 GHz,</w:t>
            </w:r>
          </w:p>
          <w:p w:rsidR="00510765" w:rsidRPr="00510765" w:rsidRDefault="00510765" w:rsidP="00107D6F">
            <w:pPr>
              <w:numPr>
                <w:ilvl w:val="0"/>
                <w:numId w:val="8"/>
              </w:numPr>
              <w:spacing w:before="0" w:after="0"/>
              <w:rPr>
                <w:rFonts w:ascii="Arial" w:eastAsia="Times New Roman" w:hAnsi="Arial" w:cs="Arial"/>
                <w:szCs w:val="20"/>
                <w:lang w:val="en-GB"/>
              </w:rPr>
            </w:pPr>
            <w:r w:rsidRPr="00510765">
              <w:rPr>
                <w:rFonts w:ascii="Arial" w:eastAsia="Times New Roman" w:hAnsi="Arial" w:cs="Arial"/>
                <w:szCs w:val="20"/>
                <w:lang w:val="en-GB"/>
              </w:rPr>
              <w:t>6 RS(s) per BWP for above 3 GHz and below 6 GHz,</w:t>
            </w:r>
          </w:p>
          <w:p w:rsidR="00510765" w:rsidRPr="00510765" w:rsidRDefault="00510765" w:rsidP="00107D6F">
            <w:pPr>
              <w:numPr>
                <w:ilvl w:val="0"/>
                <w:numId w:val="8"/>
              </w:numPr>
              <w:spacing w:before="0" w:after="0"/>
              <w:rPr>
                <w:rFonts w:ascii="Arial" w:eastAsia="Times New Roman" w:hAnsi="Arial" w:cs="Arial"/>
                <w:szCs w:val="20"/>
                <w:lang w:val="en-GB"/>
              </w:rPr>
            </w:pPr>
            <w:r w:rsidRPr="00510765">
              <w:rPr>
                <w:rFonts w:ascii="Arial" w:eastAsia="Times New Roman" w:hAnsi="Arial" w:cs="Arial"/>
                <w:szCs w:val="20"/>
                <w:lang w:val="en-GB"/>
              </w:rPr>
              <w:t>8 RS(s) per BWP for above 6 GHz,</w:t>
            </w:r>
          </w:p>
          <w:p w:rsidR="00510765" w:rsidRPr="00510765" w:rsidRDefault="00510765" w:rsidP="00107D6F">
            <w:pPr>
              <w:numPr>
                <w:ilvl w:val="0"/>
                <w:numId w:val="8"/>
              </w:numPr>
              <w:spacing w:before="0" w:after="0"/>
              <w:rPr>
                <w:rFonts w:ascii="Arial" w:eastAsia="Times New Roman" w:hAnsi="Arial" w:cs="Arial"/>
                <w:szCs w:val="20"/>
                <w:lang w:val="en-GB"/>
              </w:rPr>
            </w:pPr>
            <w:r w:rsidRPr="00510765">
              <w:rPr>
                <w:rFonts w:ascii="Arial" w:eastAsia="Times New Roman" w:hAnsi="Arial" w:cs="Arial"/>
                <w:szCs w:val="20"/>
                <w:lang w:val="en-GB"/>
              </w:rPr>
              <w:t>where the above values {2,6,8} are currently a working assumption in RAN1,</w:t>
            </w:r>
          </w:p>
          <w:p w:rsidR="00510765" w:rsidRPr="00510765" w:rsidRDefault="00510765" w:rsidP="00107D6F">
            <w:pPr>
              <w:numPr>
                <w:ilvl w:val="0"/>
                <w:numId w:val="8"/>
              </w:numPr>
              <w:spacing w:before="0" w:after="0"/>
              <w:rPr>
                <w:rFonts w:ascii="Arial" w:eastAsia="Times New Roman" w:hAnsi="Arial" w:cs="Arial"/>
                <w:szCs w:val="20"/>
                <w:lang w:val="en-GB"/>
              </w:rPr>
            </w:pPr>
            <w:r w:rsidRPr="00510765">
              <w:rPr>
                <w:rFonts w:ascii="Arial" w:eastAsia="Times New Roman" w:hAnsi="Arial" w:cs="Arial"/>
                <w:szCs w:val="20"/>
                <w:lang w:val="en-GB"/>
              </w:rPr>
              <w:t xml:space="preserve">and the maximum number of BFD-RS(s) is 2 RSs per BWP and maximum number of RLM-RS(s) is 2 RSs per BWP for below 3 GHz, 4 RSs per BWP for above 3 GHz and below 6 GHz, 8 RSs per BWP for above 6 GHz. </w:t>
            </w:r>
          </w:p>
          <w:p w:rsidR="00510765" w:rsidRPr="00510765" w:rsidRDefault="00510765" w:rsidP="00510765">
            <w:pPr>
              <w:spacing w:before="0" w:after="0"/>
              <w:rPr>
                <w:rFonts w:ascii="Arial" w:eastAsia="Times New Roman" w:hAnsi="Arial" w:cs="Arial"/>
                <w:szCs w:val="20"/>
                <w:lang w:val="en-GB"/>
              </w:rPr>
            </w:pPr>
            <w:r w:rsidRPr="00510765">
              <w:rPr>
                <w:rFonts w:ascii="Arial" w:eastAsia="Times New Roman" w:hAnsi="Arial" w:cs="Arial"/>
                <w:szCs w:val="20"/>
                <w:lang w:val="en-GB"/>
              </w:rPr>
              <w:t>Please note that support of 8 RLM-RSs and 2 BFD-RS for above 6 GHz is feasible if the 2 BFD-RS are a subset of 8 RLM-RSs.</w:t>
            </w:r>
          </w:p>
        </w:tc>
      </w:tr>
    </w:tbl>
    <w:p w:rsidR="00DA2080" w:rsidRDefault="00510765" w:rsidP="00510765">
      <w:pPr>
        <w:pStyle w:val="RAN4proposal"/>
      </w:pPr>
      <w:bookmarkStart w:id="8" w:name="_Ref513814848"/>
      <w:r>
        <w:t>RRM requirements for BFD are defined by re-using the same requirements for out-of-sync detection in RLM, with the exceptions on 1) lower bound of L1 indication interval and 2) number of RSes UE shall monitor.</w:t>
      </w:r>
      <w:bookmarkEnd w:id="8"/>
    </w:p>
    <w:p w:rsidR="00C1670A" w:rsidRDefault="000D0EC5" w:rsidP="00510765">
      <w:r>
        <w:t xml:space="preserve">For beam recovery UE monitor the L1-RSRP on RSes indicated in </w:t>
      </w:r>
      <w:r w:rsidRPr="000D0EC5">
        <w:rPr>
          <w:i/>
        </w:rPr>
        <w:t>candidateBeamRSList</w:t>
      </w:r>
      <w:r>
        <w:t xml:space="preserve">. </w:t>
      </w:r>
      <w:r w:rsidR="00C1670A">
        <w:t>There two RSRP measurement requirements under ongoing discussion in RAN4</w:t>
      </w:r>
    </w:p>
    <w:p w:rsidR="00C1670A" w:rsidRDefault="00C1670A" w:rsidP="00107D6F">
      <w:pPr>
        <w:pStyle w:val="ListParagraph"/>
        <w:numPr>
          <w:ilvl w:val="0"/>
          <w:numId w:val="7"/>
        </w:numPr>
      </w:pPr>
      <w:r>
        <w:t xml:space="preserve">L1-RSRP measurement for beam management: </w:t>
      </w:r>
    </w:p>
    <w:p w:rsidR="00655EA6" w:rsidRDefault="00655EA6" w:rsidP="00107D6F">
      <w:pPr>
        <w:pStyle w:val="ListParagraph"/>
        <w:numPr>
          <w:ilvl w:val="0"/>
          <w:numId w:val="7"/>
        </w:numPr>
      </w:pPr>
      <w:r>
        <w:t>L3 RSRP for mobility</w:t>
      </w:r>
    </w:p>
    <w:p w:rsidR="00655EA6" w:rsidRDefault="00655EA6" w:rsidP="00510765">
      <w:r w:rsidRPr="00655EA6">
        <w:t>So far, RAN4 has not concluded on what kind of requirements are defined for L1-RSRP for beam management, so it is hard to say at this stage whether the requirements for beam management can be re-used for beam recovery or not. There are proposals from some companies that L1-RSRP for beam management could be based on one-shot, and since the reporting is periodical, there would be no delay requirement (like we do not have delay requirement for CQI).</w:t>
      </w:r>
    </w:p>
    <w:p w:rsidR="00510765" w:rsidRDefault="00C1670A" w:rsidP="00510765">
      <w:r>
        <w:t xml:space="preserve">If that’s the case, we may need to define separate requirements for L1-RSRP measurement for beam recovery, which is more like mobility measurement. We see a need to define both delay and accuracy requirements so that UE can timely report the selected RSes once requested by higher layer, and the report RSes and the associated L1-RSRP can be stable enough based on certain averaging. </w:t>
      </w:r>
      <w:r w:rsidR="00655EA6">
        <w:t>RAN4 can further check if current L3 RSRP measurement requirements can be re-used.</w:t>
      </w:r>
    </w:p>
    <w:p w:rsidR="00EC1B37" w:rsidRDefault="00C1670A" w:rsidP="00655EA6">
      <w:pPr>
        <w:pStyle w:val="RAN4proposal"/>
      </w:pPr>
      <w:bookmarkStart w:id="9" w:name="_Ref513814849"/>
      <w:r>
        <w:t>Both delay and accuracy requirements for L1-RSRP measurement for beam recovery should be defined</w:t>
      </w:r>
      <w:r w:rsidR="00655EA6">
        <w:t xml:space="preserve"> in RAN4</w:t>
      </w:r>
      <w:r>
        <w:t>.</w:t>
      </w:r>
      <w:bookmarkEnd w:id="9"/>
      <w:r>
        <w:t xml:space="preserve"> </w:t>
      </w:r>
    </w:p>
    <w:bookmarkEnd w:id="6"/>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E20ED2" w:rsidRPr="00E20ED2">
        <w:rPr>
          <w:lang w:val="en-GB"/>
        </w:rPr>
        <w:t xml:space="preserve">on </w:t>
      </w:r>
      <w:r w:rsidR="00655EA6" w:rsidRPr="00655EA6">
        <w:rPr>
          <w:lang w:val="en-GB"/>
        </w:rPr>
        <w:t>RRM requirements for BFR</w:t>
      </w:r>
      <w:r w:rsidRPr="00B8606D">
        <w:rPr>
          <w:lang w:val="en-GB"/>
        </w:rPr>
        <w:t>.</w:t>
      </w:r>
    </w:p>
    <w:p w:rsidR="00655EA6" w:rsidRPr="00655EA6" w:rsidRDefault="00655EA6" w:rsidP="00655EA6">
      <w:pPr>
        <w:ind w:right="-23"/>
        <w:rPr>
          <w:b/>
        </w:rPr>
      </w:pPr>
      <w:r w:rsidRPr="00655EA6">
        <w:rPr>
          <w:b/>
        </w:rPr>
        <w:fldChar w:fldCharType="begin"/>
      </w:r>
      <w:r w:rsidRPr="00655EA6">
        <w:rPr>
          <w:b/>
        </w:rPr>
        <w:instrText xml:space="preserve"> REF _Ref513814846 \r \h  \* MERGEFORMAT </w:instrText>
      </w:r>
      <w:r w:rsidRPr="00655EA6">
        <w:rPr>
          <w:b/>
        </w:rPr>
      </w:r>
      <w:r w:rsidRPr="00655EA6">
        <w:rPr>
          <w:b/>
        </w:rPr>
        <w:fldChar w:fldCharType="separate"/>
      </w:r>
      <w:r w:rsidRPr="00655EA6">
        <w:rPr>
          <w:b/>
        </w:rPr>
        <w:t>Proposal 1:</w:t>
      </w:r>
      <w:r w:rsidRPr="00655EA6">
        <w:rPr>
          <w:b/>
        </w:rPr>
        <w:fldChar w:fldCharType="end"/>
      </w:r>
      <w:r w:rsidRPr="00655EA6">
        <w:rPr>
          <w:b/>
        </w:rPr>
        <w:t xml:space="preserve"> </w:t>
      </w:r>
      <w:r w:rsidRPr="00655EA6">
        <w:rPr>
          <w:b/>
        </w:rPr>
        <w:fldChar w:fldCharType="begin"/>
      </w:r>
      <w:r w:rsidRPr="00655EA6">
        <w:rPr>
          <w:b/>
        </w:rPr>
        <w:instrText xml:space="preserve"> REF _Ref513814846 \h  \* MERGEFORMAT </w:instrText>
      </w:r>
      <w:r w:rsidRPr="00655EA6">
        <w:rPr>
          <w:b/>
        </w:rPr>
      </w:r>
      <w:r w:rsidRPr="00655EA6">
        <w:rPr>
          <w:b/>
        </w:rPr>
        <w:fldChar w:fldCharType="separate"/>
      </w:r>
      <w:r w:rsidRPr="00655EA6">
        <w:rPr>
          <w:b/>
        </w:rPr>
        <w:t>RAN4 to define RRM requirements for BFR, for both FR1 and FR2, and for both SSB based and CSI-RS based. The requirements are mandatory for PCell/PSCell and optional for SCell.</w:t>
      </w:r>
      <w:r w:rsidRPr="00655EA6">
        <w:rPr>
          <w:b/>
        </w:rPr>
        <w:fldChar w:fldCharType="end"/>
      </w:r>
    </w:p>
    <w:p w:rsidR="00655EA6" w:rsidRPr="00655EA6" w:rsidRDefault="00655EA6" w:rsidP="00655EA6">
      <w:pPr>
        <w:ind w:right="-23"/>
        <w:rPr>
          <w:b/>
        </w:rPr>
      </w:pPr>
      <w:r w:rsidRPr="00655EA6">
        <w:rPr>
          <w:b/>
        </w:rPr>
        <w:lastRenderedPageBreak/>
        <w:fldChar w:fldCharType="begin"/>
      </w:r>
      <w:r w:rsidRPr="00655EA6">
        <w:rPr>
          <w:b/>
        </w:rPr>
        <w:instrText xml:space="preserve"> REF _Ref513814848 \r \h  \* MERGEFORMAT </w:instrText>
      </w:r>
      <w:r w:rsidRPr="00655EA6">
        <w:rPr>
          <w:b/>
        </w:rPr>
      </w:r>
      <w:r w:rsidRPr="00655EA6">
        <w:rPr>
          <w:b/>
        </w:rPr>
        <w:fldChar w:fldCharType="separate"/>
      </w:r>
      <w:r w:rsidRPr="00655EA6">
        <w:rPr>
          <w:b/>
        </w:rPr>
        <w:t>Proposal 2:</w:t>
      </w:r>
      <w:r w:rsidRPr="00655EA6">
        <w:rPr>
          <w:b/>
        </w:rPr>
        <w:fldChar w:fldCharType="end"/>
      </w:r>
      <w:r w:rsidRPr="00655EA6">
        <w:rPr>
          <w:b/>
        </w:rPr>
        <w:t xml:space="preserve"> </w:t>
      </w:r>
      <w:r w:rsidRPr="00655EA6">
        <w:rPr>
          <w:b/>
        </w:rPr>
        <w:fldChar w:fldCharType="begin"/>
      </w:r>
      <w:r w:rsidRPr="00655EA6">
        <w:rPr>
          <w:b/>
        </w:rPr>
        <w:instrText xml:space="preserve"> REF _Ref513814848 \h  \* MERGEFORMAT </w:instrText>
      </w:r>
      <w:r w:rsidRPr="00655EA6">
        <w:rPr>
          <w:b/>
        </w:rPr>
      </w:r>
      <w:r w:rsidRPr="00655EA6">
        <w:rPr>
          <w:b/>
        </w:rPr>
        <w:fldChar w:fldCharType="separate"/>
      </w:r>
      <w:r w:rsidRPr="00655EA6">
        <w:rPr>
          <w:b/>
        </w:rPr>
        <w:t>RRM requirements for BFD are defined by re-using the same requirements for out-of-sync detection in RLM, with the exceptions on 1) lower bound of L1 indication interval and 2) number of RSes UE shall monitor.</w:t>
      </w:r>
      <w:r w:rsidRPr="00655EA6">
        <w:rPr>
          <w:b/>
        </w:rPr>
        <w:fldChar w:fldCharType="end"/>
      </w:r>
    </w:p>
    <w:p w:rsidR="002714C1" w:rsidRPr="00655EA6" w:rsidRDefault="00655EA6" w:rsidP="00655EA6">
      <w:pPr>
        <w:ind w:right="-23"/>
        <w:rPr>
          <w:b/>
        </w:rPr>
      </w:pPr>
      <w:r w:rsidRPr="00655EA6">
        <w:rPr>
          <w:b/>
        </w:rPr>
        <w:fldChar w:fldCharType="begin"/>
      </w:r>
      <w:r w:rsidRPr="00655EA6">
        <w:rPr>
          <w:b/>
        </w:rPr>
        <w:instrText xml:space="preserve"> REF _Ref513814849 \r \h  \* MERGEFORMAT </w:instrText>
      </w:r>
      <w:r w:rsidRPr="00655EA6">
        <w:rPr>
          <w:b/>
        </w:rPr>
      </w:r>
      <w:r w:rsidRPr="00655EA6">
        <w:rPr>
          <w:b/>
        </w:rPr>
        <w:fldChar w:fldCharType="separate"/>
      </w:r>
      <w:r w:rsidRPr="00655EA6">
        <w:rPr>
          <w:b/>
        </w:rPr>
        <w:t>Proposal 3:</w:t>
      </w:r>
      <w:r w:rsidRPr="00655EA6">
        <w:rPr>
          <w:b/>
        </w:rPr>
        <w:fldChar w:fldCharType="end"/>
      </w:r>
      <w:r w:rsidRPr="00655EA6">
        <w:rPr>
          <w:b/>
        </w:rPr>
        <w:t xml:space="preserve"> </w:t>
      </w:r>
      <w:r w:rsidRPr="00655EA6">
        <w:rPr>
          <w:b/>
        </w:rPr>
        <w:fldChar w:fldCharType="begin"/>
      </w:r>
      <w:r w:rsidRPr="00655EA6">
        <w:rPr>
          <w:b/>
        </w:rPr>
        <w:instrText xml:space="preserve"> REF _Ref513814849 \h  \* MERGEFORMAT </w:instrText>
      </w:r>
      <w:r w:rsidRPr="00655EA6">
        <w:rPr>
          <w:b/>
        </w:rPr>
      </w:r>
      <w:r w:rsidRPr="00655EA6">
        <w:rPr>
          <w:b/>
        </w:rPr>
        <w:fldChar w:fldCharType="separate"/>
      </w:r>
      <w:r w:rsidRPr="00655EA6">
        <w:rPr>
          <w:b/>
        </w:rPr>
        <w:t>Both delay and accuracy requirements for L1-RSRP measurement for beam recovery should be defined in RAN4.</w:t>
      </w:r>
      <w:r w:rsidRPr="00655EA6">
        <w:rPr>
          <w:b/>
        </w:rPr>
        <w:fldChar w:fldCharType="end"/>
      </w:r>
    </w:p>
    <w:p w:rsidR="003B659E" w:rsidRPr="0095295C" w:rsidRDefault="003B659E" w:rsidP="0008612A">
      <w:pPr>
        <w:pStyle w:val="RAN4H1"/>
      </w:pPr>
      <w:r w:rsidRPr="0095295C">
        <w:t>References</w:t>
      </w:r>
    </w:p>
    <w:p w:rsidR="00866276" w:rsidRDefault="00FC7B92" w:rsidP="00866276">
      <w:pPr>
        <w:numPr>
          <w:ilvl w:val="0"/>
          <w:numId w:val="1"/>
        </w:numPr>
        <w:overflowPunct w:val="0"/>
        <w:autoSpaceDE w:val="0"/>
        <w:autoSpaceDN w:val="0"/>
        <w:adjustRightInd w:val="0"/>
        <w:spacing w:before="0"/>
        <w:jc w:val="both"/>
        <w:rPr>
          <w:rFonts w:eastAsia="Times New Roman" w:cs="Times New Roman"/>
          <w:szCs w:val="20"/>
          <w:lang w:val="en-GB"/>
        </w:rPr>
      </w:pPr>
      <w:bookmarkStart w:id="10" w:name="_Ref431017336"/>
      <w:bookmarkStart w:id="11" w:name="_Ref513196612"/>
      <w:bookmarkStart w:id="12" w:name="_Ref513710934"/>
      <w:bookmarkStart w:id="13" w:name="_Ref513723949"/>
      <w:bookmarkStart w:id="14" w:name="_Ref513728762"/>
      <w:r w:rsidRPr="00866276">
        <w:rPr>
          <w:rFonts w:eastAsia="Times New Roman" w:cs="Times New Roman"/>
          <w:szCs w:val="20"/>
          <w:lang w:val="en-GB"/>
        </w:rPr>
        <w:t>R4-180</w:t>
      </w:r>
      <w:r w:rsidR="00CF7FE6">
        <w:rPr>
          <w:rFonts w:eastAsia="Times New Roman" w:cs="Times New Roman"/>
          <w:szCs w:val="20"/>
          <w:lang w:val="en-GB"/>
        </w:rPr>
        <w:t>5530</w:t>
      </w:r>
      <w:r w:rsidRPr="00866276">
        <w:rPr>
          <w:rFonts w:eastAsia="Times New Roman" w:cs="Times New Roman"/>
          <w:szCs w:val="20"/>
          <w:lang w:val="en-GB"/>
        </w:rPr>
        <w:t xml:space="preserve">, </w:t>
      </w:r>
      <w:r w:rsidR="00CF7FE6" w:rsidRPr="00CF7FE6">
        <w:rPr>
          <w:rFonts w:eastAsia="Times New Roman" w:cs="Times New Roman"/>
          <w:szCs w:val="20"/>
        </w:rPr>
        <w:t>Way forward on beam management</w:t>
      </w:r>
      <w:r w:rsidRPr="00866276">
        <w:rPr>
          <w:rFonts w:eastAsia="Times New Roman" w:cs="Times New Roman"/>
          <w:szCs w:val="20"/>
          <w:lang w:val="en-GB"/>
        </w:rPr>
        <w:t xml:space="preserve">, </w:t>
      </w:r>
      <w:bookmarkEnd w:id="10"/>
      <w:bookmarkEnd w:id="11"/>
      <w:bookmarkEnd w:id="12"/>
      <w:bookmarkEnd w:id="13"/>
      <w:bookmarkEnd w:id="14"/>
      <w:r w:rsidR="00CF7FE6">
        <w:rPr>
          <w:rFonts w:eastAsia="Times New Roman" w:cs="Times New Roman"/>
          <w:szCs w:val="20"/>
          <w:lang w:val="en-GB"/>
        </w:rPr>
        <w:t>Ericsson</w:t>
      </w:r>
    </w:p>
    <w:p w:rsidR="000B021D" w:rsidRDefault="000B021D" w:rsidP="000B021D">
      <w:pPr>
        <w:numPr>
          <w:ilvl w:val="0"/>
          <w:numId w:val="1"/>
        </w:numPr>
        <w:overflowPunct w:val="0"/>
        <w:autoSpaceDE w:val="0"/>
        <w:autoSpaceDN w:val="0"/>
        <w:adjustRightInd w:val="0"/>
        <w:spacing w:before="0"/>
        <w:jc w:val="both"/>
        <w:rPr>
          <w:rFonts w:eastAsia="Times New Roman" w:cs="Times New Roman"/>
          <w:szCs w:val="20"/>
          <w:lang w:val="en-GB"/>
        </w:rPr>
      </w:pPr>
      <w:bookmarkStart w:id="15" w:name="_Ref513801234"/>
      <w:r>
        <w:rPr>
          <w:rFonts w:eastAsia="Times New Roman" w:cs="Times New Roman"/>
          <w:szCs w:val="20"/>
          <w:lang w:val="en-GB"/>
        </w:rPr>
        <w:t xml:space="preserve">R2-1804066, </w:t>
      </w:r>
      <w:r w:rsidRPr="000B021D">
        <w:rPr>
          <w:rFonts w:eastAsia="Times New Roman" w:cs="Times New Roman"/>
          <w:szCs w:val="20"/>
          <w:lang w:val="en-GB"/>
        </w:rPr>
        <w:t>LS to RAN1 on Beam- and Cell- Radio-Link-Monitoring</w:t>
      </w:r>
      <w:r>
        <w:rPr>
          <w:rFonts w:eastAsia="Times New Roman" w:cs="Times New Roman"/>
          <w:szCs w:val="20"/>
          <w:lang w:val="en-GB"/>
        </w:rPr>
        <w:t>, RAN2</w:t>
      </w:r>
      <w:bookmarkEnd w:id="15"/>
    </w:p>
    <w:p w:rsidR="000B021D" w:rsidRDefault="000B021D" w:rsidP="000B021D">
      <w:pPr>
        <w:numPr>
          <w:ilvl w:val="0"/>
          <w:numId w:val="1"/>
        </w:numPr>
        <w:overflowPunct w:val="0"/>
        <w:autoSpaceDE w:val="0"/>
        <w:autoSpaceDN w:val="0"/>
        <w:adjustRightInd w:val="0"/>
        <w:spacing w:before="0"/>
        <w:jc w:val="both"/>
        <w:rPr>
          <w:rFonts w:eastAsia="Times New Roman" w:cs="Times New Roman"/>
          <w:szCs w:val="20"/>
          <w:lang w:val="en-GB"/>
        </w:rPr>
      </w:pPr>
      <w:r>
        <w:rPr>
          <w:rFonts w:eastAsia="Times New Roman" w:cs="Times New Roman"/>
          <w:szCs w:val="20"/>
          <w:lang w:val="en-GB"/>
        </w:rPr>
        <w:t xml:space="preserve">R1-1803348, </w:t>
      </w:r>
      <w:r w:rsidRPr="000B021D">
        <w:rPr>
          <w:rFonts w:eastAsia="Times New Roman" w:cs="Times New Roman"/>
          <w:szCs w:val="20"/>
          <w:lang w:val="en-GB"/>
        </w:rPr>
        <w:t>LS reply on beam failure recovery</w:t>
      </w:r>
      <w:r>
        <w:rPr>
          <w:rFonts w:eastAsia="Times New Roman" w:cs="Times New Roman"/>
          <w:szCs w:val="20"/>
          <w:lang w:val="en-GB"/>
        </w:rPr>
        <w:t>, RAN1</w:t>
      </w:r>
    </w:p>
    <w:p w:rsidR="00DA2080" w:rsidRDefault="00DA2080" w:rsidP="00DA2080">
      <w:pPr>
        <w:numPr>
          <w:ilvl w:val="0"/>
          <w:numId w:val="1"/>
        </w:numPr>
        <w:overflowPunct w:val="0"/>
        <w:autoSpaceDE w:val="0"/>
        <w:autoSpaceDN w:val="0"/>
        <w:adjustRightInd w:val="0"/>
        <w:spacing w:before="0"/>
        <w:jc w:val="both"/>
        <w:rPr>
          <w:rFonts w:eastAsia="Times New Roman" w:cs="Times New Roman"/>
          <w:szCs w:val="20"/>
          <w:lang w:val="en-GB"/>
        </w:rPr>
      </w:pPr>
      <w:bookmarkStart w:id="16" w:name="_Ref513812861"/>
      <w:r>
        <w:rPr>
          <w:rFonts w:eastAsia="Times New Roman" w:cs="Times New Roman"/>
          <w:szCs w:val="20"/>
          <w:lang w:val="en-GB"/>
        </w:rPr>
        <w:t xml:space="preserve">R1-1805761, </w:t>
      </w:r>
      <w:r w:rsidRPr="00DA2080">
        <w:rPr>
          <w:rFonts w:eastAsia="Times New Roman" w:cs="Times New Roman"/>
          <w:szCs w:val="20"/>
          <w:lang w:val="en-GB"/>
        </w:rPr>
        <w:t>Reply LS on RAN1 on Beam- and Cell- Radio-Link-Monitoring</w:t>
      </w:r>
      <w:r>
        <w:rPr>
          <w:rFonts w:eastAsia="Times New Roman" w:cs="Times New Roman"/>
          <w:szCs w:val="20"/>
          <w:lang w:val="en-GB"/>
        </w:rPr>
        <w:t>, RAN1</w:t>
      </w:r>
      <w:bookmarkEnd w:id="16"/>
    </w:p>
    <w:p w:rsidR="00CF7FE6" w:rsidRDefault="00CF7FE6" w:rsidP="00CF7FE6">
      <w:pPr>
        <w:overflowPunct w:val="0"/>
        <w:autoSpaceDE w:val="0"/>
        <w:autoSpaceDN w:val="0"/>
        <w:adjustRightInd w:val="0"/>
        <w:spacing w:before="0"/>
        <w:ind w:left="360"/>
        <w:jc w:val="both"/>
        <w:rPr>
          <w:rFonts w:eastAsia="Times New Roman" w:cs="Times New Roman"/>
          <w:szCs w:val="20"/>
          <w:lang w:val="en-GB"/>
        </w:rPr>
      </w:pPr>
    </w:p>
    <w:p w:rsidR="00866276" w:rsidRPr="00866276" w:rsidRDefault="00866276" w:rsidP="00866276">
      <w:pPr>
        <w:rPr>
          <w:szCs w:val="20"/>
        </w:rPr>
      </w:pPr>
    </w:p>
    <w:sectPr w:rsidR="00866276" w:rsidRPr="0086627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64A" w:rsidRDefault="002C564A" w:rsidP="00001C9B">
      <w:pPr>
        <w:spacing w:after="0" w:line="240" w:lineRule="auto"/>
      </w:pPr>
      <w:r>
        <w:separator/>
      </w:r>
    </w:p>
  </w:endnote>
  <w:endnote w:type="continuationSeparator" w:id="0">
    <w:p w:rsidR="002C564A" w:rsidRDefault="002C56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64A" w:rsidRDefault="002C564A" w:rsidP="00001C9B">
      <w:pPr>
        <w:spacing w:after="0" w:line="240" w:lineRule="auto"/>
      </w:pPr>
      <w:r>
        <w:separator/>
      </w:r>
    </w:p>
  </w:footnote>
  <w:footnote w:type="continuationSeparator" w:id="0">
    <w:p w:rsidR="002C564A" w:rsidRDefault="002C56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8364E9"/>
    <w:multiLevelType w:val="hybridMultilevel"/>
    <w:tmpl w:val="F7040724"/>
    <w:lvl w:ilvl="0" w:tplc="66FC345A">
      <w:start w:val="1"/>
      <w:numFmt w:val="bullet"/>
      <w:lvlText w:val="•"/>
      <w:lvlJc w:val="left"/>
      <w:pPr>
        <w:tabs>
          <w:tab w:val="num" w:pos="720"/>
        </w:tabs>
        <w:ind w:left="720" w:hanging="360"/>
      </w:pPr>
      <w:rPr>
        <w:rFonts w:ascii="Arial" w:hAnsi="Arial" w:hint="default"/>
      </w:rPr>
    </w:lvl>
    <w:lvl w:ilvl="1" w:tplc="BB5083AE">
      <w:numFmt w:val="bullet"/>
      <w:lvlText w:val="•"/>
      <w:lvlJc w:val="left"/>
      <w:pPr>
        <w:tabs>
          <w:tab w:val="num" w:pos="1440"/>
        </w:tabs>
        <w:ind w:left="1440" w:hanging="360"/>
      </w:pPr>
      <w:rPr>
        <w:rFonts w:ascii="Arial" w:hAnsi="Arial" w:hint="default"/>
      </w:rPr>
    </w:lvl>
    <w:lvl w:ilvl="2" w:tplc="22D48486">
      <w:numFmt w:val="bullet"/>
      <w:lvlText w:val="•"/>
      <w:lvlJc w:val="left"/>
      <w:pPr>
        <w:tabs>
          <w:tab w:val="num" w:pos="2160"/>
        </w:tabs>
        <w:ind w:left="2160" w:hanging="360"/>
      </w:pPr>
      <w:rPr>
        <w:rFonts w:ascii="Arial" w:hAnsi="Arial" w:hint="default"/>
      </w:rPr>
    </w:lvl>
    <w:lvl w:ilvl="3" w:tplc="85882664" w:tentative="1">
      <w:start w:val="1"/>
      <w:numFmt w:val="bullet"/>
      <w:lvlText w:val="•"/>
      <w:lvlJc w:val="left"/>
      <w:pPr>
        <w:tabs>
          <w:tab w:val="num" w:pos="2880"/>
        </w:tabs>
        <w:ind w:left="2880" w:hanging="360"/>
      </w:pPr>
      <w:rPr>
        <w:rFonts w:ascii="Arial" w:hAnsi="Arial" w:hint="default"/>
      </w:rPr>
    </w:lvl>
    <w:lvl w:ilvl="4" w:tplc="42308032" w:tentative="1">
      <w:start w:val="1"/>
      <w:numFmt w:val="bullet"/>
      <w:lvlText w:val="•"/>
      <w:lvlJc w:val="left"/>
      <w:pPr>
        <w:tabs>
          <w:tab w:val="num" w:pos="3600"/>
        </w:tabs>
        <w:ind w:left="3600" w:hanging="360"/>
      </w:pPr>
      <w:rPr>
        <w:rFonts w:ascii="Arial" w:hAnsi="Arial" w:hint="default"/>
      </w:rPr>
    </w:lvl>
    <w:lvl w:ilvl="5" w:tplc="91E6C05E" w:tentative="1">
      <w:start w:val="1"/>
      <w:numFmt w:val="bullet"/>
      <w:lvlText w:val="•"/>
      <w:lvlJc w:val="left"/>
      <w:pPr>
        <w:tabs>
          <w:tab w:val="num" w:pos="4320"/>
        </w:tabs>
        <w:ind w:left="4320" w:hanging="360"/>
      </w:pPr>
      <w:rPr>
        <w:rFonts w:ascii="Arial" w:hAnsi="Arial" w:hint="default"/>
      </w:rPr>
    </w:lvl>
    <w:lvl w:ilvl="6" w:tplc="5A92EEF4" w:tentative="1">
      <w:start w:val="1"/>
      <w:numFmt w:val="bullet"/>
      <w:lvlText w:val="•"/>
      <w:lvlJc w:val="left"/>
      <w:pPr>
        <w:tabs>
          <w:tab w:val="num" w:pos="5040"/>
        </w:tabs>
        <w:ind w:left="5040" w:hanging="360"/>
      </w:pPr>
      <w:rPr>
        <w:rFonts w:ascii="Arial" w:hAnsi="Arial" w:hint="default"/>
      </w:rPr>
    </w:lvl>
    <w:lvl w:ilvl="7" w:tplc="95AA1772" w:tentative="1">
      <w:start w:val="1"/>
      <w:numFmt w:val="bullet"/>
      <w:lvlText w:val="•"/>
      <w:lvlJc w:val="left"/>
      <w:pPr>
        <w:tabs>
          <w:tab w:val="num" w:pos="5760"/>
        </w:tabs>
        <w:ind w:left="5760" w:hanging="360"/>
      </w:pPr>
      <w:rPr>
        <w:rFonts w:ascii="Arial" w:hAnsi="Arial" w:hint="default"/>
      </w:rPr>
    </w:lvl>
    <w:lvl w:ilvl="8" w:tplc="F2F65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A1B6544"/>
    <w:multiLevelType w:val="hybridMultilevel"/>
    <w:tmpl w:val="64D4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6"/>
  </w:num>
  <w:num w:numId="6">
    <w:abstractNumId w:val="1"/>
  </w:num>
  <w:num w:numId="7">
    <w:abstractNumId w:val="2"/>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308D2"/>
    <w:rsid w:val="0007101A"/>
    <w:rsid w:val="0008612A"/>
    <w:rsid w:val="000B0056"/>
    <w:rsid w:val="000B021D"/>
    <w:rsid w:val="000D0EC5"/>
    <w:rsid w:val="000E0505"/>
    <w:rsid w:val="00100DF1"/>
    <w:rsid w:val="00107D6F"/>
    <w:rsid w:val="00126990"/>
    <w:rsid w:val="00140CBA"/>
    <w:rsid w:val="001625F8"/>
    <w:rsid w:val="001745F8"/>
    <w:rsid w:val="001754B4"/>
    <w:rsid w:val="00176671"/>
    <w:rsid w:val="001838CF"/>
    <w:rsid w:val="001841C4"/>
    <w:rsid w:val="00191266"/>
    <w:rsid w:val="0019443D"/>
    <w:rsid w:val="001B0034"/>
    <w:rsid w:val="001C5304"/>
    <w:rsid w:val="001E30F6"/>
    <w:rsid w:val="00213824"/>
    <w:rsid w:val="00220ED5"/>
    <w:rsid w:val="00230501"/>
    <w:rsid w:val="002316D0"/>
    <w:rsid w:val="00235F5C"/>
    <w:rsid w:val="00237338"/>
    <w:rsid w:val="002714C1"/>
    <w:rsid w:val="00293297"/>
    <w:rsid w:val="002A37E4"/>
    <w:rsid w:val="002A71D5"/>
    <w:rsid w:val="002B4922"/>
    <w:rsid w:val="002C2D19"/>
    <w:rsid w:val="002C564A"/>
    <w:rsid w:val="002D10FA"/>
    <w:rsid w:val="002D4C55"/>
    <w:rsid w:val="002F3989"/>
    <w:rsid w:val="0032623A"/>
    <w:rsid w:val="00340673"/>
    <w:rsid w:val="00370383"/>
    <w:rsid w:val="0038214C"/>
    <w:rsid w:val="003A2443"/>
    <w:rsid w:val="003B659E"/>
    <w:rsid w:val="003E7F12"/>
    <w:rsid w:val="00417AA0"/>
    <w:rsid w:val="0043750A"/>
    <w:rsid w:val="00443559"/>
    <w:rsid w:val="00450F5D"/>
    <w:rsid w:val="00463825"/>
    <w:rsid w:val="004B7B4A"/>
    <w:rsid w:val="004C1EB4"/>
    <w:rsid w:val="004D7F9F"/>
    <w:rsid w:val="004E27A4"/>
    <w:rsid w:val="004E5E66"/>
    <w:rsid w:val="004F3D3B"/>
    <w:rsid w:val="00503B4D"/>
    <w:rsid w:val="00504EE9"/>
    <w:rsid w:val="00510765"/>
    <w:rsid w:val="00512F8C"/>
    <w:rsid w:val="0054442C"/>
    <w:rsid w:val="00547F5E"/>
    <w:rsid w:val="00550285"/>
    <w:rsid w:val="0058317D"/>
    <w:rsid w:val="005836F8"/>
    <w:rsid w:val="005918FA"/>
    <w:rsid w:val="005E61A8"/>
    <w:rsid w:val="005F6419"/>
    <w:rsid w:val="00617400"/>
    <w:rsid w:val="00655EA6"/>
    <w:rsid w:val="00660DC2"/>
    <w:rsid w:val="00664950"/>
    <w:rsid w:val="006764BB"/>
    <w:rsid w:val="00683220"/>
    <w:rsid w:val="00687FA0"/>
    <w:rsid w:val="006A4DAC"/>
    <w:rsid w:val="006B2AF8"/>
    <w:rsid w:val="006B7010"/>
    <w:rsid w:val="006F4187"/>
    <w:rsid w:val="00702B7D"/>
    <w:rsid w:val="007145FF"/>
    <w:rsid w:val="00751515"/>
    <w:rsid w:val="00782462"/>
    <w:rsid w:val="00785232"/>
    <w:rsid w:val="007A6422"/>
    <w:rsid w:val="007C0DA8"/>
    <w:rsid w:val="007C33D9"/>
    <w:rsid w:val="007C3ED0"/>
    <w:rsid w:val="007F6B81"/>
    <w:rsid w:val="00806A76"/>
    <w:rsid w:val="00811C9D"/>
    <w:rsid w:val="00816C80"/>
    <w:rsid w:val="00820C48"/>
    <w:rsid w:val="00820C57"/>
    <w:rsid w:val="00835C66"/>
    <w:rsid w:val="00841BCD"/>
    <w:rsid w:val="00866276"/>
    <w:rsid w:val="008826C1"/>
    <w:rsid w:val="008A23C5"/>
    <w:rsid w:val="008C37E4"/>
    <w:rsid w:val="008C6F57"/>
    <w:rsid w:val="009042BD"/>
    <w:rsid w:val="00912E2D"/>
    <w:rsid w:val="00921C13"/>
    <w:rsid w:val="009249B4"/>
    <w:rsid w:val="00937A19"/>
    <w:rsid w:val="00977E1D"/>
    <w:rsid w:val="009830D1"/>
    <w:rsid w:val="00985EAF"/>
    <w:rsid w:val="0099686D"/>
    <w:rsid w:val="009B2113"/>
    <w:rsid w:val="009C3226"/>
    <w:rsid w:val="009C4527"/>
    <w:rsid w:val="00A02AF0"/>
    <w:rsid w:val="00A077CE"/>
    <w:rsid w:val="00A15A9F"/>
    <w:rsid w:val="00A22B78"/>
    <w:rsid w:val="00A25AE5"/>
    <w:rsid w:val="00A37002"/>
    <w:rsid w:val="00A506FD"/>
    <w:rsid w:val="00A85E46"/>
    <w:rsid w:val="00A95C98"/>
    <w:rsid w:val="00AA1B0E"/>
    <w:rsid w:val="00AA1C57"/>
    <w:rsid w:val="00AC2B38"/>
    <w:rsid w:val="00AC5CA7"/>
    <w:rsid w:val="00AD7661"/>
    <w:rsid w:val="00AE56B1"/>
    <w:rsid w:val="00AE6451"/>
    <w:rsid w:val="00B16397"/>
    <w:rsid w:val="00B17E6E"/>
    <w:rsid w:val="00B53D00"/>
    <w:rsid w:val="00B5454D"/>
    <w:rsid w:val="00B73862"/>
    <w:rsid w:val="00B749E2"/>
    <w:rsid w:val="00B74C1F"/>
    <w:rsid w:val="00B85AFC"/>
    <w:rsid w:val="00B8606D"/>
    <w:rsid w:val="00BA6E48"/>
    <w:rsid w:val="00BF2218"/>
    <w:rsid w:val="00C04855"/>
    <w:rsid w:val="00C073BD"/>
    <w:rsid w:val="00C1670A"/>
    <w:rsid w:val="00C203DD"/>
    <w:rsid w:val="00C36634"/>
    <w:rsid w:val="00C42272"/>
    <w:rsid w:val="00C63E4C"/>
    <w:rsid w:val="00C74935"/>
    <w:rsid w:val="00C83C46"/>
    <w:rsid w:val="00CB5915"/>
    <w:rsid w:val="00CD7492"/>
    <w:rsid w:val="00CE1EBA"/>
    <w:rsid w:val="00CE3A6B"/>
    <w:rsid w:val="00CF7FE6"/>
    <w:rsid w:val="00D00211"/>
    <w:rsid w:val="00D03FC6"/>
    <w:rsid w:val="00D06309"/>
    <w:rsid w:val="00D24E4B"/>
    <w:rsid w:val="00D351EA"/>
    <w:rsid w:val="00D43403"/>
    <w:rsid w:val="00D62E71"/>
    <w:rsid w:val="00D740CA"/>
    <w:rsid w:val="00D762F2"/>
    <w:rsid w:val="00D85728"/>
    <w:rsid w:val="00DA2080"/>
    <w:rsid w:val="00DA7616"/>
    <w:rsid w:val="00DF2997"/>
    <w:rsid w:val="00E20ED2"/>
    <w:rsid w:val="00E529FA"/>
    <w:rsid w:val="00E6410D"/>
    <w:rsid w:val="00E80E17"/>
    <w:rsid w:val="00E8297E"/>
    <w:rsid w:val="00E93772"/>
    <w:rsid w:val="00EA2962"/>
    <w:rsid w:val="00EC1B37"/>
    <w:rsid w:val="00EC7BC3"/>
    <w:rsid w:val="00ED7600"/>
    <w:rsid w:val="00EE15DB"/>
    <w:rsid w:val="00EE7CB7"/>
    <w:rsid w:val="00EF236A"/>
    <w:rsid w:val="00F03CC9"/>
    <w:rsid w:val="00F1362C"/>
    <w:rsid w:val="00F3291A"/>
    <w:rsid w:val="00F34499"/>
    <w:rsid w:val="00F44843"/>
    <w:rsid w:val="00F45713"/>
    <w:rsid w:val="00F824F5"/>
    <w:rsid w:val="00F92A15"/>
    <w:rsid w:val="00FC29B9"/>
    <w:rsid w:val="00FC3EA3"/>
    <w:rsid w:val="00FC6FD3"/>
    <w:rsid w:val="00FC7B92"/>
    <w:rsid w:val="00FE12A5"/>
    <w:rsid w:val="00FE46F7"/>
    <w:rsid w:val="00FF2B96"/>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B021D"/>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0B021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04802357">
      <w:bodyDiv w:val="1"/>
      <w:marLeft w:val="0"/>
      <w:marRight w:val="0"/>
      <w:marTop w:val="0"/>
      <w:marBottom w:val="0"/>
      <w:divBdr>
        <w:top w:val="none" w:sz="0" w:space="0" w:color="auto"/>
        <w:left w:val="none" w:sz="0" w:space="0" w:color="auto"/>
        <w:bottom w:val="none" w:sz="0" w:space="0" w:color="auto"/>
        <w:right w:val="none" w:sz="0" w:space="0" w:color="auto"/>
      </w:divBdr>
      <w:divsChild>
        <w:div w:id="460151004">
          <w:marLeft w:val="360"/>
          <w:marRight w:val="0"/>
          <w:marTop w:val="200"/>
          <w:marBottom w:val="0"/>
          <w:divBdr>
            <w:top w:val="none" w:sz="0" w:space="0" w:color="auto"/>
            <w:left w:val="none" w:sz="0" w:space="0" w:color="auto"/>
            <w:bottom w:val="none" w:sz="0" w:space="0" w:color="auto"/>
            <w:right w:val="none" w:sz="0" w:space="0" w:color="auto"/>
          </w:divBdr>
        </w:div>
        <w:div w:id="413672972">
          <w:marLeft w:val="360"/>
          <w:marRight w:val="0"/>
          <w:marTop w:val="200"/>
          <w:marBottom w:val="0"/>
          <w:divBdr>
            <w:top w:val="none" w:sz="0" w:space="0" w:color="auto"/>
            <w:left w:val="none" w:sz="0" w:space="0" w:color="auto"/>
            <w:bottom w:val="none" w:sz="0" w:space="0" w:color="auto"/>
            <w:right w:val="none" w:sz="0" w:space="0" w:color="auto"/>
          </w:divBdr>
        </w:div>
        <w:div w:id="1716389787">
          <w:marLeft w:val="1080"/>
          <w:marRight w:val="0"/>
          <w:marTop w:val="100"/>
          <w:marBottom w:val="0"/>
          <w:divBdr>
            <w:top w:val="none" w:sz="0" w:space="0" w:color="auto"/>
            <w:left w:val="none" w:sz="0" w:space="0" w:color="auto"/>
            <w:bottom w:val="none" w:sz="0" w:space="0" w:color="auto"/>
            <w:right w:val="none" w:sz="0" w:space="0" w:color="auto"/>
          </w:divBdr>
        </w:div>
        <w:div w:id="880364685">
          <w:marLeft w:val="1800"/>
          <w:marRight w:val="0"/>
          <w:marTop w:val="100"/>
          <w:marBottom w:val="0"/>
          <w:divBdr>
            <w:top w:val="none" w:sz="0" w:space="0" w:color="auto"/>
            <w:left w:val="none" w:sz="0" w:space="0" w:color="auto"/>
            <w:bottom w:val="none" w:sz="0" w:space="0" w:color="auto"/>
            <w:right w:val="none" w:sz="0" w:space="0" w:color="auto"/>
          </w:divBdr>
        </w:div>
        <w:div w:id="264776416">
          <w:marLeft w:val="1080"/>
          <w:marRight w:val="0"/>
          <w:marTop w:val="100"/>
          <w:marBottom w:val="0"/>
          <w:divBdr>
            <w:top w:val="none" w:sz="0" w:space="0" w:color="auto"/>
            <w:left w:val="none" w:sz="0" w:space="0" w:color="auto"/>
            <w:bottom w:val="none" w:sz="0" w:space="0" w:color="auto"/>
            <w:right w:val="none" w:sz="0" w:space="0" w:color="auto"/>
          </w:divBdr>
        </w:div>
        <w:div w:id="1435518636">
          <w:marLeft w:val="1800"/>
          <w:marRight w:val="0"/>
          <w:marTop w:val="100"/>
          <w:marBottom w:val="0"/>
          <w:divBdr>
            <w:top w:val="none" w:sz="0" w:space="0" w:color="auto"/>
            <w:left w:val="none" w:sz="0" w:space="0" w:color="auto"/>
            <w:bottom w:val="none" w:sz="0" w:space="0" w:color="auto"/>
            <w:right w:val="none" w:sz="0" w:space="0" w:color="auto"/>
          </w:divBdr>
        </w:div>
        <w:div w:id="1992175241">
          <w:marLeft w:val="1080"/>
          <w:marRight w:val="0"/>
          <w:marTop w:val="100"/>
          <w:marBottom w:val="0"/>
          <w:divBdr>
            <w:top w:val="none" w:sz="0" w:space="0" w:color="auto"/>
            <w:left w:val="none" w:sz="0" w:space="0" w:color="auto"/>
            <w:bottom w:val="none" w:sz="0" w:space="0" w:color="auto"/>
            <w:right w:val="none" w:sz="0" w:space="0" w:color="auto"/>
          </w:divBdr>
        </w:div>
        <w:div w:id="1096512471">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F41E0-C5C8-4477-B6EC-059BD9368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4</Pages>
  <Words>1806</Words>
  <Characters>10298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35</cp:revision>
  <dcterms:created xsi:type="dcterms:W3CDTF">2018-05-01T11:51:00Z</dcterms:created>
  <dcterms:modified xsi:type="dcterms:W3CDTF">2018-05-12T03:47:00Z</dcterms:modified>
</cp:coreProperties>
</file>