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5B6EDB" w:rsidRPr="005B6EDB">
        <w:rPr>
          <w:rFonts w:ascii="Arial" w:eastAsia="宋体" w:hAnsi="Arial" w:cs="Times New Roman"/>
          <w:b/>
          <w:bCs/>
          <w:sz w:val="24"/>
          <w:szCs w:val="20"/>
          <w:lang w:val="en-GB" w:eastAsia="ja-JP"/>
        </w:rPr>
        <w:t>R4-1806636</w:t>
      </w:r>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A6422">
        <w:rPr>
          <w:rFonts w:ascii="Arial" w:eastAsia="Calibri" w:hAnsi="Arial" w:cs="Arial"/>
          <w:b/>
          <w:bCs/>
          <w:sz w:val="24"/>
          <w:lang w:val="en-GB"/>
        </w:rPr>
        <w:t>Remaining issues for collision among MG, SMTC and RLM-RS</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60DC2">
        <w:rPr>
          <w:rFonts w:ascii="Arial" w:eastAsia="MS Mincho" w:hAnsi="Arial" w:cs="Arial"/>
          <w:b/>
          <w:bCs/>
          <w:sz w:val="24"/>
          <w:szCs w:val="20"/>
          <w:lang w:val="en-GB"/>
        </w:rPr>
        <w:t>7.10.3.</w:t>
      </w:r>
      <w:r w:rsidR="007A6422">
        <w:rPr>
          <w:rFonts w:ascii="Arial" w:eastAsia="MS Mincho" w:hAnsi="Arial" w:cs="Arial"/>
          <w:b/>
          <w:bCs/>
          <w:sz w:val="24"/>
          <w:szCs w:val="20"/>
          <w:lang w:val="en-GB"/>
        </w:rPr>
        <w:t>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764BB" w:rsidRDefault="007A6422" w:rsidP="00C74935">
      <w:pPr>
        <w:ind w:right="-23"/>
        <w:rPr>
          <w:rFonts w:eastAsia="Calibri" w:cs="Times New Roman"/>
          <w:szCs w:val="20"/>
        </w:rPr>
      </w:pPr>
      <w:r>
        <w:rPr>
          <w:rFonts w:eastAsia="Calibri" w:cs="Times New Roman"/>
          <w:szCs w:val="20"/>
        </w:rPr>
        <w:t>RAN4 is discussing the UE behavior for different cases of collision among MG, SMTC and RLM-RS</w:t>
      </w:r>
      <w:bookmarkStart w:id="3" w:name="_Hlk513205245"/>
      <w:r>
        <w:rPr>
          <w:rFonts w:eastAsia="Calibri" w:cs="Times New Roman"/>
          <w:szCs w:val="20"/>
        </w:rPr>
        <w:t xml:space="preserve">, and the corresponding UE measurement requirements. In RAN4#86bis, WF </w:t>
      </w:r>
      <w:r>
        <w:rPr>
          <w:rFonts w:eastAsia="Calibri" w:cs="Times New Roman"/>
          <w:szCs w:val="20"/>
        </w:rPr>
        <w:fldChar w:fldCharType="begin"/>
      </w:r>
      <w:r>
        <w:rPr>
          <w:rFonts w:eastAsia="Calibri" w:cs="Times New Roman"/>
          <w:szCs w:val="20"/>
        </w:rPr>
        <w:instrText xml:space="preserve"> REF _Ref513710934 \r \h </w:instrText>
      </w:r>
      <w:r>
        <w:rPr>
          <w:rFonts w:eastAsia="Calibri" w:cs="Times New Roman"/>
          <w:szCs w:val="20"/>
        </w:rPr>
      </w:r>
      <w:r>
        <w:rPr>
          <w:rFonts w:eastAsia="Calibri" w:cs="Times New Roman"/>
          <w:szCs w:val="20"/>
        </w:rPr>
        <w:fldChar w:fldCharType="separate"/>
      </w:r>
      <w:r>
        <w:rPr>
          <w:rFonts w:eastAsia="Calibri" w:cs="Times New Roman"/>
          <w:szCs w:val="20"/>
        </w:rPr>
        <w:t>[1]</w:t>
      </w:r>
      <w:r>
        <w:rPr>
          <w:rFonts w:eastAsia="Calibri" w:cs="Times New Roman"/>
          <w:szCs w:val="20"/>
        </w:rPr>
        <w:fldChar w:fldCharType="end"/>
      </w:r>
      <w:r>
        <w:rPr>
          <w:rFonts w:eastAsia="Calibri" w:cs="Times New Roman"/>
          <w:szCs w:val="20"/>
        </w:rPr>
        <w:t xml:space="preserve"> is agreed and the UE behavior for most of the cases are defined. </w:t>
      </w:r>
      <w:r w:rsidR="007F6B81">
        <w:rPr>
          <w:rFonts w:eastAsia="Calibri" w:cs="Times New Roman"/>
          <w:szCs w:val="20"/>
        </w:rPr>
        <w:t>However, there are still some remaining open issues.</w:t>
      </w:r>
    </w:p>
    <w:p w:rsidR="00126990" w:rsidRPr="00126990" w:rsidRDefault="00C203DD" w:rsidP="00C74935">
      <w:pPr>
        <w:ind w:right="-23"/>
        <w:rPr>
          <w:rFonts w:eastAsia="Calibri" w:cs="Times New Roman"/>
          <w:szCs w:val="20"/>
        </w:rPr>
      </w:pPr>
      <w:bookmarkStart w:id="4" w:name="_Hlk513205847"/>
      <w:bookmarkEnd w:id="3"/>
      <w:r>
        <w:rPr>
          <w:rFonts w:eastAsia="Calibri" w:cs="Times New Roman"/>
          <w:szCs w:val="20"/>
        </w:rPr>
        <w:t xml:space="preserve">In this paper, we will provide our views on </w:t>
      </w:r>
      <w:r w:rsidR="007F6B81">
        <w:rPr>
          <w:rFonts w:eastAsia="Calibri" w:cs="Times New Roman"/>
          <w:szCs w:val="20"/>
        </w:rPr>
        <w:t>the r</w:t>
      </w:r>
      <w:r w:rsidR="007F6B81" w:rsidRPr="007F6B81">
        <w:rPr>
          <w:rFonts w:eastAsia="Calibri" w:cs="Times New Roman"/>
          <w:szCs w:val="20"/>
        </w:rPr>
        <w:t>emaining issues for collision among MG, SMTC and RLM-RS</w:t>
      </w:r>
      <w:r>
        <w:rPr>
          <w:rFonts w:eastAsia="Calibri" w:cs="Times New Roman"/>
          <w:szCs w:val="20"/>
        </w:rPr>
        <w:t xml:space="preserve">. </w:t>
      </w:r>
    </w:p>
    <w:bookmarkEnd w:id="4"/>
    <w:p w:rsidR="003B659E" w:rsidRDefault="003B659E" w:rsidP="00AE56B1">
      <w:pPr>
        <w:pStyle w:val="RAN4H1"/>
      </w:pPr>
      <w:r w:rsidRPr="00AE56B1">
        <w:t>Discussion</w:t>
      </w:r>
    </w:p>
    <w:p w:rsidR="007F6B81" w:rsidRPr="007F6B81" w:rsidRDefault="007F6B81" w:rsidP="007F6B81">
      <w:pPr>
        <w:ind w:right="-23"/>
        <w:rPr>
          <w:rFonts w:eastAsia="Calibri" w:cs="Times New Roman"/>
          <w:szCs w:val="20"/>
        </w:rPr>
      </w:pPr>
      <w:r w:rsidRPr="007F6B81">
        <w:rPr>
          <w:rFonts w:eastAsia="Calibri" w:cs="Times New Roman"/>
          <w:szCs w:val="20"/>
        </w:rPr>
        <w:t xml:space="preserve">The agreements for RLM are as follows. </w:t>
      </w:r>
    </w:p>
    <w:tbl>
      <w:tblPr>
        <w:tblStyle w:val="TableGrid1"/>
        <w:tblW w:w="0" w:type="auto"/>
        <w:tblLook w:val="04A0" w:firstRow="1" w:lastRow="0" w:firstColumn="1" w:lastColumn="0" w:noHBand="0" w:noVBand="1"/>
      </w:tblPr>
      <w:tblGrid>
        <w:gridCol w:w="9617"/>
      </w:tblGrid>
      <w:tr w:rsidR="007F6B81" w:rsidRPr="007F6B81" w:rsidTr="009B497A">
        <w:tc>
          <w:tcPr>
            <w:tcW w:w="9617" w:type="dxa"/>
            <w:shd w:val="clear" w:color="auto" w:fill="auto"/>
          </w:tcPr>
          <w:p w:rsidR="007F6B81" w:rsidRPr="007F6B81" w:rsidRDefault="007F6B81" w:rsidP="007F6B81">
            <w:pPr>
              <w:numPr>
                <w:ilvl w:val="0"/>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Scenario 1c (Full overlap between MG and RLM) is not specified according to agreement in RAN4 #86.</w:t>
            </w:r>
          </w:p>
          <w:p w:rsidR="007F6B81" w:rsidRPr="007F6B81" w:rsidRDefault="007F6B81" w:rsidP="007F6B81">
            <w:pPr>
              <w:numPr>
                <w:ilvl w:val="0"/>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For FR1,</w:t>
            </w:r>
          </w:p>
          <w:p w:rsidR="007F6B81" w:rsidRPr="007F6B81" w:rsidRDefault="007F6B81" w:rsidP="007F6B81">
            <w:pPr>
              <w:numPr>
                <w:ilvl w:val="1"/>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Scenario 2c/3c (Partial overlap/full non-overlap between MG and RLM)</w:t>
            </w:r>
          </w:p>
          <w:p w:rsidR="007F6B81" w:rsidRPr="007F6B81" w:rsidRDefault="007F6B81" w:rsidP="007F6B81">
            <w:pPr>
              <w:numPr>
                <w:ilvl w:val="2"/>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All MGs are used for RRM measurements.</w:t>
            </w:r>
          </w:p>
          <w:p w:rsidR="007F6B81" w:rsidRPr="007F6B81" w:rsidRDefault="007F6B81" w:rsidP="007F6B81">
            <w:pPr>
              <w:numPr>
                <w:ilvl w:val="2"/>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RLM requirements should be specified irrespective of SMTC occasion.</w:t>
            </w:r>
          </w:p>
          <w:p w:rsidR="007F6B81" w:rsidRPr="007F6B81" w:rsidRDefault="007F6B81" w:rsidP="007F6B81">
            <w:pPr>
              <w:numPr>
                <w:ilvl w:val="2"/>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RLM requirements only consider all the RLM-RS which is not overlapped with MG.</w:t>
            </w:r>
          </w:p>
          <w:p w:rsidR="007F6B81" w:rsidRPr="007F6B81" w:rsidRDefault="007F6B81" w:rsidP="007F6B81">
            <w:pPr>
              <w:numPr>
                <w:ilvl w:val="0"/>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For FR2,</w:t>
            </w:r>
          </w:p>
          <w:p w:rsidR="007F6B81" w:rsidRPr="007F6B81" w:rsidRDefault="007F6B81" w:rsidP="007F6B81">
            <w:pPr>
              <w:numPr>
                <w:ilvl w:val="1"/>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Scenario 2c/3c (Partial overlap/full non-overlap between MG and RLM)</w:t>
            </w:r>
          </w:p>
          <w:p w:rsidR="007F6B81" w:rsidRPr="007F6B81" w:rsidRDefault="007F6B81" w:rsidP="007F6B81">
            <w:pPr>
              <w:numPr>
                <w:ilvl w:val="2"/>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All MGs are used for RRM measurements.</w:t>
            </w:r>
          </w:p>
          <w:p w:rsidR="007F6B81" w:rsidRPr="007F6B81" w:rsidRDefault="007F6B81" w:rsidP="007F6B81">
            <w:pPr>
              <w:numPr>
                <w:ilvl w:val="2"/>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Partial overlap between SMTC and RLM-RS outside of MG</w:t>
            </w:r>
          </w:p>
          <w:p w:rsidR="007F6B81" w:rsidRPr="007F6B81" w:rsidRDefault="007F6B81" w:rsidP="007F6B81">
            <w:pPr>
              <w:numPr>
                <w:ilvl w:val="3"/>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lang w:eastAsia="zh-CN"/>
              </w:rPr>
              <w:t>RLM requirements only consider all the RLM-RS which is not overlapped with SMTC window.</w:t>
            </w:r>
          </w:p>
          <w:p w:rsidR="007F6B81" w:rsidRPr="007F6B81" w:rsidRDefault="007F6B81" w:rsidP="007F6B81">
            <w:pPr>
              <w:numPr>
                <w:ilvl w:val="2"/>
                <w:numId w:val="25"/>
              </w:numPr>
              <w:spacing w:before="0" w:after="60" w:line="259" w:lineRule="auto"/>
              <w:ind w:hanging="357"/>
              <w:rPr>
                <w:rFonts w:eastAsia="宋体" w:cs="Times New Roman"/>
                <w:color w:val="000000"/>
                <w:sz w:val="18"/>
                <w:szCs w:val="18"/>
                <w:highlight w:val="yellow"/>
                <w:lang w:eastAsia="zh-CN"/>
              </w:rPr>
            </w:pPr>
            <w:r w:rsidRPr="007F6B81">
              <w:rPr>
                <w:rFonts w:eastAsia="宋体" w:cs="Times New Roman"/>
                <w:color w:val="000000"/>
                <w:sz w:val="18"/>
                <w:szCs w:val="18"/>
                <w:highlight w:val="yellow"/>
                <w:lang w:eastAsia="zh-CN"/>
              </w:rPr>
              <w:t xml:space="preserve">Full overlap between SMTC and RLM-RS outside of MG </w:t>
            </w:r>
          </w:p>
          <w:p w:rsidR="007F6B81" w:rsidRPr="007F6B81" w:rsidRDefault="007F6B81" w:rsidP="007F6B81">
            <w:pPr>
              <w:numPr>
                <w:ilvl w:val="3"/>
                <w:numId w:val="25"/>
              </w:numPr>
              <w:spacing w:before="0" w:after="60" w:line="259" w:lineRule="auto"/>
              <w:ind w:hanging="357"/>
              <w:rPr>
                <w:rFonts w:eastAsia="宋体" w:cs="Times New Roman"/>
                <w:color w:val="000000"/>
                <w:sz w:val="18"/>
                <w:szCs w:val="18"/>
                <w:highlight w:val="yellow"/>
                <w:lang w:eastAsia="zh-CN"/>
              </w:rPr>
            </w:pPr>
            <w:r w:rsidRPr="007F6B81">
              <w:rPr>
                <w:rFonts w:eastAsia="宋体" w:cs="Times New Roman"/>
                <w:color w:val="000000"/>
                <w:sz w:val="18"/>
                <w:szCs w:val="18"/>
                <w:highlight w:val="yellow"/>
                <w:lang w:eastAsia="zh-CN"/>
              </w:rPr>
              <w:t>RLM requirements consider SSB timing sharing between RLM and intra-freq measurement.</w:t>
            </w:r>
          </w:p>
          <w:p w:rsidR="007F6B81" w:rsidRPr="007F6B81" w:rsidRDefault="007F6B81" w:rsidP="007F6B81">
            <w:pPr>
              <w:numPr>
                <w:ilvl w:val="4"/>
                <w:numId w:val="25"/>
              </w:numPr>
              <w:spacing w:before="0" w:after="60" w:line="259" w:lineRule="auto"/>
              <w:ind w:hanging="357"/>
              <w:rPr>
                <w:rFonts w:eastAsia="宋体" w:cs="Times New Roman"/>
                <w:color w:val="000000"/>
                <w:sz w:val="18"/>
                <w:szCs w:val="18"/>
                <w:highlight w:val="yellow"/>
                <w:lang w:eastAsia="zh-CN"/>
              </w:rPr>
            </w:pPr>
            <w:r w:rsidRPr="007F6B81">
              <w:rPr>
                <w:rFonts w:eastAsia="宋体" w:cs="Times New Roman"/>
                <w:color w:val="000000"/>
                <w:sz w:val="18"/>
                <w:szCs w:val="18"/>
                <w:highlight w:val="yellow"/>
                <w:lang w:eastAsia="zh-CN"/>
              </w:rPr>
              <w:t>Certain ratio between RLM and intra-freq measurement within available SSB timings should be specified in TS 38.133.</w:t>
            </w:r>
          </w:p>
          <w:p w:rsidR="007F6B81" w:rsidRPr="007F6B81" w:rsidRDefault="007F6B81" w:rsidP="007F6B81">
            <w:pPr>
              <w:numPr>
                <w:ilvl w:val="5"/>
                <w:numId w:val="25"/>
              </w:numPr>
              <w:spacing w:before="0" w:after="60" w:line="259" w:lineRule="auto"/>
              <w:ind w:hanging="357"/>
              <w:rPr>
                <w:rFonts w:eastAsia="宋体" w:cs="Times New Roman"/>
                <w:color w:val="000000"/>
                <w:sz w:val="18"/>
                <w:szCs w:val="18"/>
                <w:lang w:eastAsia="zh-CN"/>
              </w:rPr>
            </w:pPr>
            <w:r w:rsidRPr="007F6B81">
              <w:rPr>
                <w:rFonts w:eastAsia="宋体" w:cs="Times New Roman"/>
                <w:color w:val="000000"/>
                <w:sz w:val="18"/>
                <w:szCs w:val="18"/>
                <w:highlight w:val="yellow"/>
                <w:lang w:eastAsia="zh-CN"/>
              </w:rPr>
              <w:t>Value of sharing ratio is TBD.</w:t>
            </w:r>
          </w:p>
        </w:tc>
      </w:tr>
    </w:tbl>
    <w:p w:rsidR="009830D1" w:rsidRDefault="009830D1" w:rsidP="00C74935">
      <w:pPr>
        <w:ind w:right="-23"/>
        <w:rPr>
          <w:rFonts w:eastAsia="Calibri" w:cs="Times New Roman"/>
          <w:szCs w:val="20"/>
        </w:rPr>
      </w:pPr>
      <w:bookmarkStart w:id="5" w:name="_Hlk513658267"/>
      <w:r w:rsidRPr="009830D1">
        <w:rPr>
          <w:rFonts w:eastAsia="Calibri" w:cs="Times New Roman"/>
          <w:szCs w:val="20"/>
        </w:rPr>
        <w:t>The remaining open issue is the time sharing between RLM and intra-frequency measurement in FR2 when SMTC and RLM-RS are fully overlapping, as highlighted. As the issue is not related with MG, we will address it in our companion paper for RLM</w:t>
      </w:r>
      <w:r w:rsidR="00DC5CF4">
        <w:rPr>
          <w:rFonts w:eastAsia="Calibri" w:cs="Times New Roman"/>
          <w:szCs w:val="20"/>
        </w:rPr>
        <w:t xml:space="preserve"> </w:t>
      </w:r>
      <w:r w:rsidR="00DC5CF4">
        <w:rPr>
          <w:rFonts w:eastAsia="Calibri" w:cs="Times New Roman"/>
          <w:szCs w:val="20"/>
        </w:rPr>
        <w:fldChar w:fldCharType="begin"/>
      </w:r>
      <w:r w:rsidR="00DC5CF4">
        <w:rPr>
          <w:rFonts w:eastAsia="Calibri" w:cs="Times New Roman"/>
          <w:szCs w:val="20"/>
        </w:rPr>
        <w:instrText xml:space="preserve"> REF _Ref513725327 \r \h </w:instrText>
      </w:r>
      <w:r w:rsidR="00DC5CF4">
        <w:rPr>
          <w:rFonts w:eastAsia="Calibri" w:cs="Times New Roman"/>
          <w:szCs w:val="20"/>
        </w:rPr>
      </w:r>
      <w:r w:rsidR="00DC5CF4">
        <w:rPr>
          <w:rFonts w:eastAsia="Calibri" w:cs="Times New Roman"/>
          <w:szCs w:val="20"/>
        </w:rPr>
        <w:fldChar w:fldCharType="separate"/>
      </w:r>
      <w:r w:rsidR="00DC5CF4">
        <w:rPr>
          <w:rFonts w:eastAsia="Calibri" w:cs="Times New Roman"/>
          <w:szCs w:val="20"/>
        </w:rPr>
        <w:t>[2]</w:t>
      </w:r>
      <w:r w:rsidR="00DC5CF4">
        <w:rPr>
          <w:rFonts w:eastAsia="Calibri" w:cs="Times New Roman"/>
          <w:szCs w:val="20"/>
        </w:rPr>
        <w:fldChar w:fldCharType="end"/>
      </w:r>
      <w:r w:rsidRPr="009830D1">
        <w:rPr>
          <w:rFonts w:eastAsia="Calibri" w:cs="Times New Roman"/>
          <w:szCs w:val="20"/>
        </w:rPr>
        <w:t>.</w:t>
      </w:r>
    </w:p>
    <w:p w:rsidR="00EE15DB" w:rsidRDefault="00EE15DB" w:rsidP="00C74935">
      <w:pPr>
        <w:ind w:right="-23"/>
        <w:rPr>
          <w:rFonts w:eastAsia="Calibri" w:cs="Times New Roman"/>
          <w:szCs w:val="20"/>
        </w:rPr>
      </w:pPr>
      <w:r>
        <w:rPr>
          <w:rFonts w:eastAsia="Calibri" w:cs="Times New Roman"/>
          <w:szCs w:val="20"/>
        </w:rPr>
        <w:t xml:space="preserve">The agreements for type A/B measurements are as follows. </w:t>
      </w:r>
    </w:p>
    <w:tbl>
      <w:tblPr>
        <w:tblStyle w:val="TableGrid"/>
        <w:tblW w:w="0" w:type="auto"/>
        <w:tblLook w:val="04A0" w:firstRow="1" w:lastRow="0" w:firstColumn="1" w:lastColumn="0" w:noHBand="0" w:noVBand="1"/>
      </w:tblPr>
      <w:tblGrid>
        <w:gridCol w:w="9617"/>
      </w:tblGrid>
      <w:tr w:rsidR="00EE15DB" w:rsidTr="00EE15DB">
        <w:tc>
          <w:tcPr>
            <w:tcW w:w="9617" w:type="dxa"/>
          </w:tcPr>
          <w:p w:rsidR="00031FA5" w:rsidRPr="00EE15DB" w:rsidRDefault="00FE12A5" w:rsidP="00EE15DB">
            <w:pPr>
              <w:numPr>
                <w:ilvl w:val="0"/>
                <w:numId w:val="26"/>
              </w:numPr>
              <w:spacing w:before="0" w:after="60"/>
              <w:ind w:right="-23" w:hanging="357"/>
              <w:rPr>
                <w:rFonts w:eastAsia="Calibri" w:cs="Times New Roman"/>
                <w:sz w:val="18"/>
                <w:szCs w:val="18"/>
              </w:rPr>
            </w:pPr>
            <w:r w:rsidRPr="00EE15DB">
              <w:rPr>
                <w:rFonts w:eastAsia="Calibri" w:cs="Times New Roman"/>
                <w:sz w:val="18"/>
                <w:szCs w:val="18"/>
              </w:rPr>
              <w:t>For FR1,</w:t>
            </w:r>
          </w:p>
          <w:p w:rsidR="00031FA5" w:rsidRPr="00EE15DB" w:rsidRDefault="00FE12A5" w:rsidP="00EE15DB">
            <w:pPr>
              <w:numPr>
                <w:ilvl w:val="1"/>
                <w:numId w:val="26"/>
              </w:numPr>
              <w:spacing w:before="0" w:after="60"/>
              <w:ind w:right="-23" w:hanging="357"/>
              <w:rPr>
                <w:rFonts w:eastAsia="Calibri" w:cs="Times New Roman"/>
                <w:sz w:val="18"/>
                <w:szCs w:val="18"/>
              </w:rPr>
            </w:pPr>
            <w:r w:rsidRPr="00EE15DB">
              <w:rPr>
                <w:rFonts w:eastAsia="Calibri" w:cs="Times New Roman"/>
                <w:sz w:val="18"/>
                <w:szCs w:val="18"/>
              </w:rPr>
              <w:t>Scenario 1a/1b (Full overlap between MG and SMTC in type A/B)</w:t>
            </w:r>
          </w:p>
          <w:p w:rsidR="00031FA5" w:rsidRPr="00EE15DB" w:rsidRDefault="00FE12A5" w:rsidP="00EE15DB">
            <w:pPr>
              <w:numPr>
                <w:ilvl w:val="2"/>
                <w:numId w:val="26"/>
              </w:numPr>
              <w:spacing w:before="0" w:after="60"/>
              <w:ind w:right="-23" w:hanging="357"/>
              <w:rPr>
                <w:rFonts w:eastAsia="Calibri" w:cs="Times New Roman"/>
                <w:sz w:val="18"/>
                <w:szCs w:val="18"/>
              </w:rPr>
            </w:pPr>
            <w:r w:rsidRPr="00EE15DB">
              <w:rPr>
                <w:rFonts w:eastAsia="Calibri" w:cs="Times New Roman"/>
                <w:sz w:val="18"/>
                <w:szCs w:val="18"/>
              </w:rPr>
              <w:t>UE requirement should be specified for 1a/1b.</w:t>
            </w:r>
          </w:p>
          <w:p w:rsidR="00031FA5" w:rsidRPr="00EE15DB" w:rsidRDefault="00FE12A5" w:rsidP="00EE15DB">
            <w:pPr>
              <w:numPr>
                <w:ilvl w:val="3"/>
                <w:numId w:val="26"/>
              </w:numPr>
              <w:spacing w:before="0" w:after="60"/>
              <w:ind w:right="-23" w:hanging="357"/>
              <w:rPr>
                <w:rFonts w:eastAsia="Calibri" w:cs="Times New Roman"/>
                <w:sz w:val="18"/>
                <w:szCs w:val="18"/>
              </w:rPr>
            </w:pPr>
            <w:r w:rsidRPr="00EE15DB">
              <w:rPr>
                <w:rFonts w:eastAsia="Calibri" w:cs="Times New Roman"/>
                <w:sz w:val="18"/>
                <w:szCs w:val="18"/>
              </w:rPr>
              <w:t xml:space="preserve">The exact gap sharing between type A/B/C, type D is TBD. </w:t>
            </w:r>
          </w:p>
          <w:p w:rsidR="00031FA5" w:rsidRPr="00EE15DB" w:rsidRDefault="00FE12A5" w:rsidP="00EE15DB">
            <w:pPr>
              <w:numPr>
                <w:ilvl w:val="1"/>
                <w:numId w:val="26"/>
              </w:numPr>
              <w:spacing w:before="0" w:after="60"/>
              <w:ind w:right="-23" w:hanging="357"/>
              <w:rPr>
                <w:rFonts w:eastAsia="Calibri" w:cs="Times New Roman"/>
                <w:sz w:val="18"/>
                <w:szCs w:val="18"/>
              </w:rPr>
            </w:pPr>
            <w:r w:rsidRPr="00EE15DB">
              <w:rPr>
                <w:rFonts w:eastAsia="Calibri" w:cs="Times New Roman"/>
                <w:sz w:val="18"/>
                <w:szCs w:val="18"/>
              </w:rPr>
              <w:t>Scenario 2a/2b (Partial overlap between MG and SMTC in type A/B)</w:t>
            </w:r>
          </w:p>
          <w:p w:rsidR="00031FA5" w:rsidRPr="00EE15DB" w:rsidRDefault="00FE12A5" w:rsidP="00EE15DB">
            <w:pPr>
              <w:numPr>
                <w:ilvl w:val="2"/>
                <w:numId w:val="26"/>
              </w:numPr>
              <w:spacing w:before="0" w:after="60"/>
              <w:ind w:right="-23" w:hanging="357"/>
              <w:rPr>
                <w:rFonts w:eastAsia="Calibri" w:cs="Times New Roman"/>
                <w:sz w:val="18"/>
                <w:szCs w:val="18"/>
              </w:rPr>
            </w:pPr>
            <w:r w:rsidRPr="00EE15DB">
              <w:rPr>
                <w:rFonts w:eastAsia="Calibri" w:cs="Times New Roman"/>
                <w:sz w:val="18"/>
                <w:szCs w:val="18"/>
              </w:rPr>
              <w:t>Type A/type B measurement should only be conducted outside the MG.</w:t>
            </w:r>
          </w:p>
          <w:p w:rsidR="00031FA5" w:rsidRPr="00EE15DB" w:rsidRDefault="00FE12A5" w:rsidP="00EE15DB">
            <w:pPr>
              <w:numPr>
                <w:ilvl w:val="2"/>
                <w:numId w:val="26"/>
              </w:numPr>
              <w:spacing w:before="0" w:after="60"/>
              <w:ind w:right="-23" w:hanging="357"/>
              <w:rPr>
                <w:rFonts w:eastAsia="Calibri" w:cs="Times New Roman"/>
                <w:sz w:val="18"/>
                <w:szCs w:val="18"/>
              </w:rPr>
            </w:pPr>
            <w:r w:rsidRPr="00EE15DB">
              <w:rPr>
                <w:rFonts w:eastAsia="Calibri" w:cs="Times New Roman"/>
                <w:sz w:val="18"/>
                <w:szCs w:val="18"/>
              </w:rPr>
              <w:lastRenderedPageBreak/>
              <w:t>All MGs are used for Type C/Type D measurements.</w:t>
            </w:r>
          </w:p>
          <w:p w:rsidR="00031FA5" w:rsidRPr="00EE15DB" w:rsidRDefault="00FE12A5" w:rsidP="00EE15DB">
            <w:pPr>
              <w:numPr>
                <w:ilvl w:val="1"/>
                <w:numId w:val="26"/>
              </w:numPr>
              <w:spacing w:before="0" w:after="60"/>
              <w:ind w:right="-23" w:hanging="357"/>
              <w:rPr>
                <w:rFonts w:eastAsia="Calibri" w:cs="Times New Roman"/>
                <w:sz w:val="18"/>
                <w:szCs w:val="18"/>
              </w:rPr>
            </w:pPr>
            <w:r w:rsidRPr="00EE15DB">
              <w:rPr>
                <w:rFonts w:eastAsia="Calibri" w:cs="Times New Roman"/>
                <w:sz w:val="18"/>
                <w:szCs w:val="18"/>
              </w:rPr>
              <w:t>Scenario 3a/3b (Full non-overlap between MG and SMTC in type A/B)</w:t>
            </w:r>
          </w:p>
          <w:p w:rsidR="00031FA5" w:rsidRPr="00EE15DB" w:rsidRDefault="00FE12A5" w:rsidP="00EE15DB">
            <w:pPr>
              <w:numPr>
                <w:ilvl w:val="2"/>
                <w:numId w:val="26"/>
              </w:numPr>
              <w:spacing w:before="0" w:after="60"/>
              <w:ind w:right="-23" w:hanging="357"/>
              <w:rPr>
                <w:rFonts w:eastAsia="Calibri" w:cs="Times New Roman"/>
                <w:sz w:val="18"/>
                <w:szCs w:val="18"/>
              </w:rPr>
            </w:pPr>
            <w:r w:rsidRPr="00EE15DB">
              <w:rPr>
                <w:rFonts w:eastAsia="Calibri" w:cs="Times New Roman"/>
                <w:sz w:val="18"/>
                <w:szCs w:val="18"/>
              </w:rPr>
              <w:t>Requirements on type A/B measurement are specified without considering MG.</w:t>
            </w:r>
          </w:p>
          <w:p w:rsidR="00031FA5" w:rsidRPr="00EE15DB" w:rsidRDefault="00FE12A5" w:rsidP="00EE15DB">
            <w:pPr>
              <w:numPr>
                <w:ilvl w:val="0"/>
                <w:numId w:val="26"/>
              </w:numPr>
              <w:spacing w:before="0" w:after="60"/>
              <w:ind w:right="-23" w:hanging="357"/>
              <w:rPr>
                <w:rFonts w:eastAsia="Calibri" w:cs="Times New Roman"/>
                <w:sz w:val="18"/>
                <w:szCs w:val="18"/>
              </w:rPr>
            </w:pPr>
            <w:r w:rsidRPr="00EE15DB">
              <w:rPr>
                <w:rFonts w:eastAsia="Calibri" w:cs="Times New Roman"/>
                <w:sz w:val="18"/>
                <w:szCs w:val="18"/>
              </w:rPr>
              <w:t>For FR2,</w:t>
            </w:r>
          </w:p>
          <w:p w:rsidR="00031FA5" w:rsidRPr="00EE15DB" w:rsidRDefault="00FE12A5" w:rsidP="00EE15DB">
            <w:pPr>
              <w:numPr>
                <w:ilvl w:val="1"/>
                <w:numId w:val="26"/>
              </w:numPr>
              <w:spacing w:before="0" w:after="60"/>
              <w:ind w:right="-23" w:hanging="357"/>
              <w:rPr>
                <w:rFonts w:eastAsia="Calibri" w:cs="Times New Roman"/>
                <w:sz w:val="18"/>
                <w:szCs w:val="18"/>
              </w:rPr>
            </w:pPr>
            <w:r w:rsidRPr="00EE15DB">
              <w:rPr>
                <w:rFonts w:eastAsia="Calibri" w:cs="Times New Roman"/>
                <w:sz w:val="18"/>
                <w:szCs w:val="18"/>
              </w:rPr>
              <w:t>Scenario 1b (Full overlap between MG and SMTC in type B)</w:t>
            </w:r>
          </w:p>
          <w:p w:rsidR="00031FA5" w:rsidRPr="00EE15DB" w:rsidRDefault="00FE12A5" w:rsidP="00EE15DB">
            <w:pPr>
              <w:numPr>
                <w:ilvl w:val="2"/>
                <w:numId w:val="26"/>
              </w:numPr>
              <w:spacing w:before="0" w:after="60"/>
              <w:ind w:right="-23" w:hanging="357"/>
              <w:rPr>
                <w:rFonts w:eastAsia="Calibri" w:cs="Times New Roman"/>
                <w:sz w:val="18"/>
                <w:szCs w:val="18"/>
              </w:rPr>
            </w:pPr>
            <w:r w:rsidRPr="00EE15DB">
              <w:rPr>
                <w:rFonts w:eastAsia="Calibri" w:cs="Times New Roman"/>
                <w:sz w:val="18"/>
                <w:szCs w:val="18"/>
              </w:rPr>
              <w:t>UE requirement should be specified for 1b.</w:t>
            </w:r>
          </w:p>
          <w:p w:rsidR="00031FA5" w:rsidRPr="00EE15DB" w:rsidRDefault="00FE12A5" w:rsidP="00EE15DB">
            <w:pPr>
              <w:numPr>
                <w:ilvl w:val="3"/>
                <w:numId w:val="26"/>
              </w:numPr>
              <w:spacing w:before="0" w:after="60"/>
              <w:ind w:right="-23" w:hanging="357"/>
              <w:rPr>
                <w:rFonts w:eastAsia="Calibri" w:cs="Times New Roman"/>
                <w:sz w:val="18"/>
                <w:szCs w:val="18"/>
              </w:rPr>
            </w:pPr>
            <w:r w:rsidRPr="00EE15DB">
              <w:rPr>
                <w:rFonts w:eastAsia="Calibri" w:cs="Times New Roman"/>
                <w:sz w:val="18"/>
                <w:szCs w:val="18"/>
              </w:rPr>
              <w:t xml:space="preserve">The exact  gap sharing between type B/C, type D is TBD. </w:t>
            </w:r>
          </w:p>
          <w:p w:rsidR="00031FA5" w:rsidRPr="00EE15DB" w:rsidRDefault="00FE12A5" w:rsidP="00EE15DB">
            <w:pPr>
              <w:numPr>
                <w:ilvl w:val="1"/>
                <w:numId w:val="26"/>
              </w:numPr>
              <w:spacing w:before="0" w:after="60"/>
              <w:ind w:right="-23" w:hanging="357"/>
              <w:rPr>
                <w:rFonts w:eastAsia="Calibri" w:cs="Times New Roman"/>
                <w:sz w:val="18"/>
                <w:szCs w:val="18"/>
                <w:highlight w:val="yellow"/>
              </w:rPr>
            </w:pPr>
            <w:r w:rsidRPr="00EE15DB">
              <w:rPr>
                <w:rFonts w:eastAsia="Calibri" w:cs="Times New Roman"/>
                <w:sz w:val="18"/>
                <w:szCs w:val="18"/>
                <w:highlight w:val="yellow"/>
              </w:rPr>
              <w:t>Scenario 2b (Partial overlap between MG and SMTC in type B)</w:t>
            </w:r>
          </w:p>
          <w:p w:rsidR="00031FA5" w:rsidRPr="00EE15DB" w:rsidRDefault="00FE12A5" w:rsidP="00EE15DB">
            <w:pPr>
              <w:numPr>
                <w:ilvl w:val="2"/>
                <w:numId w:val="26"/>
              </w:numPr>
              <w:spacing w:before="0" w:after="60"/>
              <w:ind w:right="-23" w:hanging="357"/>
              <w:rPr>
                <w:rFonts w:eastAsia="Calibri" w:cs="Times New Roman"/>
                <w:sz w:val="18"/>
                <w:szCs w:val="18"/>
                <w:highlight w:val="yellow"/>
              </w:rPr>
            </w:pPr>
            <w:r w:rsidRPr="00EE15DB">
              <w:rPr>
                <w:rFonts w:eastAsia="Calibri" w:cs="Times New Roman"/>
                <w:sz w:val="18"/>
                <w:szCs w:val="18"/>
                <w:highlight w:val="yellow"/>
              </w:rPr>
              <w:t>UE behavior on SMTC overlapped with MG would be following options.</w:t>
            </w:r>
          </w:p>
          <w:p w:rsidR="00031FA5" w:rsidRPr="00EE15DB" w:rsidRDefault="00FE12A5" w:rsidP="00EE15DB">
            <w:pPr>
              <w:numPr>
                <w:ilvl w:val="3"/>
                <w:numId w:val="26"/>
              </w:numPr>
              <w:spacing w:before="0" w:after="60"/>
              <w:ind w:right="-23" w:hanging="357"/>
              <w:rPr>
                <w:rFonts w:eastAsia="Calibri" w:cs="Times New Roman"/>
                <w:sz w:val="18"/>
                <w:szCs w:val="18"/>
                <w:highlight w:val="yellow"/>
              </w:rPr>
            </w:pPr>
            <w:r w:rsidRPr="00EE15DB">
              <w:rPr>
                <w:rFonts w:eastAsia="Calibri" w:cs="Times New Roman"/>
                <w:sz w:val="18"/>
                <w:szCs w:val="18"/>
                <w:highlight w:val="yellow"/>
              </w:rPr>
              <w:t>Option 1-1 : Intra freq measurement could be conducted only outside of MG.</w:t>
            </w:r>
          </w:p>
          <w:p w:rsidR="00031FA5" w:rsidRPr="00EE15DB" w:rsidRDefault="00FE12A5" w:rsidP="00EE15DB">
            <w:pPr>
              <w:numPr>
                <w:ilvl w:val="3"/>
                <w:numId w:val="26"/>
              </w:numPr>
              <w:spacing w:before="0" w:after="60"/>
              <w:ind w:right="-23" w:hanging="357"/>
              <w:rPr>
                <w:rFonts w:eastAsia="Calibri" w:cs="Times New Roman"/>
                <w:sz w:val="18"/>
                <w:szCs w:val="18"/>
                <w:highlight w:val="yellow"/>
              </w:rPr>
            </w:pPr>
            <w:r w:rsidRPr="00EE15DB">
              <w:rPr>
                <w:rFonts w:eastAsia="Calibri" w:cs="Times New Roman"/>
                <w:sz w:val="18"/>
                <w:szCs w:val="18"/>
                <w:highlight w:val="yellow"/>
              </w:rPr>
              <w:t>Option 1-2 : Intra freq measurement could be conducted both inside and outside of MG.</w:t>
            </w:r>
          </w:p>
          <w:p w:rsidR="00031FA5" w:rsidRPr="00EE15DB" w:rsidRDefault="00FE12A5" w:rsidP="00EE15DB">
            <w:pPr>
              <w:numPr>
                <w:ilvl w:val="1"/>
                <w:numId w:val="26"/>
              </w:numPr>
              <w:spacing w:before="0" w:after="60"/>
              <w:ind w:right="-23" w:hanging="357"/>
              <w:rPr>
                <w:rFonts w:eastAsia="Calibri" w:cs="Times New Roman"/>
                <w:sz w:val="18"/>
                <w:szCs w:val="18"/>
              </w:rPr>
            </w:pPr>
            <w:r w:rsidRPr="00EE15DB">
              <w:rPr>
                <w:rFonts w:eastAsia="Calibri" w:cs="Times New Roman"/>
                <w:sz w:val="18"/>
                <w:szCs w:val="18"/>
              </w:rPr>
              <w:t>Scenario 3b (Full non-overlap between MG and SMTC in type B)</w:t>
            </w:r>
          </w:p>
          <w:p w:rsidR="00EE15DB" w:rsidRPr="00EE15DB" w:rsidRDefault="00FE12A5" w:rsidP="00EE15DB">
            <w:pPr>
              <w:numPr>
                <w:ilvl w:val="2"/>
                <w:numId w:val="26"/>
              </w:numPr>
              <w:spacing w:before="0" w:after="60"/>
              <w:ind w:right="-23" w:hanging="357"/>
              <w:rPr>
                <w:rFonts w:eastAsia="Calibri" w:cs="Times New Roman"/>
                <w:szCs w:val="20"/>
              </w:rPr>
            </w:pPr>
            <w:r w:rsidRPr="00EE15DB">
              <w:rPr>
                <w:rFonts w:eastAsia="Calibri" w:cs="Times New Roman"/>
                <w:sz w:val="18"/>
                <w:szCs w:val="18"/>
              </w:rPr>
              <w:t>Requirements on type B measurement are specified without considering MG.</w:t>
            </w:r>
            <w:r w:rsidRPr="00EE15DB">
              <w:rPr>
                <w:rFonts w:eastAsia="Calibri" w:cs="Times New Roman"/>
                <w:szCs w:val="20"/>
              </w:rPr>
              <w:t xml:space="preserve"> </w:t>
            </w:r>
          </w:p>
        </w:tc>
      </w:tr>
    </w:tbl>
    <w:bookmarkEnd w:id="5"/>
    <w:p w:rsidR="009830D1" w:rsidRDefault="009830D1" w:rsidP="00C74935">
      <w:pPr>
        <w:ind w:right="-23"/>
        <w:rPr>
          <w:rFonts w:eastAsia="Calibri" w:cs="Times New Roman"/>
          <w:szCs w:val="20"/>
        </w:rPr>
      </w:pPr>
      <w:r w:rsidRPr="009830D1">
        <w:rPr>
          <w:rFonts w:eastAsia="Calibri" w:cs="Times New Roman"/>
          <w:szCs w:val="20"/>
        </w:rPr>
        <w:lastRenderedPageBreak/>
        <w:t>The remaining open issue is the UE behavior for scenario 2b in FR2, which is the partial overlapping between SMTC and MG.</w:t>
      </w:r>
    </w:p>
    <w:p w:rsidR="00B16397" w:rsidRDefault="00B16397" w:rsidP="00C74935">
      <w:pPr>
        <w:ind w:right="-23"/>
        <w:rPr>
          <w:rFonts w:eastAsia="Calibri" w:cs="Times New Roman"/>
          <w:szCs w:val="20"/>
        </w:rPr>
      </w:pPr>
      <w:r>
        <w:rPr>
          <w:rFonts w:eastAsia="Calibri" w:cs="Times New Roman"/>
          <w:szCs w:val="20"/>
        </w:rPr>
        <w:t xml:space="preserve">For the same scenario 2a/2b in FR1, it is agreed that UE should only perform intra-frequency measurement in SMTC outside MG. In FR2 we do not have type A measurement thus scenario 2a does not exist. For scenario 2b we don’t see clear justification why measurement should be done both inside and outside MG, especially when there is agreement for FR1 that type B measurement is only performed in SMTC outside MG. </w:t>
      </w:r>
    </w:p>
    <w:p w:rsidR="004C1EB4" w:rsidRDefault="00B16397" w:rsidP="00C74935">
      <w:pPr>
        <w:ind w:right="-23"/>
        <w:rPr>
          <w:rFonts w:eastAsia="Calibri" w:cs="Times New Roman"/>
          <w:szCs w:val="20"/>
        </w:rPr>
      </w:pPr>
      <w:r>
        <w:rPr>
          <w:rFonts w:eastAsia="Calibri" w:cs="Times New Roman"/>
          <w:szCs w:val="20"/>
        </w:rPr>
        <w:t>We understand one potential difference than FR1 is that in FR2, if option 1-1 is followed and when SMTC is fully overlapping with RLM-RS, the intra-frequency measurement performance will be reduced due to time sharing with RLM. However, if option 1-2 is followed, it means intra-frequency measurement (type B) is sharing SMTC inside MG with type C/D measurement, and at the same time sharing the SMTC outside MG with RLM</w:t>
      </w:r>
      <w:r w:rsidR="00463825">
        <w:rPr>
          <w:rFonts w:eastAsia="Calibri" w:cs="Times New Roman"/>
          <w:szCs w:val="20"/>
        </w:rPr>
        <w:t xml:space="preserve">. The UE behavior and corresponding requirements would be quite complex. </w:t>
      </w:r>
      <w:r w:rsidR="009830D1">
        <w:rPr>
          <w:rFonts w:eastAsia="Calibri" w:cs="Times New Roman"/>
          <w:szCs w:val="20"/>
        </w:rPr>
        <w:t xml:space="preserve">Effectively, it is same as if network configures a larger MGRP. </w:t>
      </w:r>
    </w:p>
    <w:p w:rsidR="00D762F2" w:rsidRDefault="009830D1" w:rsidP="009830D1">
      <w:pPr>
        <w:pStyle w:val="RAN4proposal"/>
      </w:pPr>
      <w:bookmarkStart w:id="6" w:name="_Ref513661226"/>
      <w:r>
        <w:t>Option 1-1 is adopted for scenario 2b in FR2 (intra-</w:t>
      </w:r>
      <w:r w:rsidRPr="009830D1">
        <w:t>freq</w:t>
      </w:r>
      <w:r>
        <w:t>uency</w:t>
      </w:r>
      <w:r w:rsidRPr="009830D1">
        <w:t xml:space="preserve"> measurement </w:t>
      </w:r>
      <w:r>
        <w:t>is</w:t>
      </w:r>
      <w:r w:rsidRPr="009830D1">
        <w:t xml:space="preserve"> conducted only outside of MG</w:t>
      </w:r>
      <w:r>
        <w:t>)</w:t>
      </w:r>
      <w:r w:rsidR="00D762F2">
        <w:t>.</w:t>
      </w:r>
      <w:bookmarkEnd w:id="6"/>
      <w:r w:rsidR="00D762F2">
        <w:t xml:space="preserve"> </w:t>
      </w:r>
    </w:p>
    <w:p w:rsidR="009830D1" w:rsidRDefault="009830D1" w:rsidP="00C74935">
      <w:pPr>
        <w:ind w:right="-23"/>
        <w:rPr>
          <w:rFonts w:eastAsia="Calibri" w:cs="Times New Roman"/>
          <w:szCs w:val="20"/>
        </w:rPr>
      </w:pPr>
      <w:r>
        <w:rPr>
          <w:rFonts w:eastAsia="Calibri" w:cs="Times New Roman"/>
          <w:szCs w:val="20"/>
        </w:rPr>
        <w:t>The agreements on UE behavior in MG are as follows.</w:t>
      </w:r>
    </w:p>
    <w:tbl>
      <w:tblPr>
        <w:tblStyle w:val="TableGrid"/>
        <w:tblW w:w="0" w:type="auto"/>
        <w:tblLook w:val="04A0" w:firstRow="1" w:lastRow="0" w:firstColumn="1" w:lastColumn="0" w:noHBand="0" w:noVBand="1"/>
      </w:tblPr>
      <w:tblGrid>
        <w:gridCol w:w="9617"/>
      </w:tblGrid>
      <w:tr w:rsidR="009830D1" w:rsidTr="009830D1">
        <w:tc>
          <w:tcPr>
            <w:tcW w:w="9617" w:type="dxa"/>
          </w:tcPr>
          <w:p w:rsidR="00031FA5" w:rsidRPr="009830D1" w:rsidRDefault="00FE12A5" w:rsidP="009830D1">
            <w:pPr>
              <w:numPr>
                <w:ilvl w:val="0"/>
                <w:numId w:val="27"/>
              </w:numPr>
              <w:spacing w:before="0" w:after="60"/>
              <w:ind w:right="-23" w:hanging="357"/>
              <w:rPr>
                <w:rFonts w:eastAsia="Calibri" w:cs="Times New Roman"/>
                <w:szCs w:val="20"/>
              </w:rPr>
            </w:pPr>
            <w:r w:rsidRPr="009830D1">
              <w:rPr>
                <w:rFonts w:eastAsia="Calibri" w:cs="Times New Roman"/>
                <w:szCs w:val="20"/>
              </w:rPr>
              <w:t>For FR1,</w:t>
            </w:r>
          </w:p>
          <w:p w:rsidR="00031FA5" w:rsidRPr="009830D1" w:rsidRDefault="00FE12A5" w:rsidP="009830D1">
            <w:pPr>
              <w:numPr>
                <w:ilvl w:val="1"/>
                <w:numId w:val="27"/>
              </w:numPr>
              <w:spacing w:before="0" w:after="60"/>
              <w:ind w:right="-23" w:hanging="357"/>
              <w:rPr>
                <w:rFonts w:eastAsia="Calibri" w:cs="Times New Roman"/>
                <w:szCs w:val="20"/>
              </w:rPr>
            </w:pPr>
            <w:r w:rsidRPr="009830D1">
              <w:rPr>
                <w:rFonts w:eastAsia="Calibri" w:cs="Times New Roman"/>
                <w:szCs w:val="20"/>
              </w:rPr>
              <w:t>Gap sharing among type A/B/C and type D is needed in case of scenario 1a/1b.</w:t>
            </w:r>
          </w:p>
          <w:p w:rsidR="00031FA5" w:rsidRPr="009830D1" w:rsidRDefault="00FE12A5" w:rsidP="009830D1">
            <w:pPr>
              <w:numPr>
                <w:ilvl w:val="1"/>
                <w:numId w:val="27"/>
              </w:numPr>
              <w:spacing w:before="0" w:after="60"/>
              <w:ind w:right="-23" w:hanging="357"/>
              <w:rPr>
                <w:rFonts w:eastAsia="Calibri" w:cs="Times New Roman"/>
                <w:szCs w:val="20"/>
              </w:rPr>
            </w:pPr>
            <w:r w:rsidRPr="009830D1">
              <w:rPr>
                <w:rFonts w:eastAsia="Calibri" w:cs="Times New Roman"/>
                <w:szCs w:val="20"/>
              </w:rPr>
              <w:t>How to share gap timings among each measurements should be determined in RAN4 #87 from options in the next page.</w:t>
            </w:r>
          </w:p>
          <w:p w:rsidR="00031FA5" w:rsidRPr="009830D1" w:rsidRDefault="00FE12A5" w:rsidP="009830D1">
            <w:pPr>
              <w:numPr>
                <w:ilvl w:val="0"/>
                <w:numId w:val="27"/>
              </w:numPr>
              <w:spacing w:before="0" w:after="60"/>
              <w:ind w:right="-23" w:hanging="357"/>
              <w:rPr>
                <w:rFonts w:eastAsia="Calibri" w:cs="Times New Roman"/>
                <w:szCs w:val="20"/>
              </w:rPr>
            </w:pPr>
            <w:r w:rsidRPr="009830D1">
              <w:rPr>
                <w:rFonts w:eastAsia="Calibri" w:cs="Times New Roman"/>
                <w:szCs w:val="20"/>
              </w:rPr>
              <w:t>For FR2,</w:t>
            </w:r>
          </w:p>
          <w:p w:rsidR="00031FA5" w:rsidRPr="009830D1" w:rsidRDefault="00FE12A5" w:rsidP="009830D1">
            <w:pPr>
              <w:numPr>
                <w:ilvl w:val="1"/>
                <w:numId w:val="27"/>
              </w:numPr>
              <w:spacing w:before="0" w:after="60"/>
              <w:ind w:right="-23" w:hanging="357"/>
              <w:rPr>
                <w:rFonts w:eastAsia="Calibri" w:cs="Times New Roman"/>
                <w:szCs w:val="20"/>
              </w:rPr>
            </w:pPr>
            <w:r w:rsidRPr="009830D1">
              <w:rPr>
                <w:rFonts w:eastAsia="Calibri" w:cs="Times New Roman"/>
                <w:szCs w:val="20"/>
              </w:rPr>
              <w:t>Gap sharing among type B/C and type D is needed in case of scenario 1b.</w:t>
            </w:r>
          </w:p>
          <w:p w:rsidR="00031FA5" w:rsidRPr="009830D1" w:rsidRDefault="00FE12A5" w:rsidP="009830D1">
            <w:pPr>
              <w:numPr>
                <w:ilvl w:val="1"/>
                <w:numId w:val="27"/>
              </w:numPr>
              <w:spacing w:before="0" w:after="60"/>
              <w:ind w:right="-23" w:hanging="357"/>
              <w:rPr>
                <w:rFonts w:eastAsia="Calibri" w:cs="Times New Roman"/>
                <w:szCs w:val="20"/>
              </w:rPr>
            </w:pPr>
            <w:r w:rsidRPr="009830D1">
              <w:rPr>
                <w:rFonts w:eastAsia="Calibri" w:cs="Times New Roman"/>
                <w:szCs w:val="20"/>
              </w:rPr>
              <w:t>Whether gap sharing is needed in case of scenario 2b would be depending on approved option (option 1-1 or option 1-2) in scenario 2b for FR2.</w:t>
            </w:r>
          </w:p>
          <w:p w:rsidR="00031FA5" w:rsidRPr="009830D1" w:rsidRDefault="00FE12A5" w:rsidP="009830D1">
            <w:pPr>
              <w:numPr>
                <w:ilvl w:val="1"/>
                <w:numId w:val="27"/>
              </w:numPr>
              <w:spacing w:before="0" w:after="60"/>
              <w:ind w:right="-23" w:hanging="357"/>
              <w:rPr>
                <w:rFonts w:eastAsia="Calibri" w:cs="Times New Roman"/>
                <w:szCs w:val="20"/>
              </w:rPr>
            </w:pPr>
            <w:r w:rsidRPr="009830D1">
              <w:rPr>
                <w:rFonts w:eastAsia="Calibri" w:cs="Times New Roman"/>
                <w:szCs w:val="20"/>
              </w:rPr>
              <w:t>How to share gap timings among each measurements should be determined in RAN4 #87 from same options for FR1.</w:t>
            </w:r>
          </w:p>
          <w:p w:rsidR="00031FA5" w:rsidRPr="009830D1" w:rsidRDefault="00FE12A5" w:rsidP="009830D1">
            <w:pPr>
              <w:numPr>
                <w:ilvl w:val="0"/>
                <w:numId w:val="27"/>
              </w:numPr>
              <w:spacing w:before="0" w:after="60"/>
              <w:ind w:right="-23" w:hanging="357"/>
              <w:rPr>
                <w:rFonts w:eastAsia="Calibri" w:cs="Times New Roman"/>
                <w:szCs w:val="20"/>
              </w:rPr>
            </w:pPr>
            <w:r w:rsidRPr="009830D1">
              <w:rPr>
                <w:rFonts w:eastAsia="Calibri" w:cs="Times New Roman"/>
                <w:szCs w:val="20"/>
              </w:rPr>
              <w:t>Clarification on Type C measurement</w:t>
            </w:r>
          </w:p>
          <w:p w:rsidR="00031FA5" w:rsidRPr="009830D1" w:rsidRDefault="00FE12A5" w:rsidP="009830D1">
            <w:pPr>
              <w:numPr>
                <w:ilvl w:val="1"/>
                <w:numId w:val="27"/>
              </w:numPr>
              <w:spacing w:before="0" w:after="60"/>
              <w:ind w:right="-23" w:hanging="357"/>
              <w:rPr>
                <w:rFonts w:eastAsia="Calibri" w:cs="Times New Roman"/>
                <w:szCs w:val="20"/>
              </w:rPr>
            </w:pPr>
            <w:r w:rsidRPr="009830D1">
              <w:rPr>
                <w:rFonts w:eastAsia="Calibri" w:cs="Times New Roman"/>
                <w:szCs w:val="20"/>
              </w:rPr>
              <w:t>For intra-frequency measurement, as long as BWP is switched to not cover the intra-frequency target cell SSB frequency during the measurement period, this measurement shall be considered as intra-frequency measurement with gap(type C).</w:t>
            </w:r>
          </w:p>
          <w:p w:rsidR="00031FA5" w:rsidRPr="009830D1" w:rsidRDefault="00FE12A5" w:rsidP="009830D1">
            <w:pPr>
              <w:numPr>
                <w:ilvl w:val="0"/>
                <w:numId w:val="27"/>
              </w:numPr>
              <w:spacing w:before="0" w:after="60"/>
              <w:ind w:right="-23" w:hanging="357"/>
              <w:rPr>
                <w:rFonts w:eastAsia="Calibri" w:cs="Times New Roman"/>
                <w:szCs w:val="20"/>
                <w:highlight w:val="yellow"/>
              </w:rPr>
            </w:pPr>
            <w:r w:rsidRPr="009830D1">
              <w:rPr>
                <w:rFonts w:eastAsia="Calibri" w:cs="Times New Roman"/>
                <w:szCs w:val="20"/>
                <w:highlight w:val="yellow"/>
              </w:rPr>
              <w:t>Gap sharing</w:t>
            </w:r>
          </w:p>
          <w:p w:rsidR="00031FA5" w:rsidRPr="009830D1" w:rsidRDefault="00FE12A5" w:rsidP="009830D1">
            <w:pPr>
              <w:numPr>
                <w:ilvl w:val="1"/>
                <w:numId w:val="27"/>
              </w:numPr>
              <w:spacing w:before="0" w:after="60"/>
              <w:ind w:right="-23" w:hanging="357"/>
              <w:rPr>
                <w:rFonts w:eastAsia="Calibri" w:cs="Times New Roman"/>
                <w:szCs w:val="20"/>
                <w:highlight w:val="yellow"/>
              </w:rPr>
            </w:pPr>
            <w:r w:rsidRPr="009830D1">
              <w:rPr>
                <w:rFonts w:eastAsia="Calibri" w:cs="Times New Roman"/>
                <w:szCs w:val="20"/>
                <w:highlight w:val="yellow"/>
              </w:rPr>
              <w:t>Gap sharing among type A/B/C and type D is defined from following options.</w:t>
            </w:r>
          </w:p>
          <w:p w:rsidR="00031FA5" w:rsidRPr="009830D1" w:rsidRDefault="00FE12A5" w:rsidP="009830D1">
            <w:pPr>
              <w:numPr>
                <w:ilvl w:val="2"/>
                <w:numId w:val="27"/>
              </w:numPr>
              <w:spacing w:before="0" w:after="60"/>
              <w:ind w:right="-23" w:hanging="357"/>
              <w:rPr>
                <w:rFonts w:eastAsia="Calibri" w:cs="Times New Roman"/>
                <w:szCs w:val="20"/>
                <w:highlight w:val="yellow"/>
              </w:rPr>
            </w:pPr>
            <w:r w:rsidRPr="009830D1">
              <w:rPr>
                <w:rFonts w:eastAsia="Calibri" w:cs="Times New Roman"/>
                <w:szCs w:val="20"/>
                <w:highlight w:val="yellow"/>
              </w:rPr>
              <w:t>Option 2-1: Gap sharing factor between intra-freq and inter-freq/inter-RAT measurement via signaling could be applied.</w:t>
            </w:r>
          </w:p>
          <w:p w:rsidR="00031FA5" w:rsidRPr="009830D1" w:rsidRDefault="00FE12A5" w:rsidP="009830D1">
            <w:pPr>
              <w:numPr>
                <w:ilvl w:val="2"/>
                <w:numId w:val="27"/>
              </w:numPr>
              <w:spacing w:before="0" w:after="60"/>
              <w:ind w:right="-23" w:hanging="357"/>
              <w:rPr>
                <w:rFonts w:eastAsia="Calibri" w:cs="Times New Roman"/>
                <w:szCs w:val="20"/>
                <w:highlight w:val="yellow"/>
              </w:rPr>
            </w:pPr>
            <w:r w:rsidRPr="009830D1">
              <w:rPr>
                <w:rFonts w:eastAsia="Calibri" w:cs="Times New Roman"/>
                <w:szCs w:val="20"/>
                <w:highlight w:val="yellow"/>
              </w:rPr>
              <w:t>Option 2-2: Scaling factor could be calculated only with SMTC configurations and number of carriers without signaled gap sharing factor (e.g. R4-1804608).</w:t>
            </w:r>
          </w:p>
          <w:p w:rsidR="009830D1" w:rsidRPr="009830D1" w:rsidRDefault="00FE12A5" w:rsidP="009830D1">
            <w:pPr>
              <w:numPr>
                <w:ilvl w:val="2"/>
                <w:numId w:val="27"/>
              </w:numPr>
              <w:spacing w:before="0" w:after="60"/>
              <w:ind w:right="-23" w:hanging="357"/>
              <w:rPr>
                <w:rFonts w:eastAsia="Calibri" w:cs="Times New Roman"/>
                <w:szCs w:val="20"/>
              </w:rPr>
            </w:pPr>
            <w:r w:rsidRPr="009830D1">
              <w:rPr>
                <w:rFonts w:eastAsia="Calibri" w:cs="Times New Roman"/>
                <w:szCs w:val="20"/>
                <w:highlight w:val="yellow"/>
              </w:rPr>
              <w:t>Other options would not be preclude.</w:t>
            </w:r>
          </w:p>
        </w:tc>
      </w:tr>
    </w:tbl>
    <w:p w:rsidR="009830D1" w:rsidRDefault="009830D1" w:rsidP="00C74935">
      <w:pPr>
        <w:ind w:right="-23"/>
        <w:rPr>
          <w:rFonts w:eastAsia="Calibri" w:cs="Times New Roman"/>
          <w:szCs w:val="20"/>
        </w:rPr>
      </w:pPr>
      <w:r>
        <w:rPr>
          <w:rFonts w:eastAsia="Calibri" w:cs="Times New Roman"/>
          <w:szCs w:val="20"/>
        </w:rPr>
        <w:t xml:space="preserve">Which measurement types are applicable for MG sharing is well captured. Following our </w:t>
      </w:r>
      <w:r>
        <w:rPr>
          <w:rFonts w:eastAsia="Calibri" w:cs="Times New Roman"/>
          <w:szCs w:val="20"/>
        </w:rPr>
        <w:fldChar w:fldCharType="begin"/>
      </w:r>
      <w:r>
        <w:rPr>
          <w:rFonts w:eastAsia="Calibri" w:cs="Times New Roman"/>
          <w:szCs w:val="20"/>
        </w:rPr>
        <w:instrText xml:space="preserve"> REF _Ref513661226 \r \h </w:instrText>
      </w:r>
      <w:r>
        <w:rPr>
          <w:rFonts w:eastAsia="Calibri" w:cs="Times New Roman"/>
          <w:szCs w:val="20"/>
        </w:rPr>
      </w:r>
      <w:r>
        <w:rPr>
          <w:rFonts w:eastAsia="Calibri" w:cs="Times New Roman"/>
          <w:szCs w:val="20"/>
        </w:rPr>
        <w:fldChar w:fldCharType="separate"/>
      </w:r>
      <w:r>
        <w:rPr>
          <w:rFonts w:eastAsia="Calibri" w:cs="Times New Roman"/>
          <w:szCs w:val="20"/>
        </w:rPr>
        <w:t>Proposal 1</w:t>
      </w:r>
      <w:r>
        <w:rPr>
          <w:rFonts w:eastAsia="Calibri" w:cs="Times New Roman"/>
          <w:szCs w:val="20"/>
        </w:rPr>
        <w:fldChar w:fldCharType="end"/>
      </w:r>
      <w:r>
        <w:rPr>
          <w:rFonts w:eastAsia="Calibri" w:cs="Times New Roman"/>
          <w:szCs w:val="20"/>
        </w:rPr>
        <w:t xml:space="preserve">, MG </w:t>
      </w:r>
      <w:r w:rsidRPr="009830D1">
        <w:rPr>
          <w:rFonts w:eastAsia="Calibri" w:cs="Times New Roman"/>
          <w:szCs w:val="20"/>
        </w:rPr>
        <w:t xml:space="preserve">sharing among type B/C and type D is needed in case of </w:t>
      </w:r>
      <w:r>
        <w:rPr>
          <w:rFonts w:eastAsia="Calibri" w:cs="Times New Roman"/>
          <w:szCs w:val="20"/>
        </w:rPr>
        <w:t xml:space="preserve">both </w:t>
      </w:r>
      <w:r w:rsidRPr="009830D1">
        <w:rPr>
          <w:rFonts w:eastAsia="Calibri" w:cs="Times New Roman"/>
          <w:szCs w:val="20"/>
        </w:rPr>
        <w:t xml:space="preserve">scenario 1b </w:t>
      </w:r>
      <w:r>
        <w:rPr>
          <w:rFonts w:eastAsia="Calibri" w:cs="Times New Roman"/>
          <w:szCs w:val="20"/>
        </w:rPr>
        <w:t xml:space="preserve">and 2b. The remaining open issue is the exact gap sharing scheme. </w:t>
      </w:r>
      <w:r w:rsidR="00B8606D">
        <w:rPr>
          <w:rFonts w:eastAsia="Calibri" w:cs="Times New Roman"/>
          <w:szCs w:val="20"/>
        </w:rPr>
        <w:t>We have a companion paper to address it</w:t>
      </w:r>
      <w:r w:rsidR="00317E55">
        <w:rPr>
          <w:rFonts w:eastAsia="Calibri" w:cs="Times New Roman"/>
          <w:szCs w:val="20"/>
        </w:rPr>
        <w:t xml:space="preserve"> </w:t>
      </w:r>
      <w:r w:rsidR="00317E55">
        <w:rPr>
          <w:rFonts w:eastAsia="Calibri" w:cs="Times New Roman"/>
          <w:szCs w:val="20"/>
        </w:rPr>
        <w:fldChar w:fldCharType="begin"/>
      </w:r>
      <w:r w:rsidR="00317E55">
        <w:rPr>
          <w:rFonts w:eastAsia="Calibri" w:cs="Times New Roman"/>
          <w:szCs w:val="20"/>
        </w:rPr>
        <w:instrText xml:space="preserve"> REF _Ref513725412 \r \h </w:instrText>
      </w:r>
      <w:r w:rsidR="00317E55">
        <w:rPr>
          <w:rFonts w:eastAsia="Calibri" w:cs="Times New Roman"/>
          <w:szCs w:val="20"/>
        </w:rPr>
      </w:r>
      <w:r w:rsidR="00317E55">
        <w:rPr>
          <w:rFonts w:eastAsia="Calibri" w:cs="Times New Roman"/>
          <w:szCs w:val="20"/>
        </w:rPr>
        <w:fldChar w:fldCharType="separate"/>
      </w:r>
      <w:r w:rsidR="00317E55">
        <w:rPr>
          <w:rFonts w:eastAsia="Calibri" w:cs="Times New Roman"/>
          <w:szCs w:val="20"/>
        </w:rPr>
        <w:t>[3]</w:t>
      </w:r>
      <w:r w:rsidR="00317E55">
        <w:rPr>
          <w:rFonts w:eastAsia="Calibri" w:cs="Times New Roman"/>
          <w:szCs w:val="20"/>
        </w:rPr>
        <w:fldChar w:fldCharType="end"/>
      </w:r>
      <w:r w:rsidR="00B8606D">
        <w:rPr>
          <w:rFonts w:eastAsia="Calibri" w:cs="Times New Roman"/>
          <w:szCs w:val="20"/>
        </w:rPr>
        <w:t>.</w:t>
      </w:r>
      <w:r>
        <w:rPr>
          <w:rFonts w:eastAsia="Calibri" w:cs="Times New Roman"/>
          <w:szCs w:val="20"/>
        </w:rPr>
        <w:t xml:space="preserve"> </w:t>
      </w:r>
    </w:p>
    <w:p w:rsidR="00CD7492" w:rsidRDefault="00CD7492" w:rsidP="00A37002">
      <w:pPr>
        <w:pStyle w:val="RAN4H1"/>
      </w:pPr>
      <w:r w:rsidRPr="00A37002">
        <w:lastRenderedPageBreak/>
        <w:t>Conclusion</w:t>
      </w:r>
    </w:p>
    <w:p w:rsidR="004F3D3B" w:rsidRDefault="00B8606D" w:rsidP="004F3D3B">
      <w:pPr>
        <w:rPr>
          <w:lang w:val="en-GB"/>
        </w:rPr>
      </w:pPr>
      <w:r w:rsidRPr="00B8606D">
        <w:rPr>
          <w:lang w:val="en-GB"/>
        </w:rPr>
        <w:t>In this paper, we provide</w:t>
      </w:r>
      <w:r w:rsidR="009873B1">
        <w:rPr>
          <w:lang w:val="en-GB"/>
        </w:rPr>
        <w:t>d</w:t>
      </w:r>
      <w:r w:rsidRPr="00B8606D">
        <w:rPr>
          <w:lang w:val="en-GB"/>
        </w:rPr>
        <w:t xml:space="preserve"> our views on the remaining issues for collision among MG, SMTC and RLM-RS.</w:t>
      </w:r>
    </w:p>
    <w:p w:rsidR="00443559" w:rsidRPr="00443559" w:rsidRDefault="00443559" w:rsidP="004F3D3B">
      <w:pPr>
        <w:rPr>
          <w:b/>
          <w:lang w:val="en-GB"/>
        </w:rPr>
      </w:pPr>
      <w:r w:rsidRPr="00443559">
        <w:rPr>
          <w:b/>
          <w:lang w:val="en-GB"/>
        </w:rPr>
        <w:fldChar w:fldCharType="begin"/>
      </w:r>
      <w:r w:rsidRPr="00443559">
        <w:rPr>
          <w:b/>
          <w:lang w:val="en-GB"/>
        </w:rPr>
        <w:instrText xml:space="preserve"> REF _Ref513661226 \r \h </w:instrText>
      </w:r>
      <w:r>
        <w:rPr>
          <w:b/>
          <w:lang w:val="en-GB"/>
        </w:rPr>
        <w:instrText xml:space="preserve"> \* MERGEFORMAT </w:instrText>
      </w:r>
      <w:r w:rsidRPr="00443559">
        <w:rPr>
          <w:b/>
          <w:lang w:val="en-GB"/>
        </w:rPr>
      </w:r>
      <w:r w:rsidRPr="00443559">
        <w:rPr>
          <w:b/>
          <w:lang w:val="en-GB"/>
        </w:rPr>
        <w:fldChar w:fldCharType="separate"/>
      </w:r>
      <w:r w:rsidRPr="00443559">
        <w:rPr>
          <w:b/>
          <w:lang w:val="en-GB"/>
        </w:rPr>
        <w:t>Proposal 1:</w:t>
      </w:r>
      <w:r w:rsidRPr="00443559">
        <w:rPr>
          <w:b/>
          <w:lang w:val="en-GB"/>
        </w:rPr>
        <w:fldChar w:fldCharType="end"/>
      </w:r>
      <w:r w:rsidRPr="00443559">
        <w:rPr>
          <w:b/>
          <w:lang w:val="en-GB"/>
        </w:rPr>
        <w:t xml:space="preserve"> </w:t>
      </w:r>
      <w:r w:rsidRPr="00443559">
        <w:rPr>
          <w:b/>
          <w:lang w:val="en-GB"/>
        </w:rPr>
        <w:fldChar w:fldCharType="begin"/>
      </w:r>
      <w:r w:rsidRPr="00443559">
        <w:rPr>
          <w:b/>
          <w:lang w:val="en-GB"/>
        </w:rPr>
        <w:instrText xml:space="preserve"> REF _Ref513661226 \h </w:instrText>
      </w:r>
      <w:r>
        <w:rPr>
          <w:b/>
          <w:lang w:val="en-GB"/>
        </w:rPr>
        <w:instrText xml:space="preserve"> \* MERGEFORMAT </w:instrText>
      </w:r>
      <w:r w:rsidRPr="00443559">
        <w:rPr>
          <w:b/>
          <w:lang w:val="en-GB"/>
        </w:rPr>
      </w:r>
      <w:r w:rsidRPr="00443559">
        <w:rPr>
          <w:b/>
          <w:lang w:val="en-GB"/>
        </w:rPr>
        <w:fldChar w:fldCharType="separate"/>
      </w:r>
      <w:r w:rsidR="00B8606D" w:rsidRPr="00B8606D">
        <w:rPr>
          <w:b/>
        </w:rPr>
        <w:t>Option 1-1 is adopted for scenario 2b in FR2 (intra-frequency measurement is conducted only outside of MG</w:t>
      </w:r>
      <w:r w:rsidR="00B8606D">
        <w:t>).</w:t>
      </w:r>
      <w:r w:rsidRPr="00443559">
        <w:rPr>
          <w:b/>
          <w:lang w:val="en-GB"/>
        </w:rPr>
        <w:fldChar w:fldCharType="end"/>
      </w:r>
    </w:p>
    <w:p w:rsidR="003B659E" w:rsidRPr="0095295C" w:rsidRDefault="003B659E" w:rsidP="0008612A">
      <w:pPr>
        <w:pStyle w:val="RAN4H1"/>
      </w:pPr>
      <w:r w:rsidRPr="0095295C">
        <w:t>References</w:t>
      </w:r>
    </w:p>
    <w:p w:rsidR="007C33D9" w:rsidRPr="00DC5CF4" w:rsidRDefault="003B659E" w:rsidP="00B74C1F">
      <w:pPr>
        <w:numPr>
          <w:ilvl w:val="0"/>
          <w:numId w:val="1"/>
        </w:numPr>
        <w:overflowPunct w:val="0"/>
        <w:autoSpaceDE w:val="0"/>
        <w:autoSpaceDN w:val="0"/>
        <w:adjustRightInd w:val="0"/>
        <w:ind w:right="-22"/>
        <w:jc w:val="both"/>
        <w:textAlignment w:val="baseline"/>
        <w:rPr>
          <w:szCs w:val="20"/>
        </w:rPr>
      </w:pPr>
      <w:bookmarkStart w:id="7" w:name="_Ref431017336"/>
      <w:bookmarkStart w:id="8" w:name="_Ref513196612"/>
      <w:bookmarkStart w:id="9" w:name="_Ref513710934"/>
      <w:r w:rsidRPr="00126990">
        <w:rPr>
          <w:rFonts w:eastAsia="Times New Roman" w:cs="Times New Roman"/>
          <w:szCs w:val="20"/>
          <w:lang w:val="en-GB"/>
        </w:rPr>
        <w:t>R4-</w:t>
      </w:r>
      <w:r w:rsidR="00126990" w:rsidRPr="00126990">
        <w:rPr>
          <w:rFonts w:eastAsia="Times New Roman" w:cs="Times New Roman"/>
          <w:szCs w:val="20"/>
          <w:lang w:val="en-GB"/>
        </w:rPr>
        <w:t>180</w:t>
      </w:r>
      <w:r w:rsidR="00F45713">
        <w:rPr>
          <w:rFonts w:eastAsia="Times New Roman" w:cs="Times New Roman"/>
          <w:szCs w:val="20"/>
          <w:lang w:val="en-GB"/>
        </w:rPr>
        <w:t>55</w:t>
      </w:r>
      <w:r w:rsidR="00B74C1F">
        <w:rPr>
          <w:rFonts w:eastAsia="Times New Roman" w:cs="Times New Roman"/>
          <w:szCs w:val="20"/>
          <w:lang w:val="en-GB"/>
        </w:rPr>
        <w:t>4</w:t>
      </w:r>
      <w:r w:rsidR="00F45713">
        <w:rPr>
          <w:rFonts w:eastAsia="Times New Roman" w:cs="Times New Roman"/>
          <w:szCs w:val="20"/>
          <w:lang w:val="en-GB"/>
        </w:rPr>
        <w:t>1</w:t>
      </w:r>
      <w:r w:rsidRPr="00126990">
        <w:rPr>
          <w:rFonts w:eastAsia="Times New Roman" w:cs="Times New Roman"/>
          <w:szCs w:val="20"/>
          <w:lang w:val="en-GB"/>
        </w:rPr>
        <w:t xml:space="preserve">, </w:t>
      </w:r>
      <w:r w:rsidR="00B74C1F" w:rsidRPr="00B74C1F">
        <w:rPr>
          <w:rFonts w:eastAsia="Times New Roman"/>
          <w:bCs/>
          <w:szCs w:val="20"/>
        </w:rPr>
        <w:t>WF on collision issue among RLM-RS, SMTC and measurement gap</w:t>
      </w:r>
      <w:r w:rsidRPr="00126990">
        <w:rPr>
          <w:rFonts w:eastAsia="Times New Roman" w:cs="Times New Roman"/>
          <w:szCs w:val="20"/>
          <w:lang w:val="en-GB"/>
        </w:rPr>
        <w:t xml:space="preserve">, </w:t>
      </w:r>
      <w:bookmarkEnd w:id="7"/>
      <w:bookmarkEnd w:id="8"/>
      <w:bookmarkEnd w:id="9"/>
      <w:r w:rsidR="00B74C1F" w:rsidRPr="00B74C1F">
        <w:rPr>
          <w:rFonts w:eastAsia="Times New Roman"/>
          <w:szCs w:val="20"/>
        </w:rPr>
        <w:t xml:space="preserve">NTT DOCOMO </w:t>
      </w:r>
    </w:p>
    <w:p w:rsidR="00DC5CF4" w:rsidRPr="00317E55" w:rsidRDefault="00DC5CF4" w:rsidP="00DC5CF4">
      <w:pPr>
        <w:numPr>
          <w:ilvl w:val="0"/>
          <w:numId w:val="1"/>
        </w:numPr>
        <w:overflowPunct w:val="0"/>
        <w:autoSpaceDE w:val="0"/>
        <w:autoSpaceDN w:val="0"/>
        <w:adjustRightInd w:val="0"/>
        <w:ind w:right="-22"/>
        <w:jc w:val="both"/>
        <w:textAlignment w:val="baseline"/>
        <w:rPr>
          <w:szCs w:val="20"/>
        </w:rPr>
      </w:pPr>
      <w:bookmarkStart w:id="10" w:name="_Ref513725327"/>
      <w:r>
        <w:rPr>
          <w:rFonts w:eastAsia="Times New Roman" w:cs="Times New Roman"/>
          <w:szCs w:val="20"/>
          <w:lang w:val="en-GB"/>
        </w:rPr>
        <w:t>R4-180</w:t>
      </w:r>
      <w:r w:rsidR="005B6EDB">
        <w:rPr>
          <w:rFonts w:eastAsia="Times New Roman" w:cs="Times New Roman"/>
          <w:szCs w:val="20"/>
          <w:lang w:val="en-GB"/>
        </w:rPr>
        <w:t>6645</w:t>
      </w:r>
      <w:bookmarkStart w:id="11" w:name="_GoBack"/>
      <w:bookmarkEnd w:id="11"/>
      <w:r>
        <w:rPr>
          <w:rFonts w:eastAsia="Times New Roman" w:cs="Times New Roman"/>
          <w:szCs w:val="20"/>
          <w:lang w:val="en-GB"/>
        </w:rPr>
        <w:t xml:space="preserve">, Remaining issues on SSB based RLM, </w:t>
      </w:r>
      <w:r w:rsidRPr="00DC5CF4">
        <w:rPr>
          <w:rFonts w:eastAsia="Times New Roman" w:cs="Times New Roman"/>
          <w:szCs w:val="20"/>
          <w:lang w:val="en-GB"/>
        </w:rPr>
        <w:t>Nokia, Nokia Shanghai Bell</w:t>
      </w:r>
      <w:bookmarkEnd w:id="10"/>
    </w:p>
    <w:p w:rsidR="00317E55" w:rsidRPr="00B74C1F" w:rsidRDefault="00317E55" w:rsidP="00317E55">
      <w:pPr>
        <w:numPr>
          <w:ilvl w:val="0"/>
          <w:numId w:val="1"/>
        </w:numPr>
        <w:overflowPunct w:val="0"/>
        <w:autoSpaceDE w:val="0"/>
        <w:autoSpaceDN w:val="0"/>
        <w:adjustRightInd w:val="0"/>
        <w:ind w:right="-22"/>
        <w:jc w:val="both"/>
        <w:textAlignment w:val="baseline"/>
        <w:rPr>
          <w:szCs w:val="20"/>
        </w:rPr>
      </w:pPr>
      <w:bookmarkStart w:id="12" w:name="_Ref513725412"/>
      <w:r>
        <w:rPr>
          <w:rFonts w:eastAsia="Times New Roman" w:cs="Times New Roman"/>
          <w:szCs w:val="20"/>
          <w:lang w:val="en-GB"/>
        </w:rPr>
        <w:t>R4-180</w:t>
      </w:r>
      <w:r w:rsidR="005B6EDB">
        <w:rPr>
          <w:rFonts w:eastAsia="Times New Roman" w:cs="Times New Roman"/>
          <w:szCs w:val="20"/>
          <w:lang w:val="en-GB"/>
        </w:rPr>
        <w:t>6637</w:t>
      </w:r>
      <w:r>
        <w:rPr>
          <w:rFonts w:eastAsia="Times New Roman" w:cs="Times New Roman"/>
          <w:szCs w:val="20"/>
          <w:lang w:val="en-GB"/>
        </w:rPr>
        <w:t xml:space="preserve">, </w:t>
      </w:r>
      <w:r w:rsidRPr="00317E55">
        <w:rPr>
          <w:rFonts w:eastAsia="Times New Roman" w:cs="Times New Roman"/>
          <w:szCs w:val="20"/>
          <w:lang w:val="en-GB"/>
        </w:rPr>
        <w:t>Discussion on MG sharing</w:t>
      </w:r>
      <w:r>
        <w:rPr>
          <w:rFonts w:eastAsia="Times New Roman" w:cs="Times New Roman"/>
          <w:szCs w:val="20"/>
          <w:lang w:val="en-GB"/>
        </w:rPr>
        <w:t xml:space="preserve">, </w:t>
      </w:r>
      <w:r w:rsidRPr="00317E55">
        <w:rPr>
          <w:rFonts w:eastAsia="Times New Roman" w:cs="Times New Roman"/>
          <w:szCs w:val="20"/>
          <w:lang w:val="en-GB"/>
        </w:rPr>
        <w:t>Nokia, Nokia Shanghai Bell</w:t>
      </w:r>
      <w:bookmarkEnd w:id="12"/>
    </w:p>
    <w:sectPr w:rsidR="00317E55" w:rsidRPr="00B74C1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8CB" w:rsidRDefault="00A738CB" w:rsidP="00001C9B">
      <w:pPr>
        <w:spacing w:after="0" w:line="240" w:lineRule="auto"/>
      </w:pPr>
      <w:r>
        <w:separator/>
      </w:r>
    </w:p>
  </w:endnote>
  <w:endnote w:type="continuationSeparator" w:id="0">
    <w:p w:rsidR="00A738CB" w:rsidRDefault="00A738C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8CB" w:rsidRDefault="00A738CB" w:rsidP="00001C9B">
      <w:pPr>
        <w:spacing w:after="0" w:line="240" w:lineRule="auto"/>
      </w:pPr>
      <w:r>
        <w:separator/>
      </w:r>
    </w:p>
  </w:footnote>
  <w:footnote w:type="continuationSeparator" w:id="0">
    <w:p w:rsidR="00A738CB" w:rsidRDefault="00A738C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016FA"/>
    <w:multiLevelType w:val="hybridMultilevel"/>
    <w:tmpl w:val="6D6AF38E"/>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B6568E68" w:tentative="1">
      <w:start w:val="1"/>
      <w:numFmt w:val="bullet"/>
      <w:lvlText w:val=""/>
      <w:lvlJc w:val="left"/>
      <w:pPr>
        <w:tabs>
          <w:tab w:val="num" w:pos="2880"/>
        </w:tabs>
        <w:ind w:left="2880" w:hanging="360"/>
      </w:pPr>
      <w:rPr>
        <w:rFonts w:ascii="Wingdings" w:hAnsi="Wingdings"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3"/>
  </w:num>
  <w:num w:numId="5">
    <w:abstractNumId w:val="13"/>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7"/>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15"/>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6"/>
  </w:num>
  <w:num w:numId="27">
    <w:abstractNumId w:val="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31FA5"/>
    <w:rsid w:val="0007101A"/>
    <w:rsid w:val="0008612A"/>
    <w:rsid w:val="000B0056"/>
    <w:rsid w:val="000E0505"/>
    <w:rsid w:val="00126990"/>
    <w:rsid w:val="001745F8"/>
    <w:rsid w:val="001754B4"/>
    <w:rsid w:val="00176671"/>
    <w:rsid w:val="001838CF"/>
    <w:rsid w:val="001841C4"/>
    <w:rsid w:val="001C5304"/>
    <w:rsid w:val="001E30F6"/>
    <w:rsid w:val="00220ED5"/>
    <w:rsid w:val="00235F5C"/>
    <w:rsid w:val="002A37E4"/>
    <w:rsid w:val="002B4922"/>
    <w:rsid w:val="002C2D19"/>
    <w:rsid w:val="002D10FA"/>
    <w:rsid w:val="002D4C55"/>
    <w:rsid w:val="00317E55"/>
    <w:rsid w:val="00370383"/>
    <w:rsid w:val="0038214C"/>
    <w:rsid w:val="003B659E"/>
    <w:rsid w:val="00417AA0"/>
    <w:rsid w:val="0043750A"/>
    <w:rsid w:val="00443559"/>
    <w:rsid w:val="00463825"/>
    <w:rsid w:val="004B7B4A"/>
    <w:rsid w:val="004C1EB4"/>
    <w:rsid w:val="004E27A4"/>
    <w:rsid w:val="004E5E66"/>
    <w:rsid w:val="004F3D3B"/>
    <w:rsid w:val="00503B4D"/>
    <w:rsid w:val="00504EE9"/>
    <w:rsid w:val="0054442C"/>
    <w:rsid w:val="00550285"/>
    <w:rsid w:val="005836F8"/>
    <w:rsid w:val="005918FA"/>
    <w:rsid w:val="005B6EDB"/>
    <w:rsid w:val="005E61A8"/>
    <w:rsid w:val="005F6419"/>
    <w:rsid w:val="00617400"/>
    <w:rsid w:val="00660DC2"/>
    <w:rsid w:val="00664950"/>
    <w:rsid w:val="006764BB"/>
    <w:rsid w:val="00683220"/>
    <w:rsid w:val="00687FA0"/>
    <w:rsid w:val="006B7010"/>
    <w:rsid w:val="006F4187"/>
    <w:rsid w:val="00702B7D"/>
    <w:rsid w:val="007145FF"/>
    <w:rsid w:val="00751515"/>
    <w:rsid w:val="00785232"/>
    <w:rsid w:val="007A6422"/>
    <w:rsid w:val="007C33D9"/>
    <w:rsid w:val="007C3ED0"/>
    <w:rsid w:val="007F6B81"/>
    <w:rsid w:val="00806A76"/>
    <w:rsid w:val="00811C9D"/>
    <w:rsid w:val="00816C80"/>
    <w:rsid w:val="00835C66"/>
    <w:rsid w:val="00841BCD"/>
    <w:rsid w:val="008826C1"/>
    <w:rsid w:val="008C37E4"/>
    <w:rsid w:val="009042BD"/>
    <w:rsid w:val="00921C13"/>
    <w:rsid w:val="00977E1D"/>
    <w:rsid w:val="009830D1"/>
    <w:rsid w:val="00985EAF"/>
    <w:rsid w:val="009873B1"/>
    <w:rsid w:val="0099686D"/>
    <w:rsid w:val="009C3226"/>
    <w:rsid w:val="009C4527"/>
    <w:rsid w:val="00A22B78"/>
    <w:rsid w:val="00A25AE5"/>
    <w:rsid w:val="00A37002"/>
    <w:rsid w:val="00A506FD"/>
    <w:rsid w:val="00A51865"/>
    <w:rsid w:val="00A738CB"/>
    <w:rsid w:val="00AA1B0E"/>
    <w:rsid w:val="00AA1C57"/>
    <w:rsid w:val="00AC2B38"/>
    <w:rsid w:val="00AC5CA7"/>
    <w:rsid w:val="00AE56B1"/>
    <w:rsid w:val="00B16397"/>
    <w:rsid w:val="00B5454D"/>
    <w:rsid w:val="00B73862"/>
    <w:rsid w:val="00B74C1F"/>
    <w:rsid w:val="00B8606D"/>
    <w:rsid w:val="00BA6E48"/>
    <w:rsid w:val="00BF2218"/>
    <w:rsid w:val="00C04855"/>
    <w:rsid w:val="00C073BD"/>
    <w:rsid w:val="00C203DD"/>
    <w:rsid w:val="00C42272"/>
    <w:rsid w:val="00C74935"/>
    <w:rsid w:val="00C83C46"/>
    <w:rsid w:val="00CB5915"/>
    <w:rsid w:val="00CD7492"/>
    <w:rsid w:val="00CE1EBA"/>
    <w:rsid w:val="00CE3A6B"/>
    <w:rsid w:val="00D00211"/>
    <w:rsid w:val="00D03FC6"/>
    <w:rsid w:val="00D06309"/>
    <w:rsid w:val="00D351EA"/>
    <w:rsid w:val="00D43403"/>
    <w:rsid w:val="00D62E71"/>
    <w:rsid w:val="00D740CA"/>
    <w:rsid w:val="00D762F2"/>
    <w:rsid w:val="00D85728"/>
    <w:rsid w:val="00DA7616"/>
    <w:rsid w:val="00DC5CF4"/>
    <w:rsid w:val="00DF2997"/>
    <w:rsid w:val="00E80E17"/>
    <w:rsid w:val="00E93772"/>
    <w:rsid w:val="00EC7BC3"/>
    <w:rsid w:val="00ED7600"/>
    <w:rsid w:val="00EE15DB"/>
    <w:rsid w:val="00EE7CB7"/>
    <w:rsid w:val="00F1362C"/>
    <w:rsid w:val="00F44843"/>
    <w:rsid w:val="00F45713"/>
    <w:rsid w:val="00F824F5"/>
    <w:rsid w:val="00FC29B9"/>
    <w:rsid w:val="00FC3EA3"/>
    <w:rsid w:val="00FC6FD3"/>
    <w:rsid w:val="00FE1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3E801"/>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6B8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337E1-797F-4E3D-9545-C10475DDC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3</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15</cp:revision>
  <dcterms:created xsi:type="dcterms:W3CDTF">2018-05-01T11:51:00Z</dcterms:created>
  <dcterms:modified xsi:type="dcterms:W3CDTF">2018-05-12T03:53:00Z</dcterms:modified>
</cp:coreProperties>
</file>