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1D6" w:rsidRPr="00B061D6" w:rsidRDefault="00B061D6" w:rsidP="00B061D6">
      <w:pPr>
        <w:tabs>
          <w:tab w:val="right" w:pos="10440"/>
          <w:tab w:val="right" w:pos="13323"/>
        </w:tabs>
        <w:spacing w:after="0" w:line="240" w:lineRule="auto"/>
        <w:rPr>
          <w:rFonts w:ascii="Arial" w:eastAsia="MS Mincho" w:hAnsi="Arial" w:cs="Arial"/>
          <w:b/>
          <w:sz w:val="24"/>
          <w:szCs w:val="24"/>
          <w:lang w:val="en-US"/>
        </w:rPr>
      </w:pPr>
      <w:r w:rsidRPr="00B061D6">
        <w:rPr>
          <w:rFonts w:ascii="Arial" w:eastAsia="MS Mincho" w:hAnsi="Arial" w:cs="Arial"/>
          <w:b/>
          <w:sz w:val="24"/>
          <w:szCs w:val="24"/>
          <w:lang w:val="en-US" w:eastAsia="en-US"/>
        </w:rPr>
        <w:t>3GPP TSG-RAN WG4</w:t>
      </w:r>
      <w:r w:rsidR="00F82255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 Meeting</w:t>
      </w:r>
      <w:r w:rsidR="00205929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 #86</w:t>
      </w:r>
      <w:r w:rsidR="00143A7F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D22C79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 </w:t>
      </w:r>
      <w:r w:rsidR="00143A7F">
        <w:rPr>
          <w:rFonts w:ascii="Arial" w:eastAsia="MS Mincho" w:hAnsi="Arial" w:cs="Arial"/>
          <w:b/>
          <w:sz w:val="24"/>
          <w:szCs w:val="24"/>
          <w:lang w:val="en-US" w:eastAsia="en-US"/>
        </w:rPr>
        <w:t>R4-1805113</w:t>
      </w:r>
    </w:p>
    <w:p w:rsidR="00B061D6" w:rsidRPr="002F3711" w:rsidRDefault="00297CEB" w:rsidP="00B061D6">
      <w:pPr>
        <w:tabs>
          <w:tab w:val="right" w:pos="9781"/>
          <w:tab w:val="right" w:pos="13323"/>
        </w:tabs>
        <w:spacing w:after="0" w:line="360" w:lineRule="auto"/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>
        <w:rPr>
          <w:rFonts w:ascii="Arial" w:eastAsia="SimSun" w:hAnsi="Arial" w:cs="Times New Roman"/>
          <w:b/>
          <w:sz w:val="24"/>
          <w:szCs w:val="24"/>
          <w:lang w:eastAsia="zh-CN"/>
        </w:rPr>
        <w:t>Melbourne, Australia, 16-20 April</w:t>
      </w:r>
      <w:r w:rsidR="002F3711" w:rsidRPr="002F3711">
        <w:rPr>
          <w:rFonts w:ascii="Arial" w:eastAsia="SimSun" w:hAnsi="Arial" w:cs="Times New Roman"/>
          <w:b/>
          <w:sz w:val="24"/>
          <w:szCs w:val="24"/>
          <w:lang w:eastAsia="zh-CN"/>
        </w:rPr>
        <w:t>, 2018</w:t>
      </w:r>
    </w:p>
    <w:p w:rsidR="00B061D6" w:rsidRPr="002F3711" w:rsidRDefault="00B061D6" w:rsidP="00B061D6">
      <w:pPr>
        <w:tabs>
          <w:tab w:val="left" w:pos="1985"/>
        </w:tabs>
        <w:spacing w:after="0" w:line="360" w:lineRule="auto"/>
        <w:rPr>
          <w:rFonts w:ascii="Arial" w:eastAsia="SimSun" w:hAnsi="Arial" w:cs="Times New Roman"/>
          <w:sz w:val="24"/>
          <w:szCs w:val="24"/>
          <w:lang w:eastAsia="zh-CN"/>
        </w:rPr>
      </w:pPr>
      <w:r w:rsidRPr="002F3711">
        <w:rPr>
          <w:rFonts w:ascii="Arial" w:eastAsia="SimSun" w:hAnsi="Arial" w:cs="Times New Roman"/>
          <w:b/>
          <w:sz w:val="24"/>
          <w:szCs w:val="24"/>
          <w:lang w:eastAsia="zh-CN"/>
        </w:rPr>
        <w:t>Agenda Item:</w:t>
      </w:r>
      <w:r w:rsidRPr="002F3711">
        <w:rPr>
          <w:rFonts w:ascii="Arial" w:eastAsia="SimSun" w:hAnsi="Arial" w:cs="Times New Roman"/>
          <w:b/>
          <w:sz w:val="24"/>
          <w:szCs w:val="24"/>
          <w:lang w:eastAsia="zh-CN"/>
        </w:rPr>
        <w:tab/>
      </w:r>
      <w:bookmarkStart w:id="0" w:name="Source"/>
      <w:bookmarkEnd w:id="0"/>
      <w:r w:rsidR="002F3711" w:rsidRPr="002F3711">
        <w:rPr>
          <w:rFonts w:ascii="Arial" w:eastAsia="SimSun" w:hAnsi="Arial" w:cs="Times New Roman"/>
          <w:sz w:val="24"/>
          <w:szCs w:val="24"/>
          <w:lang w:eastAsia="zh-CN"/>
        </w:rPr>
        <w:t>7</w:t>
      </w:r>
      <w:r w:rsidR="005F73F5">
        <w:rPr>
          <w:rFonts w:ascii="Arial" w:eastAsia="SimSun" w:hAnsi="Arial" w:cs="Times New Roman"/>
          <w:sz w:val="24"/>
          <w:szCs w:val="24"/>
          <w:lang w:eastAsia="zh-CN"/>
        </w:rPr>
        <w:t>.12</w:t>
      </w:r>
      <w:r w:rsidR="002F3711" w:rsidRPr="002F3711">
        <w:rPr>
          <w:rFonts w:ascii="Arial" w:eastAsia="SimSun" w:hAnsi="Arial" w:cs="Times New Roman"/>
          <w:sz w:val="24"/>
          <w:szCs w:val="24"/>
          <w:lang w:eastAsia="zh-CN"/>
        </w:rPr>
        <w:t>.</w:t>
      </w:r>
      <w:r w:rsidR="00143A7F">
        <w:rPr>
          <w:rFonts w:ascii="Arial" w:eastAsia="SimSun" w:hAnsi="Arial" w:cs="Times New Roman"/>
          <w:sz w:val="24"/>
          <w:szCs w:val="24"/>
          <w:lang w:eastAsia="zh-CN"/>
        </w:rPr>
        <w:t>1</w:t>
      </w:r>
      <w:r w:rsidR="005F73F5">
        <w:rPr>
          <w:rFonts w:ascii="Arial" w:eastAsia="SimSun" w:hAnsi="Arial" w:cs="Times New Roman"/>
          <w:sz w:val="24"/>
          <w:szCs w:val="24"/>
          <w:lang w:eastAsia="zh-CN"/>
        </w:rPr>
        <w:t>.</w:t>
      </w:r>
    </w:p>
    <w:p w:rsidR="00B061D6" w:rsidRPr="00B061D6" w:rsidRDefault="00B061D6" w:rsidP="00B061D6">
      <w:pPr>
        <w:tabs>
          <w:tab w:val="left" w:pos="1985"/>
        </w:tabs>
        <w:spacing w:after="0" w:line="360" w:lineRule="auto"/>
        <w:rPr>
          <w:rFonts w:ascii="Arial" w:eastAsia="MS Mincho" w:hAnsi="Arial" w:cs="Times New Roman"/>
          <w:sz w:val="24"/>
          <w:szCs w:val="24"/>
          <w:lang w:val="en-US"/>
        </w:rPr>
      </w:pPr>
      <w:r>
        <w:rPr>
          <w:rFonts w:ascii="Arial" w:eastAsia="MS Mincho" w:hAnsi="Arial" w:cs="Times New Roman"/>
          <w:b/>
          <w:sz w:val="24"/>
          <w:szCs w:val="24"/>
          <w:lang w:val="en-US" w:eastAsia="en-US"/>
        </w:rPr>
        <w:t xml:space="preserve">Source: </w:t>
      </w:r>
      <w:r>
        <w:rPr>
          <w:rFonts w:ascii="Arial" w:eastAsia="MS Mincho" w:hAnsi="Arial" w:cs="Times New Roman"/>
          <w:b/>
          <w:sz w:val="24"/>
          <w:szCs w:val="24"/>
          <w:lang w:val="en-US" w:eastAsia="en-US"/>
        </w:rPr>
        <w:tab/>
      </w:r>
      <w:r w:rsidR="005C7F6F">
        <w:rPr>
          <w:rFonts w:ascii="Arial" w:eastAsia="MS Mincho" w:hAnsi="Arial" w:cs="Times New Roman"/>
          <w:sz w:val="24"/>
          <w:szCs w:val="24"/>
          <w:lang w:val="en-US" w:eastAsia="en-US"/>
        </w:rPr>
        <w:t>Sony</w:t>
      </w:r>
      <w:r w:rsidR="00205929">
        <w:rPr>
          <w:rFonts w:ascii="Arial" w:eastAsia="MS Mincho" w:hAnsi="Arial" w:cs="Times New Roman"/>
          <w:sz w:val="24"/>
          <w:szCs w:val="24"/>
          <w:lang w:val="en-US" w:eastAsia="en-US"/>
        </w:rPr>
        <w:t xml:space="preserve">, </w:t>
      </w:r>
      <w:r w:rsidR="00205929" w:rsidRPr="00143A7F">
        <w:rPr>
          <w:rFonts w:ascii="Arial" w:eastAsia="MS Mincho" w:hAnsi="Arial" w:cs="Times New Roman"/>
          <w:color w:val="000000" w:themeColor="text1"/>
          <w:sz w:val="24"/>
          <w:szCs w:val="24"/>
          <w:lang w:val="en-US" w:eastAsia="en-US"/>
        </w:rPr>
        <w:t>Ericsson</w:t>
      </w:r>
    </w:p>
    <w:p w:rsidR="00B061D6" w:rsidRPr="00B061D6" w:rsidRDefault="00B061D6" w:rsidP="00C17851">
      <w:pPr>
        <w:tabs>
          <w:tab w:val="left" w:pos="1985"/>
        </w:tabs>
        <w:spacing w:after="0" w:line="360" w:lineRule="auto"/>
        <w:ind w:right="-567"/>
        <w:rPr>
          <w:rFonts w:ascii="Arial" w:eastAsia="MS Mincho" w:hAnsi="Arial" w:cs="Times New Roman"/>
          <w:sz w:val="24"/>
          <w:szCs w:val="24"/>
          <w:lang w:val="en-US" w:eastAsia="en-US"/>
        </w:rPr>
      </w:pPr>
      <w:r w:rsidRPr="00B061D6">
        <w:rPr>
          <w:rFonts w:ascii="Arial" w:eastAsia="MS Mincho" w:hAnsi="Arial" w:cs="Times New Roman"/>
          <w:b/>
          <w:sz w:val="24"/>
          <w:szCs w:val="24"/>
          <w:lang w:val="en-US" w:eastAsia="en-US"/>
        </w:rPr>
        <w:t>Title:</w:t>
      </w:r>
      <w:r w:rsidRPr="00B061D6">
        <w:rPr>
          <w:rFonts w:ascii="Arial" w:eastAsia="MS Mincho" w:hAnsi="Arial" w:cs="Times New Roman"/>
          <w:sz w:val="24"/>
          <w:szCs w:val="24"/>
          <w:lang w:val="en-US" w:eastAsia="en-US"/>
        </w:rPr>
        <w:t xml:space="preserve"> </w:t>
      </w:r>
      <w:r w:rsidRPr="00B061D6">
        <w:rPr>
          <w:rFonts w:ascii="Arial" w:eastAsia="MS Mincho" w:hAnsi="Arial" w:cs="Times New Roman"/>
          <w:sz w:val="24"/>
          <w:szCs w:val="24"/>
          <w:lang w:val="en-US" w:eastAsia="en-US"/>
        </w:rPr>
        <w:tab/>
      </w:r>
      <w:bookmarkStart w:id="1" w:name="Title"/>
      <w:bookmarkEnd w:id="1"/>
      <w:r w:rsidR="001514DA">
        <w:rPr>
          <w:rFonts w:ascii="Arial" w:eastAsia="MS Mincho" w:hAnsi="Arial" w:cs="Times New Roman"/>
          <w:sz w:val="24"/>
          <w:szCs w:val="24"/>
          <w:lang w:val="en-US" w:eastAsia="en-US"/>
        </w:rPr>
        <w:t>UE Grey Box Approach for FR 2 OTA tests</w:t>
      </w:r>
    </w:p>
    <w:p w:rsidR="00B061D6" w:rsidRDefault="00B061D6" w:rsidP="00B061D6">
      <w:pPr>
        <w:tabs>
          <w:tab w:val="left" w:pos="1985"/>
        </w:tabs>
        <w:spacing w:after="0" w:line="360" w:lineRule="auto"/>
        <w:rPr>
          <w:rFonts w:ascii="Arial" w:eastAsia="MS Mincho" w:hAnsi="Arial" w:cs="Times New Roman"/>
          <w:sz w:val="24"/>
          <w:szCs w:val="24"/>
          <w:lang w:val="en-US" w:eastAsia="en-US"/>
        </w:rPr>
      </w:pPr>
      <w:r w:rsidRPr="00B061D6">
        <w:rPr>
          <w:rFonts w:ascii="Arial" w:eastAsia="MS Mincho" w:hAnsi="Arial" w:cs="Times New Roman"/>
          <w:b/>
          <w:sz w:val="24"/>
          <w:szCs w:val="24"/>
          <w:lang w:val="en-US" w:eastAsia="en-US"/>
        </w:rPr>
        <w:t>Document for:</w:t>
      </w:r>
      <w:r w:rsidRPr="00B061D6">
        <w:rPr>
          <w:rFonts w:ascii="Arial" w:eastAsia="MS Mincho" w:hAnsi="Arial" w:cs="Times New Roman"/>
          <w:sz w:val="24"/>
          <w:szCs w:val="24"/>
          <w:lang w:val="en-US" w:eastAsia="en-US"/>
        </w:rPr>
        <w:tab/>
      </w:r>
      <w:bookmarkStart w:id="2" w:name="DocumentFor"/>
      <w:bookmarkEnd w:id="2"/>
      <w:r w:rsidR="00297CEB">
        <w:rPr>
          <w:rFonts w:ascii="Arial" w:eastAsia="MS Mincho" w:hAnsi="Arial" w:cs="Times New Roman"/>
          <w:sz w:val="24"/>
          <w:szCs w:val="24"/>
          <w:lang w:val="en-US" w:eastAsia="en-US"/>
        </w:rPr>
        <w:t>Approval</w:t>
      </w:r>
      <w:bookmarkStart w:id="3" w:name="_GoBack"/>
      <w:bookmarkEnd w:id="3"/>
    </w:p>
    <w:p w:rsidR="00D63DBA" w:rsidRPr="00D63DBA" w:rsidRDefault="00D63DBA" w:rsidP="00D63DBA">
      <w:pPr>
        <w:pBdr>
          <w:bottom w:val="single" w:sz="12" w:space="1" w:color="auto"/>
        </w:pBdr>
        <w:spacing w:after="0" w:line="240" w:lineRule="auto"/>
        <w:rPr>
          <w:rFonts w:ascii="Arial" w:eastAsia="MS Mincho" w:hAnsi="Arial" w:cs="Times New Roman"/>
          <w:sz w:val="20"/>
          <w:szCs w:val="20"/>
          <w:lang w:val="en-US"/>
        </w:rPr>
      </w:pPr>
    </w:p>
    <w:p w:rsidR="00D63DBA" w:rsidRDefault="00D63DBA" w:rsidP="00B061D6">
      <w:pPr>
        <w:tabs>
          <w:tab w:val="left" w:pos="1985"/>
        </w:tabs>
        <w:spacing w:after="0" w:line="360" w:lineRule="auto"/>
        <w:rPr>
          <w:rFonts w:ascii="Arial" w:eastAsia="MS Mincho" w:hAnsi="Arial" w:cs="Times New Roman"/>
          <w:sz w:val="24"/>
          <w:szCs w:val="24"/>
          <w:lang w:val="en-US" w:eastAsia="en-US"/>
        </w:rPr>
      </w:pPr>
    </w:p>
    <w:p w:rsidR="00D63DBA" w:rsidRDefault="00D63DBA" w:rsidP="00B061D6">
      <w:pPr>
        <w:tabs>
          <w:tab w:val="left" w:pos="1985"/>
        </w:tabs>
        <w:spacing w:after="0" w:line="360" w:lineRule="auto"/>
        <w:rPr>
          <w:rFonts w:ascii="Arial" w:eastAsia="MS Mincho" w:hAnsi="Arial" w:cs="Times New Roman"/>
          <w:b/>
          <w:sz w:val="24"/>
          <w:szCs w:val="24"/>
          <w:lang w:val="en-US" w:eastAsia="en-US"/>
        </w:rPr>
      </w:pPr>
      <w:r>
        <w:rPr>
          <w:rFonts w:ascii="Arial" w:eastAsia="MS Mincho" w:hAnsi="Arial" w:cs="Times New Roman"/>
          <w:b/>
          <w:sz w:val="24"/>
          <w:szCs w:val="24"/>
          <w:lang w:val="en-US" w:eastAsia="en-US"/>
        </w:rPr>
        <w:t>Introduction</w:t>
      </w:r>
    </w:p>
    <w:p w:rsidR="00D63DBA" w:rsidRDefault="00535B78" w:rsidP="00B061D6">
      <w:pPr>
        <w:tabs>
          <w:tab w:val="left" w:pos="1985"/>
        </w:tabs>
        <w:spacing w:after="0" w:line="360" w:lineRule="auto"/>
        <w:rPr>
          <w:rFonts w:ascii="Arial" w:eastAsia="MS Mincho" w:hAnsi="Arial" w:cs="Times New Roman"/>
          <w:sz w:val="20"/>
          <w:szCs w:val="20"/>
          <w:lang w:val="en-US" w:eastAsia="en-US"/>
        </w:rPr>
      </w:pPr>
      <w:r>
        <w:rPr>
          <w:rFonts w:ascii="Arial" w:eastAsia="MS Mincho" w:hAnsi="Arial" w:cs="Times New Roman"/>
          <w:sz w:val="20"/>
          <w:szCs w:val="20"/>
          <w:lang w:val="en-US" w:eastAsia="en-US"/>
        </w:rPr>
        <w:t>It can be time consuming to discover at which direction in space</w:t>
      </w:r>
      <w:r w:rsidR="00D470C9"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 a</w:t>
      </w:r>
      <w:r w:rsidR="00A93199"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 UE offer its </w:t>
      </w:r>
      <w:r w:rsidR="00297CEB"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beam </w:t>
      </w:r>
      <w:r w:rsidR="00A93199">
        <w:rPr>
          <w:rFonts w:ascii="Arial" w:eastAsia="MS Mincho" w:hAnsi="Arial" w:cs="Times New Roman"/>
          <w:sz w:val="20"/>
          <w:szCs w:val="20"/>
          <w:lang w:val="en-US" w:eastAsia="en-US"/>
        </w:rPr>
        <w:t>peak</w:t>
      </w:r>
      <w:r w:rsidR="00297CEB">
        <w:rPr>
          <w:rFonts w:ascii="Arial" w:eastAsia="MS Mincho" w:hAnsi="Arial" w:cs="Times New Roman"/>
          <w:sz w:val="20"/>
          <w:szCs w:val="20"/>
          <w:lang w:val="en-US" w:eastAsia="en-US"/>
        </w:rPr>
        <w:t>s</w:t>
      </w:r>
      <w:r w:rsidR="00A93199"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 from FR2 OTA measurements. At R4 #84 it was decided to </w:t>
      </w:r>
      <w:r w:rsidR="00D44DF0">
        <w:rPr>
          <w:rFonts w:ascii="Arial" w:eastAsia="MS Mincho" w:hAnsi="Arial" w:cs="Times New Roman"/>
          <w:sz w:val="20"/>
          <w:szCs w:val="20"/>
          <w:lang w:val="en-US" w:eastAsia="en-US"/>
        </w:rPr>
        <w:t>adopt the “black box approach” described in [1] meaning no information about antenna position</w:t>
      </w:r>
      <w:r w:rsidR="006E33F5">
        <w:rPr>
          <w:rFonts w:ascii="Arial" w:eastAsia="MS Mincho" w:hAnsi="Arial" w:cs="Times New Roman"/>
          <w:sz w:val="20"/>
          <w:szCs w:val="20"/>
          <w:lang w:val="en-US" w:eastAsia="en-US"/>
        </w:rPr>
        <w:t>ing within the UE needs to</w:t>
      </w:r>
      <w:r w:rsidR="00D44DF0"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 be provided by manufacturers </w:t>
      </w:r>
      <w:r w:rsidR="00C870F9">
        <w:rPr>
          <w:rFonts w:ascii="Arial" w:eastAsia="MS Mincho" w:hAnsi="Arial" w:cs="Times New Roman"/>
          <w:sz w:val="20"/>
          <w:szCs w:val="20"/>
          <w:lang w:val="en-US" w:eastAsia="en-US"/>
        </w:rPr>
        <w:t>prior to qualification measurements.</w:t>
      </w:r>
      <w:r w:rsidR="006E33F5"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 This</w:t>
      </w:r>
      <w:r w:rsidR="00A5021B"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 approach</w:t>
      </w:r>
      <w:r w:rsidR="006E33F5"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 does however not p</w:t>
      </w:r>
      <w:r w:rsidR="00D22C79">
        <w:rPr>
          <w:rFonts w:ascii="Arial" w:eastAsia="MS Mincho" w:hAnsi="Arial" w:cs="Times New Roman"/>
          <w:sz w:val="20"/>
          <w:szCs w:val="20"/>
          <w:lang w:val="en-US" w:eastAsia="en-US"/>
        </w:rPr>
        <w:t>revent applicants from providing</w:t>
      </w:r>
      <w:r w:rsidR="006E33F5"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 their UE</w:t>
      </w:r>
      <w:r w:rsidR="00D22C79">
        <w:rPr>
          <w:rFonts w:ascii="Arial" w:eastAsia="MS Mincho" w:hAnsi="Arial" w:cs="Times New Roman"/>
          <w:sz w:val="20"/>
          <w:szCs w:val="20"/>
          <w:lang w:val="en-US" w:eastAsia="en-US"/>
        </w:rPr>
        <w:t>: s</w:t>
      </w:r>
      <w:r w:rsidR="006E33F5"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 beam peak direction(s).</w:t>
      </w:r>
    </w:p>
    <w:p w:rsidR="00835492" w:rsidRPr="00835492" w:rsidRDefault="00835492" w:rsidP="00835492">
      <w:pPr>
        <w:pBdr>
          <w:bottom w:val="single" w:sz="12" w:space="1" w:color="auto"/>
        </w:pBdr>
        <w:spacing w:after="0" w:line="240" w:lineRule="auto"/>
        <w:rPr>
          <w:rFonts w:ascii="Arial" w:eastAsia="MS Mincho" w:hAnsi="Arial" w:cs="Times New Roman"/>
          <w:sz w:val="20"/>
          <w:szCs w:val="20"/>
          <w:lang w:val="en-US"/>
        </w:rPr>
      </w:pPr>
    </w:p>
    <w:p w:rsidR="00835492" w:rsidRDefault="00835492" w:rsidP="00B061D6">
      <w:pPr>
        <w:tabs>
          <w:tab w:val="left" w:pos="1985"/>
        </w:tabs>
        <w:spacing w:after="0" w:line="360" w:lineRule="auto"/>
        <w:rPr>
          <w:rFonts w:ascii="Arial" w:eastAsia="MS Mincho" w:hAnsi="Arial" w:cs="Times New Roman"/>
          <w:sz w:val="20"/>
          <w:szCs w:val="20"/>
          <w:lang w:val="en-US" w:eastAsia="en-US"/>
        </w:rPr>
      </w:pPr>
    </w:p>
    <w:p w:rsidR="00835492" w:rsidRDefault="00C870F9" w:rsidP="00B061D6">
      <w:pPr>
        <w:tabs>
          <w:tab w:val="left" w:pos="1985"/>
        </w:tabs>
        <w:spacing w:after="0" w:line="360" w:lineRule="auto"/>
        <w:rPr>
          <w:rFonts w:ascii="Arial" w:eastAsia="MS Mincho" w:hAnsi="Arial" w:cs="Times New Roman"/>
          <w:b/>
          <w:sz w:val="24"/>
          <w:szCs w:val="24"/>
          <w:lang w:val="en-US" w:eastAsia="en-US"/>
        </w:rPr>
      </w:pPr>
      <w:r>
        <w:rPr>
          <w:rFonts w:ascii="Arial" w:eastAsia="MS Mincho" w:hAnsi="Arial" w:cs="Times New Roman"/>
          <w:b/>
          <w:sz w:val="24"/>
          <w:szCs w:val="24"/>
          <w:lang w:val="en-US" w:eastAsia="en-US"/>
        </w:rPr>
        <w:t>Proposal</w:t>
      </w:r>
    </w:p>
    <w:p w:rsidR="00DE3369" w:rsidRDefault="00C870F9" w:rsidP="00B061D6">
      <w:pPr>
        <w:tabs>
          <w:tab w:val="left" w:pos="1985"/>
        </w:tabs>
        <w:spacing w:after="0" w:line="360" w:lineRule="auto"/>
        <w:rPr>
          <w:rFonts w:ascii="Arial" w:eastAsia="MS Mincho" w:hAnsi="Arial" w:cs="Times New Roman"/>
          <w:sz w:val="20"/>
          <w:szCs w:val="20"/>
          <w:lang w:val="en-US" w:eastAsia="en-US"/>
        </w:rPr>
      </w:pPr>
      <w:r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It is here proposed </w:t>
      </w:r>
      <w:r w:rsidR="00974658"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the requirement specification </w:t>
      </w:r>
      <w:r w:rsidR="00D62FE5"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TS 38.101-2 to demand manufacturers to declare their UE: s TX and RX beam peak directions respectively according to the “Grey box” approach </w:t>
      </w:r>
      <w:r w:rsidR="00FB607F"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in the </w:t>
      </w:r>
      <w:r w:rsidR="00D62FE5">
        <w:rPr>
          <w:rFonts w:ascii="Arial" w:eastAsia="MS Mincho" w:hAnsi="Arial" w:cs="Times New Roman"/>
          <w:sz w:val="20"/>
          <w:szCs w:val="20"/>
          <w:lang w:val="en-US" w:eastAsia="en-US"/>
        </w:rPr>
        <w:t>below</w:t>
      </w:r>
      <w:r w:rsidR="00FB607F"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 table</w:t>
      </w:r>
      <w:r w:rsidR="00D62FE5"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. </w:t>
      </w:r>
      <w:r w:rsidR="00D470C9">
        <w:rPr>
          <w:rFonts w:ascii="Arial" w:eastAsia="MS Mincho" w:hAnsi="Arial" w:cs="Times New Roman"/>
          <w:sz w:val="20"/>
          <w:szCs w:val="20"/>
          <w:lang w:val="en-US" w:eastAsia="en-US"/>
        </w:rPr>
        <w:t>Thereby a UE can be character</w:t>
      </w:r>
      <w:r w:rsidR="00A5021B">
        <w:rPr>
          <w:rFonts w:ascii="Arial" w:eastAsia="MS Mincho" w:hAnsi="Arial" w:cs="Times New Roman"/>
          <w:sz w:val="20"/>
          <w:szCs w:val="20"/>
          <w:lang w:val="en-US" w:eastAsia="en-US"/>
        </w:rPr>
        <w:t>ized more quic</w:t>
      </w:r>
      <w:r w:rsidR="00D62FE5"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kly </w:t>
      </w:r>
      <w:r w:rsidR="00AA50CA"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and precise </w:t>
      </w:r>
      <w:r w:rsidR="00D62FE5">
        <w:rPr>
          <w:rFonts w:ascii="Arial" w:eastAsia="MS Mincho" w:hAnsi="Arial" w:cs="Times New Roman"/>
          <w:sz w:val="20"/>
          <w:szCs w:val="20"/>
          <w:lang w:val="en-US" w:eastAsia="en-US"/>
        </w:rPr>
        <w:t>with respect to its OTA</w:t>
      </w:r>
      <w:r w:rsidR="00A5021B"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 parameter</w:t>
      </w:r>
      <w:r w:rsidR="00D62FE5">
        <w:rPr>
          <w:rFonts w:ascii="Arial" w:eastAsia="MS Mincho" w:hAnsi="Arial" w:cs="Times New Roman"/>
          <w:sz w:val="20"/>
          <w:szCs w:val="20"/>
          <w:lang w:val="en-US" w:eastAsia="en-US"/>
        </w:rPr>
        <w:t>s</w:t>
      </w:r>
      <w:r w:rsidR="00A5021B">
        <w:rPr>
          <w:rFonts w:ascii="Arial" w:eastAsia="MS Mincho" w:hAnsi="Arial" w:cs="Times New Roman"/>
          <w:sz w:val="20"/>
          <w:szCs w:val="20"/>
          <w:lang w:val="en-US" w:eastAsia="en-US"/>
        </w:rPr>
        <w:t>.</w:t>
      </w:r>
      <w:r w:rsidR="00AA50CA"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 </w:t>
      </w:r>
      <w:r w:rsidR="00802AE0"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If its </w:t>
      </w:r>
      <w:r w:rsidR="0013192E"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peak </w:t>
      </w:r>
      <w:r w:rsidR="00802AE0"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beam direction is aligned well with the conditions required by a testing chamber in fact the power class parameter minimum EiRP max can be demanded with a tighter tolerance than by </w:t>
      </w:r>
      <w:r w:rsidR="00D40557">
        <w:rPr>
          <w:rFonts w:ascii="Arial" w:eastAsia="MS Mincho" w:hAnsi="Arial" w:cs="Times New Roman"/>
          <w:sz w:val="20"/>
          <w:szCs w:val="20"/>
          <w:lang w:val="en-US" w:eastAsia="en-US"/>
        </w:rPr>
        <w:t>the black bo</w:t>
      </w:r>
      <w:r w:rsidR="00B9043E">
        <w:rPr>
          <w:rFonts w:ascii="Arial" w:eastAsia="MS Mincho" w:hAnsi="Arial" w:cs="Times New Roman"/>
          <w:sz w:val="20"/>
          <w:szCs w:val="20"/>
          <w:lang w:val="en-US" w:eastAsia="en-US"/>
        </w:rPr>
        <w:t>x approach, i.e.</w:t>
      </w:r>
      <w:r w:rsidR="0013192E">
        <w:rPr>
          <w:rFonts w:ascii="Arial" w:eastAsia="MS Mincho" w:hAnsi="Arial" w:cs="Times New Roman"/>
          <w:sz w:val="20"/>
          <w:szCs w:val="20"/>
          <w:lang w:val="en-US" w:eastAsia="en-US"/>
        </w:rPr>
        <w:t>:</w:t>
      </w:r>
      <w:r w:rsidR="00C517E5"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 a higher value and is due to the lower MU expected.</w:t>
      </w:r>
    </w:p>
    <w:p w:rsidR="00F82255" w:rsidRDefault="00F82255" w:rsidP="00B061D6">
      <w:pPr>
        <w:tabs>
          <w:tab w:val="left" w:pos="1985"/>
        </w:tabs>
        <w:spacing w:after="0" w:line="360" w:lineRule="auto"/>
        <w:rPr>
          <w:rFonts w:ascii="Arial" w:eastAsia="MS Mincho" w:hAnsi="Arial" w:cs="Times New Roman"/>
          <w:sz w:val="20"/>
          <w:szCs w:val="20"/>
          <w:lang w:val="en-US" w:eastAsia="en-US"/>
        </w:rPr>
      </w:pPr>
    </w:p>
    <w:p w:rsidR="00460718" w:rsidRDefault="00F82255" w:rsidP="00B061D6">
      <w:pPr>
        <w:tabs>
          <w:tab w:val="left" w:pos="1985"/>
        </w:tabs>
        <w:spacing w:after="0" w:line="360" w:lineRule="auto"/>
        <w:rPr>
          <w:rFonts w:ascii="Arial" w:eastAsia="MS Mincho" w:hAnsi="Arial" w:cs="Times New Roman"/>
          <w:sz w:val="20"/>
          <w:szCs w:val="20"/>
          <w:lang w:val="en-US" w:eastAsia="en-US"/>
        </w:rPr>
      </w:pPr>
      <w:r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Please note that this proposal is not in conflict with the agreed black box approach since no information about antenna designs nor their </w:t>
      </w:r>
      <w:r w:rsidR="00297CEB"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detailed </w:t>
      </w:r>
      <w:r>
        <w:rPr>
          <w:rFonts w:ascii="Arial" w:eastAsia="MS Mincho" w:hAnsi="Arial" w:cs="Times New Roman"/>
          <w:sz w:val="20"/>
          <w:szCs w:val="20"/>
          <w:lang w:val="en-US" w:eastAsia="en-US"/>
        </w:rPr>
        <w:t>position</w:t>
      </w:r>
      <w:r w:rsidR="00297CEB">
        <w:rPr>
          <w:rFonts w:ascii="Arial" w:eastAsia="MS Mincho" w:hAnsi="Arial" w:cs="Times New Roman"/>
          <w:sz w:val="20"/>
          <w:szCs w:val="20"/>
          <w:lang w:val="en-US" w:eastAsia="en-US"/>
        </w:rPr>
        <w:t>s</w:t>
      </w:r>
      <w:r>
        <w:rPr>
          <w:rFonts w:ascii="Arial" w:eastAsia="MS Mincho" w:hAnsi="Arial" w:cs="Times New Roman"/>
          <w:sz w:val="20"/>
          <w:szCs w:val="20"/>
          <w:lang w:val="en-US" w:eastAsia="en-US"/>
        </w:rPr>
        <w:t xml:space="preserve"> is required.</w:t>
      </w:r>
    </w:p>
    <w:p w:rsidR="00297CEB" w:rsidRDefault="00297CEB" w:rsidP="00B061D6">
      <w:pPr>
        <w:tabs>
          <w:tab w:val="left" w:pos="1985"/>
        </w:tabs>
        <w:spacing w:after="0" w:line="360" w:lineRule="auto"/>
        <w:rPr>
          <w:rFonts w:ascii="Arial" w:eastAsia="MS Mincho" w:hAnsi="Arial" w:cs="Arial"/>
          <w:sz w:val="20"/>
          <w:szCs w:val="20"/>
          <w:lang w:val="en-US" w:eastAsia="en-US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127"/>
        <w:gridCol w:w="2522"/>
        <w:gridCol w:w="1308"/>
        <w:gridCol w:w="3260"/>
        <w:gridCol w:w="540"/>
        <w:gridCol w:w="594"/>
      </w:tblGrid>
      <w:tr w:rsidR="00E12141" w:rsidTr="00831B79">
        <w:tc>
          <w:tcPr>
            <w:tcW w:w="1127" w:type="dxa"/>
          </w:tcPr>
          <w:p w:rsidR="00E12141" w:rsidRPr="003E1DE9" w:rsidRDefault="00E12141" w:rsidP="00AD7805">
            <w:pPr>
              <w:tabs>
                <w:tab w:val="left" w:pos="1985"/>
              </w:tabs>
              <w:spacing w:line="276" w:lineRule="auto"/>
              <w:jc w:val="center"/>
              <w:rPr>
                <w:rFonts w:ascii="Arial" w:eastAsia="MS Mincho" w:hAnsi="Arial" w:cs="Times New Roman"/>
                <w:b/>
                <w:sz w:val="20"/>
                <w:szCs w:val="20"/>
                <w:lang w:val="en-US" w:eastAsia="en-US"/>
              </w:rPr>
            </w:pPr>
            <w:r w:rsidRPr="003E1DE9">
              <w:rPr>
                <w:rFonts w:ascii="Arial" w:eastAsia="MS Mincho" w:hAnsi="Arial" w:cs="Times New Roman"/>
                <w:b/>
                <w:sz w:val="20"/>
                <w:szCs w:val="20"/>
                <w:lang w:val="en-US" w:eastAsia="en-US"/>
              </w:rPr>
              <w:t>UE approach</w:t>
            </w:r>
          </w:p>
        </w:tc>
        <w:tc>
          <w:tcPr>
            <w:tcW w:w="2522" w:type="dxa"/>
          </w:tcPr>
          <w:p w:rsidR="00E12141" w:rsidRPr="003E1DE9" w:rsidRDefault="00E12141" w:rsidP="00AD7805">
            <w:pPr>
              <w:tabs>
                <w:tab w:val="left" w:pos="1985"/>
              </w:tabs>
              <w:spacing w:line="276" w:lineRule="auto"/>
              <w:jc w:val="center"/>
              <w:rPr>
                <w:rFonts w:ascii="Arial" w:eastAsia="MS Mincho" w:hAnsi="Arial" w:cs="Times New Roman"/>
                <w:b/>
                <w:sz w:val="20"/>
                <w:szCs w:val="20"/>
                <w:lang w:val="en-US" w:eastAsia="en-US"/>
              </w:rPr>
            </w:pPr>
            <w:r w:rsidRPr="003E1DE9">
              <w:rPr>
                <w:rFonts w:ascii="Arial" w:eastAsia="MS Mincho" w:hAnsi="Arial" w:cs="Times New Roman"/>
                <w:b/>
                <w:sz w:val="20"/>
                <w:szCs w:val="20"/>
                <w:lang w:val="en-US" w:eastAsia="en-US"/>
              </w:rPr>
              <w:t>Idea</w:t>
            </w:r>
          </w:p>
        </w:tc>
        <w:tc>
          <w:tcPr>
            <w:tcW w:w="1308" w:type="dxa"/>
          </w:tcPr>
          <w:p w:rsidR="00E12141" w:rsidRPr="003E1DE9" w:rsidRDefault="00E12141" w:rsidP="00AD7805">
            <w:pPr>
              <w:tabs>
                <w:tab w:val="left" w:pos="1985"/>
              </w:tabs>
              <w:spacing w:line="276" w:lineRule="auto"/>
              <w:jc w:val="center"/>
              <w:rPr>
                <w:rFonts w:ascii="Arial" w:eastAsia="MS Mincho" w:hAnsi="Arial" w:cs="Times New Roman"/>
                <w:b/>
                <w:sz w:val="20"/>
                <w:szCs w:val="20"/>
                <w:lang w:val="en-US" w:eastAsia="en-US"/>
              </w:rPr>
            </w:pPr>
            <w:r w:rsidRPr="003E1DE9">
              <w:rPr>
                <w:rFonts w:ascii="Arial" w:eastAsia="MS Mincho" w:hAnsi="Arial" w:cs="Times New Roman"/>
                <w:b/>
                <w:sz w:val="20"/>
                <w:szCs w:val="20"/>
                <w:lang w:val="en-US" w:eastAsia="en-US"/>
              </w:rPr>
              <w:t>RAN 4 decision</w:t>
            </w:r>
          </w:p>
        </w:tc>
        <w:tc>
          <w:tcPr>
            <w:tcW w:w="3800" w:type="dxa"/>
            <w:gridSpan w:val="2"/>
          </w:tcPr>
          <w:p w:rsidR="00E12141" w:rsidRDefault="00E12141" w:rsidP="00AD7805">
            <w:pPr>
              <w:tabs>
                <w:tab w:val="left" w:pos="1985"/>
              </w:tabs>
              <w:spacing w:line="276" w:lineRule="auto"/>
              <w:jc w:val="center"/>
              <w:rPr>
                <w:rFonts w:ascii="Arial" w:eastAsia="MS Mincho" w:hAnsi="Arial" w:cs="Times New Roman"/>
                <w:b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b/>
                <w:sz w:val="20"/>
                <w:szCs w:val="20"/>
                <w:lang w:val="en-US" w:eastAsia="en-US"/>
              </w:rPr>
              <w:t>Effects</w:t>
            </w:r>
            <w:r w:rsidR="00D22C79">
              <w:rPr>
                <w:rFonts w:ascii="Arial" w:eastAsia="MS Mincho" w:hAnsi="Arial" w:cs="Times New Roman"/>
                <w:b/>
                <w:sz w:val="20"/>
                <w:szCs w:val="20"/>
                <w:lang w:val="en-US" w:eastAsia="en-US"/>
              </w:rPr>
              <w:t xml:space="preserve"> o</w:t>
            </w:r>
            <w:r w:rsidRPr="003E1DE9">
              <w:rPr>
                <w:rFonts w:ascii="Arial" w:eastAsia="MS Mincho" w:hAnsi="Arial" w:cs="Times New Roman"/>
                <w:b/>
                <w:sz w:val="20"/>
                <w:szCs w:val="20"/>
                <w:lang w:val="en-US" w:eastAsia="en-US"/>
              </w:rPr>
              <w:t>n OTA testing</w:t>
            </w:r>
          </w:p>
        </w:tc>
        <w:tc>
          <w:tcPr>
            <w:tcW w:w="594" w:type="dxa"/>
          </w:tcPr>
          <w:p w:rsidR="00E12141" w:rsidRPr="003E1DE9" w:rsidRDefault="00E12141" w:rsidP="00AD7805">
            <w:pPr>
              <w:tabs>
                <w:tab w:val="left" w:pos="1985"/>
              </w:tabs>
              <w:spacing w:line="276" w:lineRule="auto"/>
              <w:jc w:val="center"/>
              <w:rPr>
                <w:rFonts w:ascii="Arial" w:eastAsia="MS Mincho" w:hAnsi="Arial" w:cs="Times New Roman"/>
                <w:b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b/>
                <w:sz w:val="20"/>
                <w:szCs w:val="20"/>
                <w:lang w:val="en-US" w:eastAsia="en-US"/>
              </w:rPr>
              <w:t>Ref.</w:t>
            </w:r>
          </w:p>
        </w:tc>
      </w:tr>
      <w:tr w:rsidR="00BF18A9" w:rsidTr="00831B79">
        <w:tc>
          <w:tcPr>
            <w:tcW w:w="1127" w:type="dxa"/>
          </w:tcPr>
          <w:p w:rsidR="00BF18A9" w:rsidRDefault="00BF18A9" w:rsidP="00AD7805">
            <w:pPr>
              <w:tabs>
                <w:tab w:val="left" w:pos="1985"/>
              </w:tabs>
              <w:spacing w:line="276" w:lineRule="auto"/>
              <w:jc w:val="center"/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  <w:t>White box</w:t>
            </w:r>
          </w:p>
        </w:tc>
        <w:tc>
          <w:tcPr>
            <w:tcW w:w="2522" w:type="dxa"/>
          </w:tcPr>
          <w:p w:rsidR="00BF18A9" w:rsidRDefault="00BF18A9" w:rsidP="00AD7805">
            <w:pPr>
              <w:tabs>
                <w:tab w:val="left" w:pos="1985"/>
              </w:tabs>
              <w:spacing w:line="276" w:lineRule="auto"/>
              <w:jc w:val="center"/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  <w:t>Antenna locations in UE provided by manufacturer</w:t>
            </w:r>
          </w:p>
        </w:tc>
        <w:tc>
          <w:tcPr>
            <w:tcW w:w="1308" w:type="dxa"/>
          </w:tcPr>
          <w:p w:rsidR="00BF18A9" w:rsidRDefault="00BF18A9" w:rsidP="00AD7805">
            <w:pPr>
              <w:tabs>
                <w:tab w:val="left" w:pos="1985"/>
              </w:tabs>
              <w:spacing w:line="276" w:lineRule="auto"/>
              <w:jc w:val="center"/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  <w:t>Stopped</w:t>
            </w:r>
          </w:p>
        </w:tc>
        <w:tc>
          <w:tcPr>
            <w:tcW w:w="3260" w:type="dxa"/>
          </w:tcPr>
          <w:p w:rsidR="00BF18A9" w:rsidRDefault="00BF18A9" w:rsidP="00AD7805">
            <w:pPr>
              <w:tabs>
                <w:tab w:val="left" w:pos="1985"/>
              </w:tabs>
              <w:spacing w:line="276" w:lineRule="auto"/>
              <w:jc w:val="center"/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  <w:t xml:space="preserve">Low Measurement Uncertainty </w:t>
            </w:r>
            <w:r w:rsidR="00831B79">
              <w:rPr>
                <w:rFonts w:ascii="Arial" w:eastAsia="MS Mincho" w:hAnsi="Arial" w:cs="Arial"/>
                <w:color w:val="000000" w:themeColor="text1"/>
                <w:sz w:val="20"/>
                <w:szCs w:val="20"/>
                <w:lang w:val="en-US" w:eastAsia="en-US"/>
              </w:rPr>
              <w:t>due to accurate</w:t>
            </w:r>
            <w:r w:rsidRPr="00BF18A9">
              <w:rPr>
                <w:rFonts w:ascii="Arial" w:eastAsia="MS Mincho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positioning</w:t>
            </w:r>
            <w:r w:rsidR="00831B79">
              <w:rPr>
                <w:rFonts w:ascii="Arial" w:eastAsia="MS Mincho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in QZ</w:t>
            </w:r>
          </w:p>
        </w:tc>
        <w:tc>
          <w:tcPr>
            <w:tcW w:w="540" w:type="dxa"/>
          </w:tcPr>
          <w:p w:rsidR="00BF18A9" w:rsidRPr="00BF18A9" w:rsidRDefault="00BF18A9" w:rsidP="00AD7805">
            <w:pPr>
              <w:tabs>
                <w:tab w:val="left" w:pos="1985"/>
              </w:tabs>
              <w:spacing w:line="276" w:lineRule="auto"/>
              <w:jc w:val="center"/>
              <w:rPr>
                <w:rFonts w:ascii="Arial" w:eastAsia="MS Mincho" w:hAnsi="Arial" w:cs="Times New Roman"/>
                <w:sz w:val="28"/>
                <w:szCs w:val="28"/>
                <w:lang w:val="en-US" w:eastAsia="en-US"/>
              </w:rPr>
            </w:pPr>
            <w:r w:rsidRPr="00BF18A9">
              <w:rPr>
                <w:rFonts w:ascii="Arial" w:eastAsia="MS Mincho" w:hAnsi="Arial" w:cs="Times New Roman"/>
                <w:sz w:val="28"/>
                <w:szCs w:val="28"/>
                <w:lang w:val="en-US" w:eastAsia="en-US"/>
              </w:rPr>
              <w:sym w:font="Wingdings" w:char="F04A"/>
            </w:r>
          </w:p>
        </w:tc>
        <w:tc>
          <w:tcPr>
            <w:tcW w:w="594" w:type="dxa"/>
          </w:tcPr>
          <w:p w:rsidR="00BF18A9" w:rsidRDefault="00BF18A9" w:rsidP="00AD7805">
            <w:pPr>
              <w:tabs>
                <w:tab w:val="left" w:pos="1985"/>
              </w:tabs>
              <w:spacing w:line="276" w:lineRule="auto"/>
              <w:jc w:val="center"/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</w:pPr>
          </w:p>
        </w:tc>
      </w:tr>
      <w:tr w:rsidR="00BF18A9" w:rsidTr="00831B79">
        <w:tc>
          <w:tcPr>
            <w:tcW w:w="1127" w:type="dxa"/>
          </w:tcPr>
          <w:p w:rsidR="00BF18A9" w:rsidRDefault="00BF18A9" w:rsidP="00AD7805">
            <w:pPr>
              <w:tabs>
                <w:tab w:val="left" w:pos="1985"/>
              </w:tabs>
              <w:spacing w:line="276" w:lineRule="auto"/>
              <w:jc w:val="center"/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  <w:t>Black box</w:t>
            </w:r>
          </w:p>
        </w:tc>
        <w:tc>
          <w:tcPr>
            <w:tcW w:w="2522" w:type="dxa"/>
          </w:tcPr>
          <w:p w:rsidR="00BF18A9" w:rsidRDefault="00BF18A9" w:rsidP="00AD7805">
            <w:pPr>
              <w:tabs>
                <w:tab w:val="left" w:pos="1985"/>
              </w:tabs>
              <w:spacing w:line="276" w:lineRule="auto"/>
              <w:jc w:val="center"/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  <w:t>Out of the box testing</w:t>
            </w:r>
          </w:p>
        </w:tc>
        <w:tc>
          <w:tcPr>
            <w:tcW w:w="1308" w:type="dxa"/>
          </w:tcPr>
          <w:p w:rsidR="00BF18A9" w:rsidRDefault="00BF18A9" w:rsidP="00AD7805">
            <w:pPr>
              <w:tabs>
                <w:tab w:val="left" w:pos="1985"/>
              </w:tabs>
              <w:spacing w:line="276" w:lineRule="auto"/>
              <w:jc w:val="center"/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  <w:t>Approved</w:t>
            </w:r>
          </w:p>
        </w:tc>
        <w:tc>
          <w:tcPr>
            <w:tcW w:w="3260" w:type="dxa"/>
          </w:tcPr>
          <w:p w:rsidR="00BF18A9" w:rsidRDefault="00BF18A9" w:rsidP="00AD7805">
            <w:pPr>
              <w:tabs>
                <w:tab w:val="left" w:pos="1985"/>
              </w:tabs>
              <w:spacing w:line="276" w:lineRule="auto"/>
              <w:jc w:val="center"/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  <w:t>Worse MU</w:t>
            </w:r>
            <w:r w:rsidR="00CF5CA6"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  <w:t xml:space="preserve">, larger risk of not </w:t>
            </w:r>
            <w:r w:rsidR="004819F2"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  <w:t xml:space="preserve">detecting best EiRP and </w:t>
            </w:r>
            <w:proofErr w:type="spellStart"/>
            <w:r w:rsidR="004819F2"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  <w:t>EiS</w:t>
            </w:r>
            <w:proofErr w:type="spellEnd"/>
          </w:p>
        </w:tc>
        <w:tc>
          <w:tcPr>
            <w:tcW w:w="540" w:type="dxa"/>
          </w:tcPr>
          <w:p w:rsidR="00BF18A9" w:rsidRPr="00BF18A9" w:rsidRDefault="00BF18A9" w:rsidP="00AD7805">
            <w:pPr>
              <w:tabs>
                <w:tab w:val="left" w:pos="1985"/>
              </w:tabs>
              <w:spacing w:line="276" w:lineRule="auto"/>
              <w:jc w:val="center"/>
              <w:rPr>
                <w:rFonts w:ascii="Arial" w:eastAsia="MS Mincho" w:hAnsi="Arial" w:cs="Times New Roman"/>
                <w:sz w:val="28"/>
                <w:szCs w:val="28"/>
                <w:lang w:val="en-US" w:eastAsia="en-US"/>
              </w:rPr>
            </w:pPr>
            <w:r w:rsidRPr="00BF18A9">
              <w:rPr>
                <w:rFonts w:ascii="Arial" w:eastAsia="MS Mincho" w:hAnsi="Arial" w:cs="Times New Roman"/>
                <w:sz w:val="28"/>
                <w:szCs w:val="28"/>
                <w:lang w:val="en-US" w:eastAsia="en-US"/>
              </w:rPr>
              <w:sym w:font="Wingdings" w:char="F04C"/>
            </w:r>
          </w:p>
        </w:tc>
        <w:tc>
          <w:tcPr>
            <w:tcW w:w="594" w:type="dxa"/>
          </w:tcPr>
          <w:p w:rsidR="00BF18A9" w:rsidRDefault="00BF18A9" w:rsidP="00AD7805">
            <w:pPr>
              <w:tabs>
                <w:tab w:val="left" w:pos="1985"/>
              </w:tabs>
              <w:spacing w:line="276" w:lineRule="auto"/>
              <w:jc w:val="center"/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  <w:t>[1]</w:t>
            </w:r>
          </w:p>
        </w:tc>
      </w:tr>
      <w:tr w:rsidR="00BF18A9" w:rsidTr="00831B79">
        <w:tc>
          <w:tcPr>
            <w:tcW w:w="1127" w:type="dxa"/>
          </w:tcPr>
          <w:p w:rsidR="00BF18A9" w:rsidRDefault="00BF18A9" w:rsidP="00AD7805">
            <w:pPr>
              <w:tabs>
                <w:tab w:val="left" w:pos="1985"/>
              </w:tabs>
              <w:spacing w:line="276" w:lineRule="auto"/>
              <w:jc w:val="center"/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  <w:t>Pink box</w:t>
            </w:r>
          </w:p>
        </w:tc>
        <w:tc>
          <w:tcPr>
            <w:tcW w:w="2522" w:type="dxa"/>
          </w:tcPr>
          <w:p w:rsidR="00BF18A9" w:rsidRDefault="004819F2" w:rsidP="00AD7805">
            <w:pPr>
              <w:tabs>
                <w:tab w:val="left" w:pos="1985"/>
              </w:tabs>
              <w:spacing w:line="276" w:lineRule="auto"/>
              <w:jc w:val="center"/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  <w:t>Limited s</w:t>
            </w:r>
            <w:r w:rsidR="00BF18A9"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  <w:t>ector in space only testing</w:t>
            </w:r>
          </w:p>
        </w:tc>
        <w:tc>
          <w:tcPr>
            <w:tcW w:w="1308" w:type="dxa"/>
          </w:tcPr>
          <w:p w:rsidR="00BF18A9" w:rsidRDefault="00BF18A9" w:rsidP="00AD7805">
            <w:pPr>
              <w:tabs>
                <w:tab w:val="left" w:pos="1985"/>
              </w:tabs>
              <w:spacing w:line="276" w:lineRule="auto"/>
              <w:jc w:val="center"/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  <w:t>Noted</w:t>
            </w:r>
          </w:p>
        </w:tc>
        <w:tc>
          <w:tcPr>
            <w:tcW w:w="3260" w:type="dxa"/>
          </w:tcPr>
          <w:p w:rsidR="00BF18A9" w:rsidRDefault="00CF5CA6" w:rsidP="00AD7805">
            <w:pPr>
              <w:tabs>
                <w:tab w:val="left" w:pos="1985"/>
              </w:tabs>
              <w:spacing w:line="276" w:lineRule="auto"/>
              <w:jc w:val="center"/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  <w:t>Quicker</w:t>
            </w:r>
            <w:r w:rsidR="00BF18A9"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  <w:t xml:space="preserve"> EiRP</w:t>
            </w:r>
            <w:r w:rsidR="00E12141"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  <w:t>/</w:t>
            </w:r>
            <w:proofErr w:type="spellStart"/>
            <w:r w:rsidR="00E12141"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  <w:t>EiS</w:t>
            </w:r>
            <w:proofErr w:type="spellEnd"/>
            <w:r w:rsidR="00BF18A9"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  <w:t xml:space="preserve">or </w:t>
            </w:r>
            <w:proofErr w:type="spellStart"/>
            <w:r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  <w:t>FoM</w:t>
            </w:r>
            <w:proofErr w:type="spellEnd"/>
            <w:r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  <w:t xml:space="preserve"> </w:t>
            </w:r>
            <w:r w:rsidR="00BF18A9"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  <w:t>testing at a typical user position</w:t>
            </w:r>
          </w:p>
        </w:tc>
        <w:tc>
          <w:tcPr>
            <w:tcW w:w="540" w:type="dxa"/>
          </w:tcPr>
          <w:p w:rsidR="00BF18A9" w:rsidRPr="00BF18A9" w:rsidRDefault="00BF18A9" w:rsidP="00AD7805">
            <w:pPr>
              <w:tabs>
                <w:tab w:val="left" w:pos="1985"/>
              </w:tabs>
              <w:spacing w:line="276" w:lineRule="auto"/>
              <w:jc w:val="center"/>
              <w:rPr>
                <w:rFonts w:ascii="Arial" w:eastAsia="MS Mincho" w:hAnsi="Arial" w:cs="Times New Roman"/>
                <w:sz w:val="28"/>
                <w:szCs w:val="28"/>
                <w:lang w:val="en-US" w:eastAsia="en-US"/>
              </w:rPr>
            </w:pPr>
            <w:r w:rsidRPr="00BF18A9">
              <w:rPr>
                <w:rFonts w:ascii="Arial" w:eastAsia="MS Mincho" w:hAnsi="Arial" w:cs="Times New Roman"/>
                <w:sz w:val="28"/>
                <w:szCs w:val="28"/>
                <w:lang w:val="en-US" w:eastAsia="en-US"/>
              </w:rPr>
              <w:sym w:font="Wingdings" w:char="F04A"/>
            </w:r>
          </w:p>
        </w:tc>
        <w:tc>
          <w:tcPr>
            <w:tcW w:w="594" w:type="dxa"/>
          </w:tcPr>
          <w:p w:rsidR="00BF18A9" w:rsidRDefault="00BF18A9" w:rsidP="00AD7805">
            <w:pPr>
              <w:tabs>
                <w:tab w:val="left" w:pos="1985"/>
              </w:tabs>
              <w:spacing w:line="276" w:lineRule="auto"/>
              <w:jc w:val="center"/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  <w:t>[2]</w:t>
            </w:r>
          </w:p>
        </w:tc>
      </w:tr>
      <w:tr w:rsidR="00BF18A9" w:rsidTr="00831B79">
        <w:tc>
          <w:tcPr>
            <w:tcW w:w="1127" w:type="dxa"/>
          </w:tcPr>
          <w:p w:rsidR="00BF18A9" w:rsidRDefault="00BF18A9" w:rsidP="00AD7805">
            <w:pPr>
              <w:tabs>
                <w:tab w:val="left" w:pos="1985"/>
              </w:tabs>
              <w:spacing w:line="276" w:lineRule="auto"/>
              <w:jc w:val="center"/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  <w:t>Grey box</w:t>
            </w:r>
          </w:p>
        </w:tc>
        <w:tc>
          <w:tcPr>
            <w:tcW w:w="2522" w:type="dxa"/>
          </w:tcPr>
          <w:p w:rsidR="00BF18A9" w:rsidRDefault="00BF18A9" w:rsidP="00AD7805">
            <w:pPr>
              <w:tabs>
                <w:tab w:val="left" w:pos="1985"/>
              </w:tabs>
              <w:spacing w:line="276" w:lineRule="auto"/>
              <w:jc w:val="center"/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  <w:t>Manufacturers to declare TX and RX beam peak directions resp.</w:t>
            </w:r>
          </w:p>
        </w:tc>
        <w:tc>
          <w:tcPr>
            <w:tcW w:w="1308" w:type="dxa"/>
          </w:tcPr>
          <w:p w:rsidR="00BF18A9" w:rsidRDefault="00BF18A9" w:rsidP="00AD7805">
            <w:pPr>
              <w:tabs>
                <w:tab w:val="left" w:pos="1985"/>
              </w:tabs>
              <w:spacing w:line="276" w:lineRule="auto"/>
              <w:jc w:val="center"/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  <w:t>This paper</w:t>
            </w:r>
          </w:p>
        </w:tc>
        <w:tc>
          <w:tcPr>
            <w:tcW w:w="3260" w:type="dxa"/>
          </w:tcPr>
          <w:p w:rsidR="00BF18A9" w:rsidRDefault="00432569" w:rsidP="00AD7805">
            <w:pPr>
              <w:tabs>
                <w:tab w:val="left" w:pos="1985"/>
              </w:tabs>
              <w:spacing w:line="276" w:lineRule="auto"/>
              <w:jc w:val="center"/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  <w:t>Quick</w:t>
            </w:r>
            <w:r w:rsidR="00BF18A9"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  <w:t xml:space="preserve"> </w:t>
            </w:r>
            <w:r w:rsidR="00D75403"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  <w:t xml:space="preserve">and accurate </w:t>
            </w:r>
            <w:r w:rsidR="00BF18A9"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  <w:t>beam peak tests</w:t>
            </w:r>
            <w:r w:rsidR="00E12141"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  <w:t>.</w:t>
            </w:r>
          </w:p>
          <w:p w:rsidR="00BF18A9" w:rsidRPr="00D75403" w:rsidRDefault="00BF18A9" w:rsidP="00AD7805">
            <w:pPr>
              <w:tabs>
                <w:tab w:val="left" w:pos="1985"/>
              </w:tabs>
              <w:spacing w:line="276" w:lineRule="auto"/>
              <w:jc w:val="center"/>
              <w:rPr>
                <w:rFonts w:ascii="Arial" w:eastAsia="MS Mincho" w:hAnsi="Arial" w:cs="Times New Roman"/>
                <w:sz w:val="18"/>
                <w:szCs w:val="18"/>
                <w:lang w:val="en-US" w:eastAsia="en-US"/>
              </w:rPr>
            </w:pPr>
            <w:r w:rsidRPr="00D75403">
              <w:rPr>
                <w:rFonts w:ascii="Arial" w:eastAsia="MS Mincho" w:hAnsi="Arial" w:cs="Times New Roman"/>
                <w:sz w:val="18"/>
                <w:szCs w:val="18"/>
                <w:lang w:val="en-US" w:eastAsia="en-US"/>
              </w:rPr>
              <w:t xml:space="preserve">Beam correspondence information </w:t>
            </w:r>
            <w:r w:rsidR="00E12141" w:rsidRPr="00D75403">
              <w:rPr>
                <w:rFonts w:ascii="Arial" w:eastAsia="MS Mincho" w:hAnsi="Arial" w:cs="Times New Roman"/>
                <w:sz w:val="18"/>
                <w:szCs w:val="18"/>
                <w:lang w:val="en-US" w:eastAsia="en-US"/>
              </w:rPr>
              <w:t xml:space="preserve">automatically </w:t>
            </w:r>
            <w:r w:rsidRPr="00D75403">
              <w:rPr>
                <w:rFonts w:ascii="Arial" w:eastAsia="MS Mincho" w:hAnsi="Arial" w:cs="Times New Roman"/>
                <w:sz w:val="18"/>
                <w:szCs w:val="18"/>
                <w:lang w:val="en-US" w:eastAsia="en-US"/>
              </w:rPr>
              <w:t>provided</w:t>
            </w:r>
          </w:p>
        </w:tc>
        <w:tc>
          <w:tcPr>
            <w:tcW w:w="540" w:type="dxa"/>
          </w:tcPr>
          <w:p w:rsidR="00BF18A9" w:rsidRPr="00BF18A9" w:rsidRDefault="00BF18A9" w:rsidP="00AD7805">
            <w:pPr>
              <w:tabs>
                <w:tab w:val="left" w:pos="1985"/>
              </w:tabs>
              <w:spacing w:line="276" w:lineRule="auto"/>
              <w:jc w:val="center"/>
              <w:rPr>
                <w:rFonts w:ascii="Arial" w:eastAsia="MS Mincho" w:hAnsi="Arial" w:cs="Times New Roman"/>
                <w:sz w:val="28"/>
                <w:szCs w:val="28"/>
                <w:lang w:val="en-US" w:eastAsia="en-US"/>
              </w:rPr>
            </w:pPr>
            <w:r w:rsidRPr="00BF18A9">
              <w:rPr>
                <w:rFonts w:ascii="Arial" w:eastAsia="MS Mincho" w:hAnsi="Arial" w:cs="Times New Roman"/>
                <w:sz w:val="28"/>
                <w:szCs w:val="28"/>
                <w:lang w:val="en-US" w:eastAsia="en-US"/>
              </w:rPr>
              <w:sym w:font="Wingdings" w:char="F04A"/>
            </w:r>
          </w:p>
        </w:tc>
        <w:tc>
          <w:tcPr>
            <w:tcW w:w="594" w:type="dxa"/>
          </w:tcPr>
          <w:p w:rsidR="00BF18A9" w:rsidRDefault="00BF18A9" w:rsidP="00AD7805">
            <w:pPr>
              <w:tabs>
                <w:tab w:val="left" w:pos="1985"/>
              </w:tabs>
              <w:spacing w:line="276" w:lineRule="auto"/>
              <w:jc w:val="center"/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 w:val="20"/>
                <w:szCs w:val="20"/>
                <w:lang w:val="en-US" w:eastAsia="en-US"/>
              </w:rPr>
              <w:t>[3]</w:t>
            </w:r>
          </w:p>
        </w:tc>
      </w:tr>
    </w:tbl>
    <w:p w:rsidR="00460718" w:rsidRDefault="00460718" w:rsidP="00B061D6">
      <w:pPr>
        <w:tabs>
          <w:tab w:val="left" w:pos="1985"/>
        </w:tabs>
        <w:spacing w:after="0" w:line="360" w:lineRule="auto"/>
        <w:rPr>
          <w:rFonts w:ascii="Arial" w:eastAsia="MS Mincho" w:hAnsi="Arial" w:cs="Times New Roman"/>
          <w:sz w:val="20"/>
          <w:szCs w:val="20"/>
          <w:lang w:val="en-US" w:eastAsia="en-US"/>
        </w:rPr>
      </w:pPr>
    </w:p>
    <w:p w:rsidR="00FB607F" w:rsidRPr="00D75403" w:rsidRDefault="00180EC9" w:rsidP="00B9043E">
      <w:pPr>
        <w:tabs>
          <w:tab w:val="left" w:pos="1985"/>
        </w:tabs>
        <w:spacing w:after="0" w:line="360" w:lineRule="auto"/>
        <w:ind w:right="-567"/>
        <w:rPr>
          <w:rFonts w:ascii="Arial" w:eastAsia="MS Mincho" w:hAnsi="Arial" w:cs="Times New Roman"/>
          <w:sz w:val="18"/>
          <w:szCs w:val="18"/>
          <w:lang w:val="en-US" w:eastAsia="en-US"/>
        </w:rPr>
      </w:pPr>
      <w:r w:rsidRPr="00D75403">
        <w:rPr>
          <w:rFonts w:ascii="Arial" w:eastAsia="MS Mincho" w:hAnsi="Arial" w:cs="Times New Roman"/>
          <w:sz w:val="18"/>
          <w:szCs w:val="18"/>
          <w:lang w:val="en-US" w:eastAsia="en-US"/>
        </w:rPr>
        <w:t>Table 1. Overview of FR 2 UE OTA testing approaches discussed</w:t>
      </w:r>
      <w:r w:rsidR="00E97B2D" w:rsidRPr="00D75403">
        <w:rPr>
          <w:rFonts w:ascii="Arial" w:eastAsia="MS Mincho" w:hAnsi="Arial" w:cs="Times New Roman"/>
          <w:sz w:val="18"/>
          <w:szCs w:val="18"/>
          <w:lang w:val="en-US" w:eastAsia="en-US"/>
        </w:rPr>
        <w:t xml:space="preserve"> at recent RAN 4 meetings.</w:t>
      </w:r>
      <w:r w:rsidRPr="00D75403">
        <w:rPr>
          <w:rFonts w:ascii="Arial" w:eastAsia="MS Mincho" w:hAnsi="Arial" w:cs="Times New Roman"/>
          <w:sz w:val="18"/>
          <w:szCs w:val="18"/>
          <w:lang w:val="en-US" w:eastAsia="en-US"/>
        </w:rPr>
        <w:t xml:space="preserve"> </w:t>
      </w:r>
      <w:r w:rsidR="00D22C79" w:rsidRPr="00D75403">
        <w:rPr>
          <w:rFonts w:ascii="Arial" w:eastAsia="MS Mincho" w:hAnsi="Arial" w:cs="Times New Roman"/>
          <w:sz w:val="18"/>
          <w:szCs w:val="18"/>
          <w:lang w:val="en-US" w:eastAsia="en-US"/>
        </w:rPr>
        <w:t>(QZ=</w:t>
      </w:r>
      <w:r w:rsidR="008A6E80" w:rsidRPr="00D75403">
        <w:rPr>
          <w:rFonts w:ascii="Arial" w:eastAsia="MS Mincho" w:hAnsi="Arial" w:cs="Times New Roman"/>
          <w:sz w:val="18"/>
          <w:szCs w:val="18"/>
          <w:lang w:val="en-US" w:eastAsia="en-US"/>
        </w:rPr>
        <w:t xml:space="preserve">quiet zone in anechoic chambers in which </w:t>
      </w:r>
      <w:r w:rsidR="00B9043E" w:rsidRPr="00D75403">
        <w:rPr>
          <w:rFonts w:ascii="Arial" w:eastAsia="MS Mincho" w:hAnsi="Arial" w:cs="Times New Roman"/>
          <w:sz w:val="18"/>
          <w:szCs w:val="18"/>
          <w:lang w:val="en-US" w:eastAsia="en-US"/>
        </w:rPr>
        <w:t>a UE</w:t>
      </w:r>
      <w:r w:rsidR="008A6E80" w:rsidRPr="00D75403">
        <w:rPr>
          <w:rFonts w:ascii="Arial" w:eastAsia="MS Mincho" w:hAnsi="Arial" w:cs="Times New Roman"/>
          <w:sz w:val="18"/>
          <w:szCs w:val="18"/>
          <w:lang w:val="en-US" w:eastAsia="en-US"/>
        </w:rPr>
        <w:t xml:space="preserve"> </w:t>
      </w:r>
      <w:r w:rsidR="00B9043E" w:rsidRPr="00D75403">
        <w:rPr>
          <w:rFonts w:ascii="Arial" w:eastAsia="MS Mincho" w:hAnsi="Arial" w:cs="Times New Roman"/>
          <w:sz w:val="18"/>
          <w:szCs w:val="18"/>
          <w:lang w:val="en-US" w:eastAsia="en-US"/>
        </w:rPr>
        <w:t>under test is</w:t>
      </w:r>
      <w:r w:rsidR="008A6E80" w:rsidRPr="00D75403">
        <w:rPr>
          <w:rFonts w:ascii="Arial" w:eastAsia="MS Mincho" w:hAnsi="Arial" w:cs="Times New Roman"/>
          <w:sz w:val="18"/>
          <w:szCs w:val="18"/>
          <w:lang w:val="en-US" w:eastAsia="en-US"/>
        </w:rPr>
        <w:t xml:space="preserve"> located</w:t>
      </w:r>
      <w:r w:rsidR="00D22C79" w:rsidRPr="00D75403">
        <w:rPr>
          <w:rFonts w:ascii="Arial" w:eastAsia="MS Mincho" w:hAnsi="Arial" w:cs="Times New Roman"/>
          <w:sz w:val="18"/>
          <w:szCs w:val="18"/>
          <w:lang w:val="en-US" w:eastAsia="en-US"/>
        </w:rPr>
        <w:t>).</w:t>
      </w:r>
    </w:p>
    <w:p w:rsidR="00E97B2D" w:rsidRDefault="00E97B2D">
      <w:pPr>
        <w:rPr>
          <w:rFonts w:ascii="Arial" w:hAnsi="Arial" w:cs="Arial"/>
          <w:lang w:val="en-US"/>
        </w:rPr>
      </w:pPr>
    </w:p>
    <w:p w:rsidR="00C17851" w:rsidRDefault="00C17851">
      <w:pPr>
        <w:rPr>
          <w:rFonts w:ascii="Arial" w:hAnsi="Arial" w:cs="Arial"/>
          <w:b/>
          <w:sz w:val="24"/>
          <w:szCs w:val="24"/>
          <w:lang w:val="en-US"/>
        </w:rPr>
      </w:pPr>
      <w:r w:rsidRPr="00C17851">
        <w:rPr>
          <w:rFonts w:ascii="Arial" w:hAnsi="Arial" w:cs="Arial"/>
          <w:b/>
          <w:sz w:val="24"/>
          <w:szCs w:val="24"/>
          <w:lang w:val="en-US"/>
        </w:rPr>
        <w:t>Conclusion</w:t>
      </w:r>
    </w:p>
    <w:p w:rsidR="00C17851" w:rsidRDefault="00BD20D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It is proposed</w:t>
      </w:r>
      <w:r w:rsidR="00D62FE5">
        <w:rPr>
          <w:rFonts w:ascii="Arial" w:hAnsi="Arial" w:cs="Arial"/>
          <w:lang w:val="en-US"/>
        </w:rPr>
        <w:t xml:space="preserve"> UE manufacturers</w:t>
      </w:r>
      <w:r w:rsidR="00434D5C">
        <w:rPr>
          <w:rFonts w:ascii="Arial" w:hAnsi="Arial" w:cs="Arial"/>
          <w:lang w:val="en-US"/>
        </w:rPr>
        <w:t xml:space="preserve"> </w:t>
      </w:r>
      <w:r w:rsidR="00E97B2D">
        <w:rPr>
          <w:rFonts w:ascii="Arial" w:hAnsi="Arial" w:cs="Arial"/>
          <w:lang w:val="en-US"/>
        </w:rPr>
        <w:t xml:space="preserve">to </w:t>
      </w:r>
      <w:r w:rsidR="00434D5C">
        <w:rPr>
          <w:rFonts w:ascii="Arial" w:hAnsi="Arial" w:cs="Arial"/>
          <w:lang w:val="en-US"/>
        </w:rPr>
        <w:t>declare at which direction in s</w:t>
      </w:r>
      <w:r w:rsidR="00D62FE5">
        <w:rPr>
          <w:rFonts w:ascii="Arial" w:hAnsi="Arial" w:cs="Arial"/>
          <w:lang w:val="en-US"/>
        </w:rPr>
        <w:t xml:space="preserve">pace their UE: s obtain </w:t>
      </w:r>
      <w:r w:rsidR="00FB607F">
        <w:rPr>
          <w:rFonts w:ascii="Arial" w:hAnsi="Arial" w:cs="Arial"/>
          <w:lang w:val="en-US"/>
        </w:rPr>
        <w:t>TX and RX beam peak responses respectively.</w:t>
      </w:r>
      <w:r w:rsidR="00C517E5">
        <w:rPr>
          <w:rFonts w:ascii="Arial" w:hAnsi="Arial" w:cs="Arial"/>
          <w:lang w:val="en-US"/>
        </w:rPr>
        <w:t xml:space="preserve"> </w:t>
      </w:r>
      <w:r w:rsidR="00B328E7">
        <w:rPr>
          <w:rFonts w:ascii="Arial" w:hAnsi="Arial" w:cs="Arial"/>
          <w:lang w:val="en-US"/>
        </w:rPr>
        <w:t>The lower MU expected compared to the black box approach offers min. peak EiRP to be specified at a higher value.</w:t>
      </w:r>
      <w:r w:rsidR="00180EC9">
        <w:rPr>
          <w:rFonts w:ascii="Arial" w:hAnsi="Arial" w:cs="Arial"/>
          <w:lang w:val="en-US"/>
        </w:rPr>
        <w:t xml:space="preserve"> </w:t>
      </w:r>
      <w:r w:rsidR="00E97B2D">
        <w:rPr>
          <w:rFonts w:ascii="Arial" w:hAnsi="Arial" w:cs="Arial"/>
          <w:lang w:val="en-US"/>
        </w:rPr>
        <w:t xml:space="preserve">Hence also the beam correspondence spatial components are provided, all with the objective of speeding </w:t>
      </w:r>
      <w:r w:rsidR="00483A4C">
        <w:rPr>
          <w:rFonts w:ascii="Arial" w:hAnsi="Arial" w:cs="Arial"/>
          <w:lang w:val="en-US"/>
        </w:rPr>
        <w:t xml:space="preserve">FR 2 </w:t>
      </w:r>
      <w:r w:rsidR="00E97B2D">
        <w:rPr>
          <w:rFonts w:ascii="Arial" w:hAnsi="Arial" w:cs="Arial"/>
          <w:lang w:val="en-US"/>
        </w:rPr>
        <w:t>OTA tests up.</w:t>
      </w:r>
    </w:p>
    <w:p w:rsidR="004201AE" w:rsidRPr="00835492" w:rsidRDefault="004201AE" w:rsidP="004201AE">
      <w:pPr>
        <w:pBdr>
          <w:bottom w:val="single" w:sz="12" w:space="1" w:color="auto"/>
        </w:pBdr>
        <w:spacing w:after="0" w:line="240" w:lineRule="auto"/>
        <w:rPr>
          <w:rFonts w:ascii="Arial" w:eastAsia="MS Mincho" w:hAnsi="Arial" w:cs="Times New Roman"/>
          <w:sz w:val="20"/>
          <w:szCs w:val="20"/>
          <w:lang w:val="en-US"/>
        </w:rPr>
      </w:pPr>
    </w:p>
    <w:p w:rsidR="004201AE" w:rsidRDefault="004201AE">
      <w:pPr>
        <w:rPr>
          <w:rFonts w:ascii="Arial" w:hAnsi="Arial" w:cs="Arial"/>
          <w:lang w:val="en-US"/>
        </w:rPr>
      </w:pPr>
    </w:p>
    <w:p w:rsidR="00207840" w:rsidRPr="00BD20DB" w:rsidRDefault="00207840">
      <w:pPr>
        <w:rPr>
          <w:rFonts w:ascii="Arial" w:hAnsi="Arial" w:cs="Arial"/>
          <w:lang w:val="en-US"/>
        </w:rPr>
      </w:pPr>
    </w:p>
    <w:p w:rsidR="002A4751" w:rsidRDefault="002A4751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References</w:t>
      </w:r>
    </w:p>
    <w:p w:rsidR="002A4751" w:rsidRDefault="002A475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[1]</w:t>
      </w:r>
      <w:r>
        <w:rPr>
          <w:rFonts w:ascii="Arial" w:hAnsi="Arial" w:cs="Arial"/>
          <w:lang w:val="en-US"/>
        </w:rPr>
        <w:tab/>
        <w:t>R4-170</w:t>
      </w:r>
      <w:r w:rsidR="006867EE">
        <w:rPr>
          <w:rFonts w:ascii="Arial" w:hAnsi="Arial" w:cs="Arial"/>
          <w:lang w:val="en-US"/>
        </w:rPr>
        <w:t>8200, #84, R&amp;S, Black Box vs. White Box Testing for NR.</w:t>
      </w:r>
    </w:p>
    <w:p w:rsidR="00770212" w:rsidRDefault="00770212" w:rsidP="00482AAC">
      <w:pPr>
        <w:ind w:left="720" w:hanging="720"/>
        <w:rPr>
          <w:rFonts w:ascii="Arial" w:eastAsia="MS Mincho" w:hAnsi="Arial" w:cs="Times New Roman"/>
          <w:lang w:val="en-US"/>
        </w:rPr>
      </w:pPr>
      <w:r>
        <w:rPr>
          <w:rFonts w:ascii="Arial" w:hAnsi="Arial" w:cs="Arial"/>
          <w:lang w:val="en-US"/>
        </w:rPr>
        <w:t>[2]</w:t>
      </w:r>
      <w:r>
        <w:rPr>
          <w:rFonts w:ascii="Arial" w:hAnsi="Arial" w:cs="Arial"/>
          <w:lang w:val="en-US"/>
        </w:rPr>
        <w:tab/>
        <w:t>R4-</w:t>
      </w:r>
      <w:r w:rsidR="00482AAC">
        <w:rPr>
          <w:rFonts w:ascii="Arial" w:hAnsi="Arial" w:cs="Arial"/>
          <w:lang w:val="en-US"/>
        </w:rPr>
        <w:t xml:space="preserve">1709718, NR ad-hoc #3 2017, Sony, </w:t>
      </w:r>
      <w:r w:rsidR="00482AAC" w:rsidRPr="00482AAC">
        <w:rPr>
          <w:rFonts w:ascii="Arial" w:eastAsia="MS Mincho" w:hAnsi="Arial" w:cs="Times New Roman"/>
          <w:lang w:val="en-US"/>
        </w:rPr>
        <w:t>Pink Box Approach for Rapid Range 2 UE´s OTA Performance testing</w:t>
      </w:r>
      <w:r w:rsidR="00482AAC">
        <w:rPr>
          <w:rFonts w:ascii="Arial" w:eastAsia="MS Mincho" w:hAnsi="Arial" w:cs="Times New Roman"/>
          <w:lang w:val="en-US"/>
        </w:rPr>
        <w:t>.</w:t>
      </w:r>
    </w:p>
    <w:p w:rsidR="00482AAC" w:rsidRPr="00482AAC" w:rsidRDefault="00482AAC" w:rsidP="00482AAC">
      <w:pPr>
        <w:ind w:left="720" w:hanging="720"/>
        <w:rPr>
          <w:rFonts w:ascii="Arial" w:eastAsia="MS Mincho" w:hAnsi="Arial" w:cs="Times New Roman"/>
          <w:b/>
        </w:rPr>
      </w:pPr>
      <w:r>
        <w:rPr>
          <w:rFonts w:ascii="Arial" w:eastAsia="MS Mincho" w:hAnsi="Arial" w:cs="Times New Roman"/>
          <w:lang w:val="en-US"/>
        </w:rPr>
        <w:t>[3]</w:t>
      </w:r>
      <w:r>
        <w:rPr>
          <w:rFonts w:ascii="Arial" w:eastAsia="MS Mincho" w:hAnsi="Arial" w:cs="Times New Roman"/>
          <w:lang w:val="en-US"/>
        </w:rPr>
        <w:tab/>
        <w:t xml:space="preserve">R4-1802336, #86, R&amp;S, </w:t>
      </w:r>
      <w:r w:rsidRPr="00482AAC">
        <w:rPr>
          <w:rFonts w:ascii="Arial" w:eastAsia="MS Mincho" w:hAnsi="Arial" w:cs="Times New Roman"/>
        </w:rPr>
        <w:t>On Peak Directions for FR</w:t>
      </w:r>
      <w:r w:rsidR="00041C26">
        <w:rPr>
          <w:rFonts w:ascii="Arial" w:eastAsia="MS Mincho" w:hAnsi="Arial" w:cs="Times New Roman"/>
        </w:rPr>
        <w:t xml:space="preserve"> </w:t>
      </w:r>
      <w:r w:rsidRPr="00482AAC">
        <w:rPr>
          <w:rFonts w:ascii="Arial" w:eastAsia="MS Mincho" w:hAnsi="Arial" w:cs="Times New Roman"/>
        </w:rPr>
        <w:t>2</w:t>
      </w:r>
      <w:r>
        <w:rPr>
          <w:rFonts w:ascii="Arial" w:eastAsia="MS Mincho" w:hAnsi="Arial" w:cs="Times New Roman"/>
        </w:rPr>
        <w:t>.</w:t>
      </w:r>
    </w:p>
    <w:p w:rsidR="00482AAC" w:rsidRPr="00482AAC" w:rsidRDefault="00482AAC" w:rsidP="00482AAC">
      <w:pPr>
        <w:ind w:left="720" w:hanging="720"/>
        <w:rPr>
          <w:rFonts w:ascii="Arial" w:hAnsi="Arial" w:cs="Arial"/>
        </w:rPr>
      </w:pPr>
    </w:p>
    <w:sectPr w:rsidR="00482AAC" w:rsidRPr="00482AAC" w:rsidSect="00831B79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1D6"/>
    <w:rsid w:val="000134F7"/>
    <w:rsid w:val="00037D8F"/>
    <w:rsid w:val="00041C26"/>
    <w:rsid w:val="000936CF"/>
    <w:rsid w:val="000B5EA0"/>
    <w:rsid w:val="00107A6F"/>
    <w:rsid w:val="00131716"/>
    <w:rsid w:val="0013192E"/>
    <w:rsid w:val="00143A7F"/>
    <w:rsid w:val="001514DA"/>
    <w:rsid w:val="00180EC9"/>
    <w:rsid w:val="00205929"/>
    <w:rsid w:val="00207840"/>
    <w:rsid w:val="00216DEF"/>
    <w:rsid w:val="002372C9"/>
    <w:rsid w:val="00240C3B"/>
    <w:rsid w:val="002777B9"/>
    <w:rsid w:val="00297CEB"/>
    <w:rsid w:val="002A4751"/>
    <w:rsid w:val="002C7141"/>
    <w:rsid w:val="002F3711"/>
    <w:rsid w:val="002F6486"/>
    <w:rsid w:val="00317229"/>
    <w:rsid w:val="0035382C"/>
    <w:rsid w:val="00391D5F"/>
    <w:rsid w:val="00395F8B"/>
    <w:rsid w:val="003A4F5F"/>
    <w:rsid w:val="003C5553"/>
    <w:rsid w:val="003D66B9"/>
    <w:rsid w:val="003E1DE9"/>
    <w:rsid w:val="004201AE"/>
    <w:rsid w:val="00432569"/>
    <w:rsid w:val="00434D5C"/>
    <w:rsid w:val="004430EF"/>
    <w:rsid w:val="00460718"/>
    <w:rsid w:val="00476F51"/>
    <w:rsid w:val="004819F2"/>
    <w:rsid w:val="00482AAC"/>
    <w:rsid w:val="00483A4C"/>
    <w:rsid w:val="00535B78"/>
    <w:rsid w:val="00580CC8"/>
    <w:rsid w:val="005C7F6F"/>
    <w:rsid w:val="005D3122"/>
    <w:rsid w:val="005F45C0"/>
    <w:rsid w:val="005F73F5"/>
    <w:rsid w:val="006003C0"/>
    <w:rsid w:val="006142F3"/>
    <w:rsid w:val="006856BF"/>
    <w:rsid w:val="006867EE"/>
    <w:rsid w:val="006E33F5"/>
    <w:rsid w:val="007230A0"/>
    <w:rsid w:val="00770212"/>
    <w:rsid w:val="00802AE0"/>
    <w:rsid w:val="00803462"/>
    <w:rsid w:val="00806AF0"/>
    <w:rsid w:val="00831B79"/>
    <w:rsid w:val="00835492"/>
    <w:rsid w:val="008A6E80"/>
    <w:rsid w:val="008D70DC"/>
    <w:rsid w:val="008F6D77"/>
    <w:rsid w:val="00965BF1"/>
    <w:rsid w:val="00966D24"/>
    <w:rsid w:val="00974658"/>
    <w:rsid w:val="009B0DF7"/>
    <w:rsid w:val="009B521B"/>
    <w:rsid w:val="00A14097"/>
    <w:rsid w:val="00A151B7"/>
    <w:rsid w:val="00A47E0C"/>
    <w:rsid w:val="00A5021B"/>
    <w:rsid w:val="00A56B80"/>
    <w:rsid w:val="00A828D7"/>
    <w:rsid w:val="00A85488"/>
    <w:rsid w:val="00A93199"/>
    <w:rsid w:val="00AA50CA"/>
    <w:rsid w:val="00AC12FF"/>
    <w:rsid w:val="00AC6ABB"/>
    <w:rsid w:val="00AD7805"/>
    <w:rsid w:val="00B061D6"/>
    <w:rsid w:val="00B328E7"/>
    <w:rsid w:val="00B9043E"/>
    <w:rsid w:val="00B941FD"/>
    <w:rsid w:val="00BB1091"/>
    <w:rsid w:val="00BD20DB"/>
    <w:rsid w:val="00BE7277"/>
    <w:rsid w:val="00BF18A9"/>
    <w:rsid w:val="00C17851"/>
    <w:rsid w:val="00C517E5"/>
    <w:rsid w:val="00C673CF"/>
    <w:rsid w:val="00C870F9"/>
    <w:rsid w:val="00CA5523"/>
    <w:rsid w:val="00CF5CA6"/>
    <w:rsid w:val="00CF76F7"/>
    <w:rsid w:val="00D14D3C"/>
    <w:rsid w:val="00D22C79"/>
    <w:rsid w:val="00D40557"/>
    <w:rsid w:val="00D44DF0"/>
    <w:rsid w:val="00D470C9"/>
    <w:rsid w:val="00D62FE5"/>
    <w:rsid w:val="00D63DBA"/>
    <w:rsid w:val="00D75403"/>
    <w:rsid w:val="00D92A4D"/>
    <w:rsid w:val="00D9379D"/>
    <w:rsid w:val="00DE3369"/>
    <w:rsid w:val="00E12141"/>
    <w:rsid w:val="00E55923"/>
    <w:rsid w:val="00E75C0C"/>
    <w:rsid w:val="00E97B2D"/>
    <w:rsid w:val="00EE699D"/>
    <w:rsid w:val="00F00DAB"/>
    <w:rsid w:val="00F0624D"/>
    <w:rsid w:val="00F31309"/>
    <w:rsid w:val="00F82255"/>
    <w:rsid w:val="00FA1837"/>
    <w:rsid w:val="00FB6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308BC0-0813-4FCE-8696-5550FFE1C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16DEF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2C7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Mobile Communications</Company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Bolin, Thomas</dc:creator>
  <cp:keywords/>
  <dc:description/>
  <cp:lastModifiedBy>Bolin, Thomas</cp:lastModifiedBy>
  <cp:revision>21</cp:revision>
  <dcterms:created xsi:type="dcterms:W3CDTF">2018-02-14T14:49:00Z</dcterms:created>
  <dcterms:modified xsi:type="dcterms:W3CDTF">2018-04-06T14:21:00Z</dcterms:modified>
</cp:coreProperties>
</file>