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A052F5" w:rsidRPr="00A052F5">
        <w:rPr>
          <w:rFonts w:ascii="Arial" w:eastAsia="宋体" w:hAnsi="Arial" w:cs="Times New Roman"/>
          <w:b/>
          <w:bCs/>
          <w:sz w:val="24"/>
          <w:szCs w:val="20"/>
          <w:lang w:val="en-GB" w:eastAsia="ja-JP"/>
        </w:rPr>
        <w:t>R4-1805072</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C5E6C" w:rsidRPr="006C5E6C">
        <w:rPr>
          <w:rFonts w:ascii="Arial" w:eastAsia="Calibri" w:hAnsi="Arial" w:cs="Arial"/>
          <w:b/>
          <w:bCs/>
          <w:sz w:val="24"/>
          <w:lang w:val="en-GB"/>
        </w:rPr>
        <w:t>Discussion on SFTD measurements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6C5E6C">
        <w:rPr>
          <w:rFonts w:ascii="Arial" w:eastAsia="MS Mincho" w:hAnsi="Arial" w:cs="Arial"/>
          <w:b/>
          <w:bCs/>
          <w:sz w:val="24"/>
          <w:szCs w:val="20"/>
          <w:lang w:val="en-GB"/>
        </w:rPr>
        <w:t>4</w:t>
      </w:r>
      <w:r w:rsidR="0020767F">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26143C" w:rsidRDefault="00A67F99" w:rsidP="00B71526">
      <w:pPr>
        <w:spacing w:before="120" w:after="120"/>
      </w:pPr>
      <w:r>
        <w:t xml:space="preserve">SFTD measurement before PSCell is added was discussed in RAN4#86, and the </w:t>
      </w:r>
      <w:r w:rsidR="00BB3FA2">
        <w:t>agreements for measurement without gaps are captured in [1]</w:t>
      </w:r>
      <w:r w:rsidR="0026143C">
        <w:t>.</w:t>
      </w:r>
      <w:r w:rsidR="00BB3FA2">
        <w:t xml:space="preserve"> RAN4 concluded most of the open issues for this measurement as below, including the measurement configuration and measurement reporting.</w:t>
      </w:r>
    </w:p>
    <w:tbl>
      <w:tblPr>
        <w:tblStyle w:val="TableGrid"/>
        <w:tblW w:w="0" w:type="auto"/>
        <w:tblLook w:val="04A0" w:firstRow="1" w:lastRow="0" w:firstColumn="1" w:lastColumn="0" w:noHBand="0" w:noVBand="1"/>
      </w:tblPr>
      <w:tblGrid>
        <w:gridCol w:w="9617"/>
      </w:tblGrid>
      <w:tr w:rsidR="00BB3FA2" w:rsidTr="00BB3FA2">
        <w:tc>
          <w:tcPr>
            <w:tcW w:w="9617" w:type="dxa"/>
          </w:tcPr>
          <w:p w:rsidR="00506A54" w:rsidRPr="00BB3FA2" w:rsidRDefault="007F3CE7" w:rsidP="00BB3FA2">
            <w:pPr>
              <w:numPr>
                <w:ilvl w:val="0"/>
                <w:numId w:val="17"/>
              </w:numPr>
              <w:spacing w:before="120" w:after="120"/>
            </w:pPr>
            <w:r w:rsidRPr="00BB3FA2">
              <w:t>Core requirements are specified for SINR ≥ -3dB</w:t>
            </w:r>
          </w:p>
          <w:p w:rsidR="00506A54" w:rsidRPr="00BB3FA2" w:rsidRDefault="007F3CE7" w:rsidP="00BB3FA2">
            <w:pPr>
              <w:numPr>
                <w:ilvl w:val="0"/>
                <w:numId w:val="17"/>
              </w:numPr>
              <w:spacing w:before="120" w:after="120"/>
            </w:pPr>
            <w:r w:rsidRPr="00BB3FA2">
              <w:t>Inter-RAT SFTD measurement configuration comprises</w:t>
            </w:r>
          </w:p>
          <w:p w:rsidR="00506A54" w:rsidRPr="00BB3FA2" w:rsidRDefault="007F3CE7" w:rsidP="00BB3FA2">
            <w:pPr>
              <w:numPr>
                <w:ilvl w:val="1"/>
                <w:numId w:val="17"/>
              </w:numPr>
              <w:spacing w:before="120" w:after="120"/>
            </w:pPr>
            <w:r w:rsidRPr="00BB3FA2">
              <w:t>SSB frequency location</w:t>
            </w:r>
          </w:p>
          <w:p w:rsidR="00506A54" w:rsidRPr="00BB3FA2" w:rsidRDefault="007F3CE7" w:rsidP="00BB3FA2">
            <w:pPr>
              <w:numPr>
                <w:ilvl w:val="1"/>
                <w:numId w:val="17"/>
              </w:numPr>
              <w:spacing w:before="120" w:after="120"/>
            </w:pPr>
            <w:r w:rsidRPr="00BB3FA2">
              <w:t>SSB SCS</w:t>
            </w:r>
          </w:p>
          <w:p w:rsidR="00506A54" w:rsidRPr="00BB3FA2" w:rsidRDefault="007F3CE7" w:rsidP="00BB3FA2">
            <w:pPr>
              <w:numPr>
                <w:ilvl w:val="1"/>
                <w:numId w:val="17"/>
              </w:numPr>
              <w:spacing w:before="120" w:after="120"/>
            </w:pPr>
            <w:r w:rsidRPr="00BB3FA2">
              <w:t>SMTC periodicity</w:t>
            </w:r>
          </w:p>
          <w:p w:rsidR="00506A54" w:rsidRPr="00BB3FA2" w:rsidRDefault="007F3CE7" w:rsidP="00BB3FA2">
            <w:pPr>
              <w:numPr>
                <w:ilvl w:val="1"/>
                <w:numId w:val="17"/>
              </w:numPr>
              <w:spacing w:before="120" w:after="120"/>
            </w:pPr>
            <w:r w:rsidRPr="00BB3FA2">
              <w:t>SMTC window duration</w:t>
            </w:r>
          </w:p>
          <w:p w:rsidR="00506A54" w:rsidRPr="00BB3FA2" w:rsidRDefault="007F3CE7" w:rsidP="00BB3FA2">
            <w:pPr>
              <w:numPr>
                <w:ilvl w:val="1"/>
                <w:numId w:val="17"/>
              </w:numPr>
              <w:spacing w:before="120" w:after="120"/>
            </w:pPr>
            <w:r w:rsidRPr="00BB3FA2">
              <w:t>Optional: PCID</w:t>
            </w:r>
          </w:p>
          <w:p w:rsidR="00506A54" w:rsidRPr="00BB3FA2" w:rsidRDefault="007F3CE7" w:rsidP="00BB3FA2">
            <w:pPr>
              <w:numPr>
                <w:ilvl w:val="0"/>
                <w:numId w:val="17"/>
              </w:numPr>
              <w:spacing w:before="120" w:after="120"/>
            </w:pPr>
            <w:r w:rsidRPr="00BB3FA2">
              <w:t>Inter-RAT SFTD measurement reporting comprises</w:t>
            </w:r>
          </w:p>
          <w:p w:rsidR="00506A54" w:rsidRPr="00BB3FA2" w:rsidRDefault="007F3CE7" w:rsidP="00BB3FA2">
            <w:pPr>
              <w:numPr>
                <w:ilvl w:val="1"/>
                <w:numId w:val="17"/>
              </w:numPr>
              <w:spacing w:before="120" w:after="120"/>
            </w:pPr>
            <w:r w:rsidRPr="00BB3FA2">
              <w:t>PCID</w:t>
            </w:r>
          </w:p>
          <w:p w:rsidR="00506A54" w:rsidRPr="00BB3FA2" w:rsidRDefault="007F3CE7" w:rsidP="00BB3FA2">
            <w:pPr>
              <w:numPr>
                <w:ilvl w:val="1"/>
                <w:numId w:val="17"/>
              </w:numPr>
              <w:spacing w:before="120" w:after="120"/>
            </w:pPr>
            <w:r w:rsidRPr="00BB3FA2">
              <w:t>SFTD result</w:t>
            </w:r>
          </w:p>
          <w:p w:rsidR="00506A54" w:rsidRPr="00BB3FA2" w:rsidRDefault="007F3CE7" w:rsidP="00BB3FA2">
            <w:pPr>
              <w:numPr>
                <w:ilvl w:val="1"/>
                <w:numId w:val="17"/>
              </w:numPr>
              <w:spacing w:before="120" w:after="120"/>
            </w:pPr>
            <w:r w:rsidRPr="00BB3FA2">
              <w:t xml:space="preserve">Optional: RSRP </w:t>
            </w:r>
          </w:p>
          <w:p w:rsidR="00506A54" w:rsidRPr="00BB3FA2" w:rsidRDefault="007F3CE7" w:rsidP="00BB3FA2">
            <w:pPr>
              <w:numPr>
                <w:ilvl w:val="1"/>
                <w:numId w:val="17"/>
              </w:numPr>
              <w:spacing w:before="120" w:after="120"/>
            </w:pPr>
            <w:r w:rsidRPr="00BB3FA2">
              <w:t>Success/failure indication</w:t>
            </w:r>
          </w:p>
          <w:p w:rsidR="00506A54" w:rsidRPr="00BB3FA2" w:rsidRDefault="007F3CE7" w:rsidP="00BB3FA2">
            <w:pPr>
              <w:numPr>
                <w:ilvl w:val="0"/>
                <w:numId w:val="17"/>
              </w:numPr>
              <w:spacing w:before="120" w:after="120"/>
            </w:pPr>
            <w:r w:rsidRPr="00BB3FA2">
              <w:t>The UE reports up to 3 strongest cells it reliably detects</w:t>
            </w:r>
          </w:p>
          <w:p w:rsidR="00506A54" w:rsidRPr="00BB3FA2" w:rsidRDefault="007F3CE7" w:rsidP="00BB3FA2">
            <w:pPr>
              <w:numPr>
                <w:ilvl w:val="0"/>
                <w:numId w:val="17"/>
              </w:numPr>
              <w:spacing w:before="120" w:after="120"/>
            </w:pPr>
            <w:r w:rsidRPr="00BB3FA2">
              <w:t>UE may cause interruptions at onset and end of the complete inter-RAT SFTD measurement</w:t>
            </w:r>
          </w:p>
          <w:p w:rsidR="00506A54" w:rsidRPr="00BB3FA2" w:rsidRDefault="007F3CE7" w:rsidP="00BB3FA2">
            <w:pPr>
              <w:numPr>
                <w:ilvl w:val="1"/>
                <w:numId w:val="17"/>
              </w:numPr>
              <w:spacing w:before="120" w:after="120"/>
            </w:pPr>
            <w:r w:rsidRPr="00BB3FA2">
              <w:t>Interruption length depends on UE RF capabilities (e.g. utilizes separate NR receiver, or changes bandwidth of common receiver)</w:t>
            </w:r>
          </w:p>
          <w:p w:rsidR="00BB3FA2" w:rsidRDefault="007F3CE7" w:rsidP="00B71526">
            <w:pPr>
              <w:numPr>
                <w:ilvl w:val="1"/>
                <w:numId w:val="17"/>
              </w:numPr>
              <w:spacing w:before="120" w:after="120"/>
            </w:pPr>
            <w:r w:rsidRPr="00BB3FA2">
              <w:t>When interruptions are allowed is FFS</w:t>
            </w:r>
          </w:p>
        </w:tc>
      </w:tr>
    </w:tbl>
    <w:p w:rsidR="00BB3FA2" w:rsidRDefault="00BB3FA2" w:rsidP="00B71526">
      <w:pPr>
        <w:spacing w:before="120" w:after="120"/>
      </w:pPr>
      <w:r>
        <w:t>The remaining open issues for this measurement are also captured in [1] as below.</w:t>
      </w:r>
    </w:p>
    <w:tbl>
      <w:tblPr>
        <w:tblStyle w:val="TableGrid"/>
        <w:tblW w:w="0" w:type="auto"/>
        <w:tblLook w:val="04A0" w:firstRow="1" w:lastRow="0" w:firstColumn="1" w:lastColumn="0" w:noHBand="0" w:noVBand="1"/>
      </w:tblPr>
      <w:tblGrid>
        <w:gridCol w:w="9617"/>
      </w:tblGrid>
      <w:tr w:rsidR="00BB3FA2" w:rsidTr="00BB3FA2">
        <w:tc>
          <w:tcPr>
            <w:tcW w:w="9617" w:type="dxa"/>
          </w:tcPr>
          <w:p w:rsidR="00BB3FA2" w:rsidRPr="00BB3FA2" w:rsidRDefault="00BB3FA2" w:rsidP="00BB3FA2">
            <w:pPr>
              <w:spacing w:before="120" w:after="120"/>
            </w:pPr>
            <w:r w:rsidRPr="00BB3FA2">
              <w:t>Companies are encouraged to provide:</w:t>
            </w:r>
          </w:p>
          <w:p w:rsidR="00506A54" w:rsidRPr="00BB3FA2" w:rsidRDefault="007F3CE7" w:rsidP="00BB3FA2">
            <w:pPr>
              <w:numPr>
                <w:ilvl w:val="0"/>
                <w:numId w:val="18"/>
              </w:numPr>
              <w:spacing w:before="120" w:after="120"/>
            </w:pPr>
            <w:r w:rsidRPr="00BB3FA2">
              <w:t>Measurement reporting delay under side condition SINR ≥ -3dB, for</w:t>
            </w:r>
          </w:p>
          <w:p w:rsidR="00506A54" w:rsidRPr="00BB3FA2" w:rsidRDefault="007F3CE7" w:rsidP="00BB3FA2">
            <w:pPr>
              <w:numPr>
                <w:ilvl w:val="1"/>
                <w:numId w:val="18"/>
              </w:numPr>
              <w:spacing w:before="120" w:after="120"/>
            </w:pPr>
            <w:r w:rsidRPr="00BB3FA2">
              <w:t>FR1</w:t>
            </w:r>
          </w:p>
          <w:p w:rsidR="00506A54" w:rsidRPr="00BB3FA2" w:rsidRDefault="007F3CE7" w:rsidP="00BB3FA2">
            <w:pPr>
              <w:numPr>
                <w:ilvl w:val="1"/>
                <w:numId w:val="18"/>
              </w:numPr>
              <w:spacing w:before="120" w:after="120"/>
            </w:pPr>
            <w:r w:rsidRPr="00BB3FA2">
              <w:t>FR2</w:t>
            </w:r>
          </w:p>
          <w:p w:rsidR="00BB3FA2" w:rsidRDefault="007F3CE7" w:rsidP="00B71526">
            <w:pPr>
              <w:numPr>
                <w:ilvl w:val="0"/>
                <w:numId w:val="18"/>
              </w:numPr>
              <w:spacing w:before="120" w:after="120"/>
            </w:pPr>
            <w:r w:rsidRPr="00BB3FA2">
              <w:t xml:space="preserve">Analysis on how to handle the scenario </w:t>
            </w:r>
            <w:r w:rsidRPr="00BB3FA2">
              <w:rPr>
                <w:i/>
                <w:iCs/>
              </w:rPr>
              <w:t>EN-DC combination with MSD</w:t>
            </w:r>
            <w:r w:rsidRPr="00BB3FA2">
              <w:t>, i.e., where simultaneous LTE PCell Tx and NR carrier Rx is unfeasible</w:t>
            </w:r>
          </w:p>
        </w:tc>
      </w:tr>
    </w:tbl>
    <w:p w:rsidR="00BB3FA2" w:rsidRDefault="00BB3FA2" w:rsidP="00B71526">
      <w:pPr>
        <w:spacing w:before="120" w:after="120"/>
      </w:pPr>
      <w:r>
        <w:t>In addition, RAN2 sent an LS to RAN4 [2], asking the feasibility of SDTD measurement in some new cases. This should also be discussed in RAN4.</w:t>
      </w:r>
    </w:p>
    <w:p w:rsidR="00BB3FA2" w:rsidRDefault="006B0D5B" w:rsidP="00B71526">
      <w:pPr>
        <w:spacing w:before="120" w:after="120"/>
      </w:pPr>
      <w:r w:rsidRPr="006B0D5B">
        <w:t>In this paper, we will provide our views on remaining issues for SFTD measurement requirements, as well as the questions from RAN2 LS.</w:t>
      </w:r>
    </w:p>
    <w:p w:rsidR="0008612A" w:rsidRDefault="003B659E" w:rsidP="00660508">
      <w:pPr>
        <w:pStyle w:val="RAN4H1"/>
      </w:pPr>
      <w:r>
        <w:lastRenderedPageBreak/>
        <w:t>2</w:t>
      </w:r>
      <w:r w:rsidRPr="00841BCD">
        <w:tab/>
      </w:r>
      <w:r>
        <w:t>Discussion</w:t>
      </w:r>
    </w:p>
    <w:p w:rsidR="008826C1" w:rsidRPr="008826C1" w:rsidRDefault="00D351EA" w:rsidP="008826C1">
      <w:pPr>
        <w:pStyle w:val="Heading2"/>
        <w:rPr>
          <w:lang w:val="en-US"/>
        </w:rPr>
      </w:pPr>
      <w:r>
        <w:rPr>
          <w:lang w:val="en-US"/>
        </w:rPr>
        <w:t>2.1</w:t>
      </w:r>
      <w:r>
        <w:rPr>
          <w:lang w:val="en-US"/>
        </w:rPr>
        <w:tab/>
      </w:r>
      <w:r w:rsidR="006B0D5B">
        <w:rPr>
          <w:lang w:val="en-US"/>
        </w:rPr>
        <w:t>SFTD measurement before PSCell is added</w:t>
      </w:r>
    </w:p>
    <w:p w:rsidR="00DE205F" w:rsidRDefault="006B0D5B" w:rsidP="00DE205F">
      <w:pPr>
        <w:spacing w:before="120" w:after="120"/>
      </w:pPr>
      <w:r>
        <w:t>The purpose of SFTD measurement before PSCell is added is to allow LTE PCell to get the knowledge about the timing information in the potential NR PSCell</w:t>
      </w:r>
      <w:r w:rsidR="00B8632F">
        <w:t>.</w:t>
      </w:r>
      <w:r>
        <w:t xml:space="preserve"> For this measurement, using normal MG may not be feasible since PCell does not know the timing of the target cells, so it cannot configure the MG offset properly to cover the </w:t>
      </w:r>
      <w:r w:rsidR="00A07875">
        <w:t xml:space="preserve">SSBs transmitted by the NR cells in non-contiguous manner. </w:t>
      </w:r>
    </w:p>
    <w:p w:rsidR="00A07875" w:rsidRDefault="00A07875" w:rsidP="00DE205F">
      <w:pPr>
        <w:spacing w:before="120" w:after="120"/>
      </w:pPr>
      <w:r>
        <w:t xml:space="preserve">Therefore, RAN4 agreed the approach to conduct such measurement without MG, based on the assumption that UE with EN-DC capability should be able to simultaneously measure on NR carrier with potential PSCell and receive data in the LTE PCell, without the need for MGs. </w:t>
      </w:r>
    </w:p>
    <w:p w:rsidR="00F022A3" w:rsidRDefault="00A07875" w:rsidP="00DE205F">
      <w:pPr>
        <w:spacing w:before="120" w:after="120"/>
      </w:pPr>
      <w:r>
        <w:t xml:space="preserve">For this measurement, UE needs to blindly search the SSB location in the SMTC period, which is similar as for initial cell search. </w:t>
      </w:r>
      <w:r w:rsidR="00F022A3">
        <w:t>It is common understanding in RAN4 that UE cannot do continuous measurement but a chunky measurement with e.g. 5ms plus post-processing time of 15ms. How such blind cell detection is done is up to UE implementation, and we think the analysis in [3] is close to typical UE implementation, i.e. it may take 5 SMTC periods for UE to find the location of the SSB. Although the side condition of the measurement of -3dB, which should enable one-shot detection, it may be too stringent if the delay requirement is defined based on one-shot assumption. Considering that this measurement is not time critical, we think it is fine to assume UE can detect the cell with two rounds of blind search. This means the cell detection time can be 10 SMTC periods.</w:t>
      </w:r>
    </w:p>
    <w:p w:rsidR="001773B7" w:rsidRDefault="00F022A3" w:rsidP="00DE205F">
      <w:pPr>
        <w:spacing w:before="120" w:after="120"/>
      </w:pPr>
      <w:r>
        <w:t xml:space="preserve">After cell detection, UE needs to read MIB in the target cell to get SFN. </w:t>
      </w:r>
      <w:r w:rsidR="001773B7">
        <w:t xml:space="preserve">For MIB reading, RAN4 has agreed that 3 and 5 samples are needed for -6dB SNR for FR1 and FR2, so we think we can assume 2 samples for -3dB. </w:t>
      </w:r>
    </w:p>
    <w:p w:rsidR="001773B7" w:rsidRDefault="001773B7" w:rsidP="00DE205F">
      <w:pPr>
        <w:spacing w:before="120" w:after="120"/>
      </w:pPr>
      <w:r>
        <w:t>The total SFTD measurement time is then 12 SMTC period. Of course, for FR2, we need to consider the Rx beam sweeping which means the cell detection time can be scaled by the N1 factor (N1 is under discussion in RAN4 for normal RRM cell detection).</w:t>
      </w:r>
    </w:p>
    <w:p w:rsidR="00A07875" w:rsidRDefault="001773B7" w:rsidP="001773B7">
      <w:pPr>
        <w:pStyle w:val="RAN4proposal"/>
      </w:pPr>
      <w:r>
        <w:t>The delay requirement for SFTD measurement without gap is defined as (10*N1+2) SMTC periods. N1 is the beam sweeping factor for cell detection in FR2, and N1=1 for cell detection in FR1.</w:t>
      </w:r>
    </w:p>
    <w:p w:rsidR="001773B7" w:rsidRDefault="001773B7" w:rsidP="00DE205F">
      <w:pPr>
        <w:spacing w:before="120" w:after="120"/>
      </w:pPr>
      <w:r>
        <w:t xml:space="preserve">How to enable UE to perform SFTD measurement under difficult EN-DC combinations is an issue raised by some companies in RAN4#86. In such EN-DC combinations, </w:t>
      </w:r>
      <w:r w:rsidRPr="001773B7">
        <w:t>simultaneous LTE PCell Tx and NR carrier Rx is unfeasible</w:t>
      </w:r>
      <w:r>
        <w:t xml:space="preserve"> due to large MSD. Some companies proposed to use autonomous gap as in LTE CGI measurement as the solution. </w:t>
      </w:r>
    </w:p>
    <w:p w:rsidR="001773B7" w:rsidRDefault="00C1648C" w:rsidP="00DE205F">
      <w:pPr>
        <w:spacing w:before="120" w:after="120"/>
      </w:pPr>
      <w:r>
        <w:t>In our view, such a solution may be needed since UE needs to do exhaustive search in time domain, and in order to enable this search, the Tx halt in LTE PCell may be needed at any time during the entire measurement time. For example, even if the UE is configured with DRX, the Tx in DRX ON-duration may still needs to be stopped.</w:t>
      </w:r>
    </w:p>
    <w:p w:rsidR="00C1648C" w:rsidRDefault="00C1648C" w:rsidP="00DE205F">
      <w:pPr>
        <w:spacing w:before="120" w:after="120"/>
      </w:pPr>
      <w:r>
        <w:t>The UE requirements for autonomous gap based measurement can be complex, e.g. if the ACK/NACK missing rate is also defined. In our view, since this measurement does not happen often and the measurement behavior is quite implementation dependent, there is no need to define the detailed ACK/NACK requirements.</w:t>
      </w:r>
    </w:p>
    <w:p w:rsidR="00C1648C" w:rsidRDefault="00C1648C" w:rsidP="00C1648C">
      <w:pPr>
        <w:pStyle w:val="RAN4proposal"/>
      </w:pPr>
      <w:r>
        <w:t xml:space="preserve">Consider autonomous gap approach to enable </w:t>
      </w:r>
      <w:r w:rsidRPr="00C1648C">
        <w:t>UE to perform SFTD measurement under difficult EN-DC combinations</w:t>
      </w:r>
      <w:r>
        <w:t>.</w:t>
      </w:r>
    </w:p>
    <w:p w:rsidR="00C1648C" w:rsidRDefault="002F451B" w:rsidP="002F451B">
      <w:pPr>
        <w:pStyle w:val="Heading2"/>
      </w:pPr>
      <w:r>
        <w:t>2.2</w:t>
      </w:r>
      <w:r>
        <w:tab/>
        <w:t>SFTD measurement for new scenarios</w:t>
      </w:r>
    </w:p>
    <w:p w:rsidR="002F451B" w:rsidRDefault="002F451B" w:rsidP="00C1648C">
      <w:r>
        <w:t>So far RAN4 has defined UE requirements for SFTD measurement for two cases</w:t>
      </w:r>
    </w:p>
    <w:p w:rsidR="002F451B" w:rsidRDefault="002F451B" w:rsidP="002F451B">
      <w:pPr>
        <w:pStyle w:val="ListParagraph"/>
        <w:numPr>
          <w:ilvl w:val="0"/>
          <w:numId w:val="19"/>
        </w:numPr>
      </w:pPr>
      <w:r>
        <w:t>For PSCell</w:t>
      </w:r>
    </w:p>
    <w:p w:rsidR="002F451B" w:rsidRDefault="002F451B" w:rsidP="002F451B">
      <w:pPr>
        <w:pStyle w:val="ListParagraph"/>
        <w:numPr>
          <w:ilvl w:val="0"/>
          <w:numId w:val="19"/>
        </w:numPr>
      </w:pPr>
      <w:r>
        <w:t>For NR neighbor cells before PSCell is not added.</w:t>
      </w:r>
    </w:p>
    <w:p w:rsidR="002F451B" w:rsidRDefault="002F451B" w:rsidP="002F451B">
      <w:r>
        <w:t xml:space="preserve">In [2], RAN2 mentions three new cases for SFTD measurement and asks RAN4 to evaluate the feasibility.  </w:t>
      </w:r>
    </w:p>
    <w:tbl>
      <w:tblPr>
        <w:tblStyle w:val="TableGrid"/>
        <w:tblW w:w="0" w:type="auto"/>
        <w:tblLook w:val="04A0" w:firstRow="1" w:lastRow="0" w:firstColumn="1" w:lastColumn="0" w:noHBand="0" w:noVBand="1"/>
      </w:tblPr>
      <w:tblGrid>
        <w:gridCol w:w="9617"/>
      </w:tblGrid>
      <w:tr w:rsidR="002F451B" w:rsidTr="002F451B">
        <w:tc>
          <w:tcPr>
            <w:tcW w:w="9617" w:type="dxa"/>
          </w:tcPr>
          <w:p w:rsidR="002F451B" w:rsidRPr="002F451B" w:rsidRDefault="002F451B" w:rsidP="002F451B">
            <w:pPr>
              <w:spacing w:after="120"/>
              <w:jc w:val="both"/>
              <w:rPr>
                <w:rFonts w:eastAsia="Times New Roman" w:cs="Times New Roman"/>
                <w:szCs w:val="20"/>
              </w:rPr>
            </w:pPr>
            <w:r w:rsidRPr="002F451B">
              <w:rPr>
                <w:rFonts w:ascii="Arial" w:eastAsia="Times New Roman" w:hAnsi="Arial" w:cs="Arial"/>
                <w:szCs w:val="20"/>
              </w:rPr>
              <w:t>In addition, RAN2 would like to understand the feasibility in the following cases</w:t>
            </w:r>
          </w:p>
          <w:p w:rsidR="002F451B" w:rsidRPr="002F451B" w:rsidRDefault="002F451B" w:rsidP="002F451B">
            <w:pPr>
              <w:numPr>
                <w:ilvl w:val="0"/>
                <w:numId w:val="20"/>
              </w:numPr>
              <w:spacing w:after="120"/>
              <w:jc w:val="both"/>
              <w:rPr>
                <w:rFonts w:eastAsia="Times New Roman" w:cs="Times New Roman"/>
                <w:szCs w:val="20"/>
              </w:rPr>
            </w:pPr>
            <w:r w:rsidRPr="002F451B">
              <w:rPr>
                <w:rFonts w:ascii="Arial" w:eastAsia="Times New Roman" w:hAnsi="Arial" w:cs="Arial"/>
                <w:szCs w:val="20"/>
              </w:rPr>
              <w:t>In case an NR PSCell is configured, determining SFTD for NR neighbour cells at a monitored carrier frequency (with an NR PSCell, or an NR SCG serving cell)</w:t>
            </w:r>
          </w:p>
          <w:p w:rsidR="002F451B" w:rsidRPr="002F451B" w:rsidRDefault="002F451B" w:rsidP="002F451B">
            <w:pPr>
              <w:numPr>
                <w:ilvl w:val="0"/>
                <w:numId w:val="20"/>
              </w:numPr>
              <w:spacing w:after="120"/>
              <w:ind w:right="150"/>
              <w:jc w:val="both"/>
              <w:rPr>
                <w:rFonts w:eastAsia="Times New Roman" w:cs="Times New Roman"/>
                <w:szCs w:val="20"/>
              </w:rPr>
            </w:pPr>
            <w:r w:rsidRPr="002F451B">
              <w:rPr>
                <w:rFonts w:ascii="Arial" w:eastAsia="Times New Roman" w:hAnsi="Arial" w:cs="Arial"/>
                <w:szCs w:val="20"/>
              </w:rPr>
              <w:t>In case an NR PSCell is configured, determining SFTD for NR neighbour cells at a non-monitored carrier frequency</w:t>
            </w:r>
          </w:p>
          <w:p w:rsidR="002F451B" w:rsidRPr="002F451B" w:rsidRDefault="002F451B" w:rsidP="002F451B">
            <w:pPr>
              <w:numPr>
                <w:ilvl w:val="0"/>
                <w:numId w:val="20"/>
              </w:numPr>
              <w:spacing w:after="120"/>
              <w:ind w:right="150"/>
              <w:jc w:val="both"/>
              <w:rPr>
                <w:rFonts w:eastAsia="Times New Roman" w:cs="Times New Roman"/>
                <w:szCs w:val="20"/>
              </w:rPr>
            </w:pPr>
            <w:r w:rsidRPr="002F451B">
              <w:rPr>
                <w:rFonts w:ascii="Arial" w:eastAsia="Times New Roman" w:hAnsi="Arial" w:cs="Arial"/>
                <w:szCs w:val="20"/>
              </w:rPr>
              <w:lastRenderedPageBreak/>
              <w:t>SFTD measurements for NE-DC and NR-NR DC</w:t>
            </w:r>
          </w:p>
        </w:tc>
      </w:tr>
    </w:tbl>
    <w:p w:rsidR="002C2D19" w:rsidRDefault="008E4BE0" w:rsidP="002743D8">
      <w:pPr>
        <w:spacing w:before="120" w:after="120"/>
      </w:pPr>
      <w:r>
        <w:lastRenderedPageBreak/>
        <w:t>For the first two cases, i.e. SFTD measurement on NR neighbor cells after PSCell is added, the motivation or use cases are not clear to us. When PSCell is added, LTE PCell should already have the timing information for the NR cells, so it is not clear why PCell would still configure UE measure SFTD from a NR neighbor cell. Therefore, our suggestion for the LS reply is to ask RAN4 the motivations and use cases.</w:t>
      </w:r>
    </w:p>
    <w:p w:rsidR="008E4BE0" w:rsidRDefault="008E4BE0" w:rsidP="002743D8">
      <w:pPr>
        <w:spacing w:before="120" w:after="120"/>
      </w:pPr>
      <w:r>
        <w:t xml:space="preserve">For SFTD measurement for NE-DC, we understand it is for network architecture option 4, which will be part of Rel-15 late drop. Therefore, RAN4 should start to work on the UE requirement for NE-DC. Our initial view regarding SFTD measurement in NE-DC is that it can be simpler than in EN-DC, since the normal MG based approach can be used for the measurement as LTE PSS/SSS is transmitted every 5ms. </w:t>
      </w:r>
    </w:p>
    <w:p w:rsidR="008E4BE0" w:rsidRDefault="008E4BE0" w:rsidP="002743D8">
      <w:pPr>
        <w:spacing w:before="120" w:after="120"/>
      </w:pPr>
      <w:r>
        <w:t xml:space="preserve">For SFTD measurement for NR-NR DC, we understand it is not in the scope for 2Q, since whether NR-NR DC will be part of Rel-15 will be decided in RAN#80. Therefore, we think RAN4 do not need to work on it at the current stage. </w:t>
      </w:r>
    </w:p>
    <w:p w:rsidR="008E4BE0" w:rsidRDefault="008E4BE0" w:rsidP="008E4BE0">
      <w:pPr>
        <w:pStyle w:val="RAN4proposal"/>
      </w:pPr>
      <w:r>
        <w:t>RAN4 should start to define SFTD measurement requirements for NE-DC.</w:t>
      </w:r>
    </w:p>
    <w:p w:rsidR="000B0B3C" w:rsidRDefault="008E4BE0" w:rsidP="008E4BE0">
      <w:pPr>
        <w:spacing w:before="120" w:after="120"/>
      </w:pPr>
      <w:r>
        <w:t xml:space="preserve">Based on above discussions, we also provided our draft LS reply in [4]. </w:t>
      </w:r>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0B0B3C">
        <w:t xml:space="preserve">our </w:t>
      </w:r>
      <w:r>
        <w:t xml:space="preserve">views on </w:t>
      </w:r>
      <w:r w:rsidR="000B0B3C">
        <w:t>the remaining open issues for NTA_offset</w:t>
      </w:r>
      <w:r w:rsidRPr="00516134">
        <w:t>.</w:t>
      </w:r>
    </w:p>
    <w:p w:rsidR="000B0B3C" w:rsidRPr="000B0B3C" w:rsidRDefault="000B0B3C" w:rsidP="00516134">
      <w:pPr>
        <w:rPr>
          <w:b/>
        </w:rPr>
      </w:pPr>
      <w:r w:rsidRPr="000B0B3C">
        <w:rPr>
          <w:b/>
        </w:rPr>
        <w:fldChar w:fldCharType="begin"/>
      </w:r>
      <w:r w:rsidRPr="000B0B3C">
        <w:rPr>
          <w:b/>
        </w:rPr>
        <w:instrText xml:space="preserve"> REF _Ref510531590 \r \h </w:instrText>
      </w:r>
      <w:r>
        <w:rPr>
          <w:b/>
        </w:rPr>
        <w:instrText xml:space="preserve"> \* MERGEFORMAT </w:instrText>
      </w:r>
      <w:r w:rsidRPr="000B0B3C">
        <w:rPr>
          <w:b/>
        </w:rPr>
      </w:r>
      <w:r w:rsidRPr="000B0B3C">
        <w:rPr>
          <w:b/>
        </w:rPr>
        <w:fldChar w:fldCharType="separate"/>
      </w:r>
      <w:r w:rsidRPr="000B0B3C">
        <w:rPr>
          <w:b/>
        </w:rPr>
        <w:t>Proposal 1:</w:t>
      </w:r>
      <w:r w:rsidRPr="000B0B3C">
        <w:rPr>
          <w:b/>
        </w:rPr>
        <w:fldChar w:fldCharType="end"/>
      </w:r>
      <w:r w:rsidRPr="000B0B3C">
        <w:rPr>
          <w:b/>
        </w:rPr>
        <w:t xml:space="preserve"> </w:t>
      </w:r>
      <w:r w:rsidRPr="000B0B3C">
        <w:rPr>
          <w:b/>
        </w:rPr>
        <w:fldChar w:fldCharType="begin"/>
      </w:r>
      <w:r w:rsidRPr="000B0B3C">
        <w:rPr>
          <w:b/>
        </w:rPr>
        <w:instrText xml:space="preserve"> REF _Ref510531590 \h </w:instrText>
      </w:r>
      <w:r>
        <w:rPr>
          <w:b/>
        </w:rPr>
        <w:instrText xml:space="preserve"> \* MERGEFORMAT </w:instrText>
      </w:r>
      <w:r w:rsidRPr="000B0B3C">
        <w:rPr>
          <w:b/>
        </w:rPr>
      </w:r>
      <w:r w:rsidRPr="000B0B3C">
        <w:rPr>
          <w:b/>
        </w:rPr>
        <w:fldChar w:fldCharType="separate"/>
      </w:r>
      <w:r w:rsidRPr="000B0B3C">
        <w:rPr>
          <w:b/>
        </w:rPr>
        <w:t>Non-zero NTA_offset can be used for FDD if there is benefit to do so.</w:t>
      </w:r>
      <w:r w:rsidRPr="000B0B3C">
        <w:rPr>
          <w:b/>
        </w:rPr>
        <w:fldChar w:fldCharType="end"/>
      </w:r>
    </w:p>
    <w:p w:rsidR="000B0B3C" w:rsidRPr="000B0B3C" w:rsidRDefault="000B0B3C" w:rsidP="00516134">
      <w:pPr>
        <w:rPr>
          <w:b/>
        </w:rPr>
      </w:pPr>
      <w:r w:rsidRPr="000B0B3C">
        <w:rPr>
          <w:b/>
        </w:rPr>
        <w:fldChar w:fldCharType="begin"/>
      </w:r>
      <w:r w:rsidRPr="000B0B3C">
        <w:rPr>
          <w:b/>
        </w:rPr>
        <w:instrText xml:space="preserve"> REF _Ref510531592 \r \h </w:instrText>
      </w:r>
      <w:r>
        <w:rPr>
          <w:b/>
        </w:rPr>
        <w:instrText xml:space="preserve"> \* MERGEFORMAT </w:instrText>
      </w:r>
      <w:r w:rsidRPr="000B0B3C">
        <w:rPr>
          <w:b/>
        </w:rPr>
      </w:r>
      <w:r w:rsidRPr="000B0B3C">
        <w:rPr>
          <w:b/>
        </w:rPr>
        <w:fldChar w:fldCharType="separate"/>
      </w:r>
      <w:r w:rsidRPr="000B0B3C">
        <w:rPr>
          <w:b/>
        </w:rPr>
        <w:t>Proposal 2:</w:t>
      </w:r>
      <w:r w:rsidRPr="000B0B3C">
        <w:rPr>
          <w:b/>
        </w:rPr>
        <w:fldChar w:fldCharType="end"/>
      </w:r>
      <w:r w:rsidRPr="000B0B3C">
        <w:rPr>
          <w:b/>
        </w:rPr>
        <w:t xml:space="preserve"> </w:t>
      </w:r>
      <w:r w:rsidRPr="000B0B3C">
        <w:rPr>
          <w:b/>
        </w:rPr>
        <w:fldChar w:fldCharType="begin"/>
      </w:r>
      <w:r w:rsidRPr="000B0B3C">
        <w:rPr>
          <w:b/>
        </w:rPr>
        <w:instrText xml:space="preserve"> REF _Ref510531592 \h </w:instrText>
      </w:r>
      <w:r>
        <w:rPr>
          <w:b/>
        </w:rPr>
        <w:instrText xml:space="preserve"> \* MERGEFORMAT </w:instrText>
      </w:r>
      <w:r w:rsidRPr="000B0B3C">
        <w:rPr>
          <w:b/>
        </w:rPr>
      </w:r>
      <w:r w:rsidRPr="000B0B3C">
        <w:rPr>
          <w:b/>
        </w:rPr>
        <w:fldChar w:fldCharType="separate"/>
      </w:r>
      <w:r w:rsidRPr="000B0B3C">
        <w:rPr>
          <w:b/>
        </w:rPr>
        <w:t>Defining another smaller NTA_offset for FR2 is not considered in Rel-15.</w:t>
      </w:r>
      <w:r w:rsidRPr="000B0B3C">
        <w:rPr>
          <w:b/>
        </w:rPr>
        <w:fldChar w:fldCharType="end"/>
      </w:r>
    </w:p>
    <w:p w:rsidR="00504EE9" w:rsidRPr="00863688" w:rsidRDefault="003B659E" w:rsidP="00863688">
      <w:pPr>
        <w:pStyle w:val="RAN4H1"/>
      </w:pPr>
      <w:r w:rsidRPr="0095295C">
        <w:t>References</w:t>
      </w:r>
    </w:p>
    <w:p w:rsidR="00BB3FA2" w:rsidRPr="00BB3FA2" w:rsidRDefault="00BB3FA2" w:rsidP="00BB3FA2">
      <w:pPr>
        <w:numPr>
          <w:ilvl w:val="0"/>
          <w:numId w:val="1"/>
        </w:numPr>
        <w:overflowPunct w:val="0"/>
        <w:autoSpaceDE w:val="0"/>
        <w:autoSpaceDN w:val="0"/>
        <w:adjustRightInd w:val="0"/>
        <w:spacing w:after="120"/>
        <w:jc w:val="both"/>
        <w:textAlignment w:val="baseline"/>
        <w:rPr>
          <w:rFonts w:eastAsia="Times New Roman" w:cs="Times New Roman"/>
          <w:szCs w:val="20"/>
        </w:rPr>
      </w:pPr>
      <w:r w:rsidRPr="00BB3FA2">
        <w:rPr>
          <w:rFonts w:eastAsia="Times New Roman" w:cs="Times New Roman"/>
          <w:szCs w:val="20"/>
        </w:rPr>
        <w:t>R4-1803156</w:t>
      </w:r>
      <w:r w:rsidR="00863688" w:rsidRPr="00BB3FA2">
        <w:rPr>
          <w:rFonts w:eastAsia="Times New Roman" w:cs="Times New Roman"/>
          <w:szCs w:val="20"/>
          <w:lang w:val="en-GB"/>
        </w:rPr>
        <w:t>,</w:t>
      </w:r>
      <w:r w:rsidR="00863688" w:rsidRPr="00BB3FA2">
        <w:rPr>
          <w:rFonts w:eastAsia="Times New Roman" w:cs="Times New Roman"/>
          <w:szCs w:val="20"/>
          <w:lang w:val="en-GB"/>
        </w:rPr>
        <w:tab/>
      </w:r>
      <w:r w:rsidRPr="00BB3FA2">
        <w:rPr>
          <w:rFonts w:eastAsia="Times New Roman" w:cs="Times New Roman"/>
          <w:szCs w:val="20"/>
        </w:rPr>
        <w:t>WF on inter-RAT SFTD measurement without gaps for EN-DC capable UE</w:t>
      </w:r>
      <w:r w:rsidR="00863688" w:rsidRPr="00BB3FA2">
        <w:rPr>
          <w:rFonts w:eastAsia="Times New Roman" w:cs="Times New Roman"/>
          <w:szCs w:val="20"/>
          <w:lang w:val="en-GB"/>
        </w:rPr>
        <w:t xml:space="preserve">, </w:t>
      </w:r>
      <w:r w:rsidRPr="00BB3FA2">
        <w:rPr>
          <w:rFonts w:eastAsia="Times New Roman"/>
          <w:szCs w:val="20"/>
        </w:rPr>
        <w:t>Ericsson, NTT DoCoMo, ZTE Corporation, MediaTek, Nokia, Nokia Shanghai Bell, LG Electronics</w:t>
      </w:r>
    </w:p>
    <w:p w:rsidR="00863688" w:rsidRDefault="00D72E68" w:rsidP="00D72E6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R2-1804119, </w:t>
      </w:r>
      <w:r w:rsidRPr="00D72E68">
        <w:rPr>
          <w:rFonts w:eastAsia="Times New Roman" w:cs="Times New Roman"/>
          <w:szCs w:val="20"/>
          <w:lang w:val="en-GB"/>
        </w:rPr>
        <w:t>LS to RAN4 on SFTD</w:t>
      </w:r>
      <w:r>
        <w:rPr>
          <w:rFonts w:eastAsia="Times New Roman" w:cs="Times New Roman"/>
          <w:szCs w:val="20"/>
          <w:lang w:val="en-GB"/>
        </w:rPr>
        <w:t>, RAN2</w:t>
      </w:r>
    </w:p>
    <w:p w:rsidR="00F022A3" w:rsidRDefault="00F022A3" w:rsidP="00F022A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R4-1801500, </w:t>
      </w:r>
      <w:r w:rsidRPr="00F022A3">
        <w:rPr>
          <w:rFonts w:eastAsia="Times New Roman" w:cs="Times New Roman"/>
          <w:szCs w:val="20"/>
          <w:lang w:val="en-GB"/>
        </w:rPr>
        <w:t>SFTD before PSCell configuration</w:t>
      </w:r>
      <w:r>
        <w:rPr>
          <w:rFonts w:eastAsia="Times New Roman" w:cs="Times New Roman"/>
          <w:szCs w:val="20"/>
          <w:lang w:val="en-GB"/>
        </w:rPr>
        <w:t xml:space="preserve">, </w:t>
      </w:r>
      <w:r w:rsidRPr="00F022A3">
        <w:rPr>
          <w:rFonts w:eastAsia="Times New Roman" w:cs="Times New Roman"/>
          <w:szCs w:val="20"/>
          <w:lang w:val="en-GB"/>
        </w:rPr>
        <w:t>MediaTek</w:t>
      </w:r>
    </w:p>
    <w:p w:rsidR="008E4BE0" w:rsidRDefault="008E4BE0" w:rsidP="008E4BE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R4-1805073, </w:t>
      </w:r>
      <w:r w:rsidRPr="008E4BE0">
        <w:rPr>
          <w:rFonts w:eastAsia="Times New Roman" w:cs="Times New Roman"/>
          <w:szCs w:val="20"/>
          <w:lang w:val="en-GB"/>
        </w:rPr>
        <w:t>Reply LS on SFTD</w:t>
      </w:r>
      <w:r>
        <w:rPr>
          <w:rFonts w:eastAsia="Times New Roman" w:cs="Times New Roman"/>
          <w:szCs w:val="20"/>
          <w:lang w:val="en-GB"/>
        </w:rPr>
        <w:t xml:space="preserve">, </w:t>
      </w:r>
      <w:r w:rsidRPr="008E4BE0">
        <w:rPr>
          <w:rFonts w:eastAsia="Times New Roman" w:cs="Times New Roman"/>
          <w:szCs w:val="20"/>
          <w:lang w:val="en-GB"/>
        </w:rPr>
        <w:t>Nokia, Nokia Shanghai Bell</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9C7" w:rsidRDefault="006E29C7" w:rsidP="00001C9B">
      <w:pPr>
        <w:spacing w:after="0" w:line="240" w:lineRule="auto"/>
      </w:pPr>
      <w:r>
        <w:separator/>
      </w:r>
    </w:p>
  </w:endnote>
  <w:endnote w:type="continuationSeparator" w:id="0">
    <w:p w:rsidR="006E29C7" w:rsidRDefault="006E29C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9C7" w:rsidRDefault="006E29C7" w:rsidP="00001C9B">
      <w:pPr>
        <w:spacing w:after="0" w:line="240" w:lineRule="auto"/>
      </w:pPr>
      <w:r>
        <w:separator/>
      </w:r>
    </w:p>
  </w:footnote>
  <w:footnote w:type="continuationSeparator" w:id="0">
    <w:p w:rsidR="006E29C7" w:rsidRDefault="006E29C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4D13AA4"/>
    <w:multiLevelType w:val="hybridMultilevel"/>
    <w:tmpl w:val="E918FD1A"/>
    <w:lvl w:ilvl="0" w:tplc="56B269A8">
      <w:start w:val="1"/>
      <w:numFmt w:val="bullet"/>
      <w:lvlText w:val=""/>
      <w:lvlJc w:val="left"/>
      <w:pPr>
        <w:tabs>
          <w:tab w:val="num" w:pos="720"/>
        </w:tabs>
        <w:ind w:left="720" w:hanging="360"/>
      </w:pPr>
      <w:rPr>
        <w:rFonts w:ascii="Wingdings" w:hAnsi="Wingdings" w:hint="default"/>
      </w:rPr>
    </w:lvl>
    <w:lvl w:ilvl="1" w:tplc="B8AAD366">
      <w:numFmt w:val="bullet"/>
      <w:lvlText w:val=""/>
      <w:lvlJc w:val="left"/>
      <w:pPr>
        <w:tabs>
          <w:tab w:val="num" w:pos="1440"/>
        </w:tabs>
        <w:ind w:left="1440" w:hanging="360"/>
      </w:pPr>
      <w:rPr>
        <w:rFonts w:ascii="Wingdings" w:hAnsi="Wingdings" w:hint="default"/>
      </w:rPr>
    </w:lvl>
    <w:lvl w:ilvl="2" w:tplc="A52AB41A" w:tentative="1">
      <w:start w:val="1"/>
      <w:numFmt w:val="bullet"/>
      <w:lvlText w:val=""/>
      <w:lvlJc w:val="left"/>
      <w:pPr>
        <w:tabs>
          <w:tab w:val="num" w:pos="2160"/>
        </w:tabs>
        <w:ind w:left="2160" w:hanging="360"/>
      </w:pPr>
      <w:rPr>
        <w:rFonts w:ascii="Wingdings" w:hAnsi="Wingdings" w:hint="default"/>
      </w:rPr>
    </w:lvl>
    <w:lvl w:ilvl="3" w:tplc="CC7E8AA8" w:tentative="1">
      <w:start w:val="1"/>
      <w:numFmt w:val="bullet"/>
      <w:lvlText w:val=""/>
      <w:lvlJc w:val="left"/>
      <w:pPr>
        <w:tabs>
          <w:tab w:val="num" w:pos="2880"/>
        </w:tabs>
        <w:ind w:left="2880" w:hanging="360"/>
      </w:pPr>
      <w:rPr>
        <w:rFonts w:ascii="Wingdings" w:hAnsi="Wingdings" w:hint="default"/>
      </w:rPr>
    </w:lvl>
    <w:lvl w:ilvl="4" w:tplc="F4F60382" w:tentative="1">
      <w:start w:val="1"/>
      <w:numFmt w:val="bullet"/>
      <w:lvlText w:val=""/>
      <w:lvlJc w:val="left"/>
      <w:pPr>
        <w:tabs>
          <w:tab w:val="num" w:pos="3600"/>
        </w:tabs>
        <w:ind w:left="3600" w:hanging="360"/>
      </w:pPr>
      <w:rPr>
        <w:rFonts w:ascii="Wingdings" w:hAnsi="Wingdings" w:hint="default"/>
      </w:rPr>
    </w:lvl>
    <w:lvl w:ilvl="5" w:tplc="0BDC7852" w:tentative="1">
      <w:start w:val="1"/>
      <w:numFmt w:val="bullet"/>
      <w:lvlText w:val=""/>
      <w:lvlJc w:val="left"/>
      <w:pPr>
        <w:tabs>
          <w:tab w:val="num" w:pos="4320"/>
        </w:tabs>
        <w:ind w:left="4320" w:hanging="360"/>
      </w:pPr>
      <w:rPr>
        <w:rFonts w:ascii="Wingdings" w:hAnsi="Wingdings" w:hint="default"/>
      </w:rPr>
    </w:lvl>
    <w:lvl w:ilvl="6" w:tplc="5E1E2FC6" w:tentative="1">
      <w:start w:val="1"/>
      <w:numFmt w:val="bullet"/>
      <w:lvlText w:val=""/>
      <w:lvlJc w:val="left"/>
      <w:pPr>
        <w:tabs>
          <w:tab w:val="num" w:pos="5040"/>
        </w:tabs>
        <w:ind w:left="5040" w:hanging="360"/>
      </w:pPr>
      <w:rPr>
        <w:rFonts w:ascii="Wingdings" w:hAnsi="Wingdings" w:hint="default"/>
      </w:rPr>
    </w:lvl>
    <w:lvl w:ilvl="7" w:tplc="082AAEF4" w:tentative="1">
      <w:start w:val="1"/>
      <w:numFmt w:val="bullet"/>
      <w:lvlText w:val=""/>
      <w:lvlJc w:val="left"/>
      <w:pPr>
        <w:tabs>
          <w:tab w:val="num" w:pos="5760"/>
        </w:tabs>
        <w:ind w:left="5760" w:hanging="360"/>
      </w:pPr>
      <w:rPr>
        <w:rFonts w:ascii="Wingdings" w:hAnsi="Wingdings" w:hint="default"/>
      </w:rPr>
    </w:lvl>
    <w:lvl w:ilvl="8" w:tplc="598CB4A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442C12"/>
    <w:multiLevelType w:val="hybridMultilevel"/>
    <w:tmpl w:val="8EA26E34"/>
    <w:lvl w:ilvl="0" w:tplc="96A84A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243C1"/>
    <w:multiLevelType w:val="hybridMultilevel"/>
    <w:tmpl w:val="2EBE7622"/>
    <w:lvl w:ilvl="0" w:tplc="5E9CF5BE">
      <w:start w:val="1"/>
      <w:numFmt w:val="bullet"/>
      <w:lvlText w:val=""/>
      <w:lvlJc w:val="left"/>
      <w:pPr>
        <w:tabs>
          <w:tab w:val="num" w:pos="720"/>
        </w:tabs>
        <w:ind w:left="720" w:hanging="360"/>
      </w:pPr>
      <w:rPr>
        <w:rFonts w:ascii="Wingdings" w:hAnsi="Wingdings" w:hint="default"/>
      </w:rPr>
    </w:lvl>
    <w:lvl w:ilvl="1" w:tplc="3B76A242">
      <w:numFmt w:val="bullet"/>
      <w:lvlText w:val=""/>
      <w:lvlJc w:val="left"/>
      <w:pPr>
        <w:tabs>
          <w:tab w:val="num" w:pos="1440"/>
        </w:tabs>
        <w:ind w:left="1440" w:hanging="360"/>
      </w:pPr>
      <w:rPr>
        <w:rFonts w:ascii="Wingdings" w:hAnsi="Wingdings" w:hint="default"/>
      </w:rPr>
    </w:lvl>
    <w:lvl w:ilvl="2" w:tplc="3558EF9A" w:tentative="1">
      <w:start w:val="1"/>
      <w:numFmt w:val="bullet"/>
      <w:lvlText w:val=""/>
      <w:lvlJc w:val="left"/>
      <w:pPr>
        <w:tabs>
          <w:tab w:val="num" w:pos="2160"/>
        </w:tabs>
        <w:ind w:left="2160" w:hanging="360"/>
      </w:pPr>
      <w:rPr>
        <w:rFonts w:ascii="Wingdings" w:hAnsi="Wingdings" w:hint="default"/>
      </w:rPr>
    </w:lvl>
    <w:lvl w:ilvl="3" w:tplc="9AF42360" w:tentative="1">
      <w:start w:val="1"/>
      <w:numFmt w:val="bullet"/>
      <w:lvlText w:val=""/>
      <w:lvlJc w:val="left"/>
      <w:pPr>
        <w:tabs>
          <w:tab w:val="num" w:pos="2880"/>
        </w:tabs>
        <w:ind w:left="2880" w:hanging="360"/>
      </w:pPr>
      <w:rPr>
        <w:rFonts w:ascii="Wingdings" w:hAnsi="Wingdings" w:hint="default"/>
      </w:rPr>
    </w:lvl>
    <w:lvl w:ilvl="4" w:tplc="7262ADF6" w:tentative="1">
      <w:start w:val="1"/>
      <w:numFmt w:val="bullet"/>
      <w:lvlText w:val=""/>
      <w:lvlJc w:val="left"/>
      <w:pPr>
        <w:tabs>
          <w:tab w:val="num" w:pos="3600"/>
        </w:tabs>
        <w:ind w:left="3600" w:hanging="360"/>
      </w:pPr>
      <w:rPr>
        <w:rFonts w:ascii="Wingdings" w:hAnsi="Wingdings" w:hint="default"/>
      </w:rPr>
    </w:lvl>
    <w:lvl w:ilvl="5" w:tplc="52D04C6C" w:tentative="1">
      <w:start w:val="1"/>
      <w:numFmt w:val="bullet"/>
      <w:lvlText w:val=""/>
      <w:lvlJc w:val="left"/>
      <w:pPr>
        <w:tabs>
          <w:tab w:val="num" w:pos="4320"/>
        </w:tabs>
        <w:ind w:left="4320" w:hanging="360"/>
      </w:pPr>
      <w:rPr>
        <w:rFonts w:ascii="Wingdings" w:hAnsi="Wingdings" w:hint="default"/>
      </w:rPr>
    </w:lvl>
    <w:lvl w:ilvl="6" w:tplc="5E565FBE" w:tentative="1">
      <w:start w:val="1"/>
      <w:numFmt w:val="bullet"/>
      <w:lvlText w:val=""/>
      <w:lvlJc w:val="left"/>
      <w:pPr>
        <w:tabs>
          <w:tab w:val="num" w:pos="5040"/>
        </w:tabs>
        <w:ind w:left="5040" w:hanging="360"/>
      </w:pPr>
      <w:rPr>
        <w:rFonts w:ascii="Wingdings" w:hAnsi="Wingdings" w:hint="default"/>
      </w:rPr>
    </w:lvl>
    <w:lvl w:ilvl="7" w:tplc="92D6C3BC" w:tentative="1">
      <w:start w:val="1"/>
      <w:numFmt w:val="bullet"/>
      <w:lvlText w:val=""/>
      <w:lvlJc w:val="left"/>
      <w:pPr>
        <w:tabs>
          <w:tab w:val="num" w:pos="5760"/>
        </w:tabs>
        <w:ind w:left="5760" w:hanging="360"/>
      </w:pPr>
      <w:rPr>
        <w:rFonts w:ascii="Wingdings" w:hAnsi="Wingdings" w:hint="default"/>
      </w:rPr>
    </w:lvl>
    <w:lvl w:ilvl="8" w:tplc="9F68EF6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5"/>
  </w:num>
  <w:num w:numId="3">
    <w:abstractNumId w:val="11"/>
  </w:num>
  <w:num w:numId="4">
    <w:abstractNumId w:val="4"/>
  </w:num>
  <w:num w:numId="5">
    <w:abstractNumId w:val="12"/>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8"/>
  </w:num>
  <w:num w:numId="16">
    <w:abstractNumId w:val="7"/>
  </w:num>
  <w:num w:numId="17">
    <w:abstractNumId w:val="2"/>
  </w:num>
  <w:num w:numId="18">
    <w:abstractNumId w:val="6"/>
  </w:num>
  <w:num w:numId="19">
    <w:abstractNumId w:val="3"/>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B3C"/>
    <w:rsid w:val="00111007"/>
    <w:rsid w:val="001773B7"/>
    <w:rsid w:val="001838CF"/>
    <w:rsid w:val="001E30F6"/>
    <w:rsid w:val="0020767F"/>
    <w:rsid w:val="00217F42"/>
    <w:rsid w:val="00235F5C"/>
    <w:rsid w:val="0026143C"/>
    <w:rsid w:val="00264ED1"/>
    <w:rsid w:val="002743D8"/>
    <w:rsid w:val="00276566"/>
    <w:rsid w:val="002B4922"/>
    <w:rsid w:val="002C2D19"/>
    <w:rsid w:val="002C5B1F"/>
    <w:rsid w:val="002D10FA"/>
    <w:rsid w:val="002D4C55"/>
    <w:rsid w:val="002E1E7D"/>
    <w:rsid w:val="002F451B"/>
    <w:rsid w:val="003047CD"/>
    <w:rsid w:val="00382B57"/>
    <w:rsid w:val="00393801"/>
    <w:rsid w:val="003B659E"/>
    <w:rsid w:val="003D7537"/>
    <w:rsid w:val="0043750A"/>
    <w:rsid w:val="0044294F"/>
    <w:rsid w:val="004429BB"/>
    <w:rsid w:val="00453032"/>
    <w:rsid w:val="004931BC"/>
    <w:rsid w:val="004A69FC"/>
    <w:rsid w:val="004E5E66"/>
    <w:rsid w:val="004F6F44"/>
    <w:rsid w:val="00503B4D"/>
    <w:rsid w:val="00504EE9"/>
    <w:rsid w:val="0050650D"/>
    <w:rsid w:val="00506A54"/>
    <w:rsid w:val="00516134"/>
    <w:rsid w:val="0054442C"/>
    <w:rsid w:val="00550285"/>
    <w:rsid w:val="005836F8"/>
    <w:rsid w:val="005D1BB6"/>
    <w:rsid w:val="005E61A8"/>
    <w:rsid w:val="005F6419"/>
    <w:rsid w:val="00617400"/>
    <w:rsid w:val="00660508"/>
    <w:rsid w:val="00664950"/>
    <w:rsid w:val="00683220"/>
    <w:rsid w:val="00687FA0"/>
    <w:rsid w:val="006B0D5B"/>
    <w:rsid w:val="006B7010"/>
    <w:rsid w:val="006C5E6C"/>
    <w:rsid w:val="006E29C7"/>
    <w:rsid w:val="007145FF"/>
    <w:rsid w:val="00751515"/>
    <w:rsid w:val="00751843"/>
    <w:rsid w:val="00760B82"/>
    <w:rsid w:val="00764018"/>
    <w:rsid w:val="00785232"/>
    <w:rsid w:val="00794085"/>
    <w:rsid w:val="007A025E"/>
    <w:rsid w:val="007C3ED0"/>
    <w:rsid w:val="007F3CE7"/>
    <w:rsid w:val="00806A76"/>
    <w:rsid w:val="00810DF1"/>
    <w:rsid w:val="00811C9D"/>
    <w:rsid w:val="00816C80"/>
    <w:rsid w:val="00824B92"/>
    <w:rsid w:val="00841BCD"/>
    <w:rsid w:val="00863688"/>
    <w:rsid w:val="008826C1"/>
    <w:rsid w:val="008E4BE0"/>
    <w:rsid w:val="008E7FE2"/>
    <w:rsid w:val="009042BD"/>
    <w:rsid w:val="00911751"/>
    <w:rsid w:val="009167B7"/>
    <w:rsid w:val="00942F2D"/>
    <w:rsid w:val="00977E1D"/>
    <w:rsid w:val="00996CD4"/>
    <w:rsid w:val="009C7A4B"/>
    <w:rsid w:val="009E13F7"/>
    <w:rsid w:val="00A052F5"/>
    <w:rsid w:val="00A07875"/>
    <w:rsid w:val="00A22B78"/>
    <w:rsid w:val="00A25AE5"/>
    <w:rsid w:val="00A31A22"/>
    <w:rsid w:val="00A36853"/>
    <w:rsid w:val="00A67F99"/>
    <w:rsid w:val="00AA1B0E"/>
    <w:rsid w:val="00AA7844"/>
    <w:rsid w:val="00AC5CA7"/>
    <w:rsid w:val="00B71526"/>
    <w:rsid w:val="00B8632F"/>
    <w:rsid w:val="00B8745E"/>
    <w:rsid w:val="00BA6E48"/>
    <w:rsid w:val="00BB3FA2"/>
    <w:rsid w:val="00BF2218"/>
    <w:rsid w:val="00C1648C"/>
    <w:rsid w:val="00CA3CAC"/>
    <w:rsid w:val="00CD7492"/>
    <w:rsid w:val="00CE3A6B"/>
    <w:rsid w:val="00CF2076"/>
    <w:rsid w:val="00D00211"/>
    <w:rsid w:val="00D05142"/>
    <w:rsid w:val="00D06309"/>
    <w:rsid w:val="00D351EA"/>
    <w:rsid w:val="00D43403"/>
    <w:rsid w:val="00D61A3A"/>
    <w:rsid w:val="00D62E71"/>
    <w:rsid w:val="00D719C8"/>
    <w:rsid w:val="00D72E68"/>
    <w:rsid w:val="00D740CA"/>
    <w:rsid w:val="00D85728"/>
    <w:rsid w:val="00D869EB"/>
    <w:rsid w:val="00D9178E"/>
    <w:rsid w:val="00DE205F"/>
    <w:rsid w:val="00DE59B9"/>
    <w:rsid w:val="00DF2997"/>
    <w:rsid w:val="00E01E55"/>
    <w:rsid w:val="00E44A36"/>
    <w:rsid w:val="00E92C17"/>
    <w:rsid w:val="00E962F8"/>
    <w:rsid w:val="00EC7BC3"/>
    <w:rsid w:val="00ED7600"/>
    <w:rsid w:val="00F022A3"/>
    <w:rsid w:val="00F1362C"/>
    <w:rsid w:val="00F462D4"/>
    <w:rsid w:val="00F824F5"/>
    <w:rsid w:val="00FC29B9"/>
    <w:rsid w:val="00FC6FD3"/>
    <w:rsid w:val="00FD65EC"/>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NormalWeb">
    <w:name w:val="Normal (Web)"/>
    <w:basedOn w:val="Normal"/>
    <w:uiPriority w:val="99"/>
    <w:semiHidden/>
    <w:unhideWhenUsed/>
    <w:rsid w:val="00BB3FA2"/>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742020923">
      <w:bodyDiv w:val="1"/>
      <w:marLeft w:val="0"/>
      <w:marRight w:val="0"/>
      <w:marTop w:val="0"/>
      <w:marBottom w:val="0"/>
      <w:divBdr>
        <w:top w:val="none" w:sz="0" w:space="0" w:color="auto"/>
        <w:left w:val="none" w:sz="0" w:space="0" w:color="auto"/>
        <w:bottom w:val="none" w:sz="0" w:space="0" w:color="auto"/>
        <w:right w:val="none" w:sz="0" w:space="0" w:color="auto"/>
      </w:divBdr>
    </w:div>
    <w:div w:id="848368607">
      <w:bodyDiv w:val="1"/>
      <w:marLeft w:val="0"/>
      <w:marRight w:val="0"/>
      <w:marTop w:val="0"/>
      <w:marBottom w:val="0"/>
      <w:divBdr>
        <w:top w:val="none" w:sz="0" w:space="0" w:color="auto"/>
        <w:left w:val="none" w:sz="0" w:space="0" w:color="auto"/>
        <w:bottom w:val="none" w:sz="0" w:space="0" w:color="auto"/>
        <w:right w:val="none" w:sz="0" w:space="0" w:color="auto"/>
      </w:divBdr>
      <w:divsChild>
        <w:div w:id="1846552142">
          <w:marLeft w:val="360"/>
          <w:marRight w:val="0"/>
          <w:marTop w:val="200"/>
          <w:marBottom w:val="0"/>
          <w:divBdr>
            <w:top w:val="none" w:sz="0" w:space="0" w:color="auto"/>
            <w:left w:val="none" w:sz="0" w:space="0" w:color="auto"/>
            <w:bottom w:val="none" w:sz="0" w:space="0" w:color="auto"/>
            <w:right w:val="none" w:sz="0" w:space="0" w:color="auto"/>
          </w:divBdr>
        </w:div>
        <w:div w:id="872960388">
          <w:marLeft w:val="360"/>
          <w:marRight w:val="0"/>
          <w:marTop w:val="200"/>
          <w:marBottom w:val="0"/>
          <w:divBdr>
            <w:top w:val="none" w:sz="0" w:space="0" w:color="auto"/>
            <w:left w:val="none" w:sz="0" w:space="0" w:color="auto"/>
            <w:bottom w:val="none" w:sz="0" w:space="0" w:color="auto"/>
            <w:right w:val="none" w:sz="0" w:space="0" w:color="auto"/>
          </w:divBdr>
        </w:div>
        <w:div w:id="563641663">
          <w:marLeft w:val="1080"/>
          <w:marRight w:val="0"/>
          <w:marTop w:val="100"/>
          <w:marBottom w:val="0"/>
          <w:divBdr>
            <w:top w:val="none" w:sz="0" w:space="0" w:color="auto"/>
            <w:left w:val="none" w:sz="0" w:space="0" w:color="auto"/>
            <w:bottom w:val="none" w:sz="0" w:space="0" w:color="auto"/>
            <w:right w:val="none" w:sz="0" w:space="0" w:color="auto"/>
          </w:divBdr>
        </w:div>
        <w:div w:id="1678775044">
          <w:marLeft w:val="1080"/>
          <w:marRight w:val="0"/>
          <w:marTop w:val="100"/>
          <w:marBottom w:val="0"/>
          <w:divBdr>
            <w:top w:val="none" w:sz="0" w:space="0" w:color="auto"/>
            <w:left w:val="none" w:sz="0" w:space="0" w:color="auto"/>
            <w:bottom w:val="none" w:sz="0" w:space="0" w:color="auto"/>
            <w:right w:val="none" w:sz="0" w:space="0" w:color="auto"/>
          </w:divBdr>
        </w:div>
        <w:div w:id="489831861">
          <w:marLeft w:val="1080"/>
          <w:marRight w:val="0"/>
          <w:marTop w:val="100"/>
          <w:marBottom w:val="0"/>
          <w:divBdr>
            <w:top w:val="none" w:sz="0" w:space="0" w:color="auto"/>
            <w:left w:val="none" w:sz="0" w:space="0" w:color="auto"/>
            <w:bottom w:val="none" w:sz="0" w:space="0" w:color="auto"/>
            <w:right w:val="none" w:sz="0" w:space="0" w:color="auto"/>
          </w:divBdr>
        </w:div>
        <w:div w:id="1867332126">
          <w:marLeft w:val="1080"/>
          <w:marRight w:val="0"/>
          <w:marTop w:val="100"/>
          <w:marBottom w:val="0"/>
          <w:divBdr>
            <w:top w:val="none" w:sz="0" w:space="0" w:color="auto"/>
            <w:left w:val="none" w:sz="0" w:space="0" w:color="auto"/>
            <w:bottom w:val="none" w:sz="0" w:space="0" w:color="auto"/>
            <w:right w:val="none" w:sz="0" w:space="0" w:color="auto"/>
          </w:divBdr>
        </w:div>
        <w:div w:id="239025472">
          <w:marLeft w:val="1080"/>
          <w:marRight w:val="0"/>
          <w:marTop w:val="100"/>
          <w:marBottom w:val="0"/>
          <w:divBdr>
            <w:top w:val="none" w:sz="0" w:space="0" w:color="auto"/>
            <w:left w:val="none" w:sz="0" w:space="0" w:color="auto"/>
            <w:bottom w:val="none" w:sz="0" w:space="0" w:color="auto"/>
            <w:right w:val="none" w:sz="0" w:space="0" w:color="auto"/>
          </w:divBdr>
        </w:div>
        <w:div w:id="1481579792">
          <w:marLeft w:val="360"/>
          <w:marRight w:val="0"/>
          <w:marTop w:val="200"/>
          <w:marBottom w:val="0"/>
          <w:divBdr>
            <w:top w:val="none" w:sz="0" w:space="0" w:color="auto"/>
            <w:left w:val="none" w:sz="0" w:space="0" w:color="auto"/>
            <w:bottom w:val="none" w:sz="0" w:space="0" w:color="auto"/>
            <w:right w:val="none" w:sz="0" w:space="0" w:color="auto"/>
          </w:divBdr>
        </w:div>
        <w:div w:id="1764951923">
          <w:marLeft w:val="1080"/>
          <w:marRight w:val="0"/>
          <w:marTop w:val="100"/>
          <w:marBottom w:val="0"/>
          <w:divBdr>
            <w:top w:val="none" w:sz="0" w:space="0" w:color="auto"/>
            <w:left w:val="none" w:sz="0" w:space="0" w:color="auto"/>
            <w:bottom w:val="none" w:sz="0" w:space="0" w:color="auto"/>
            <w:right w:val="none" w:sz="0" w:space="0" w:color="auto"/>
          </w:divBdr>
        </w:div>
        <w:div w:id="1856648095">
          <w:marLeft w:val="1080"/>
          <w:marRight w:val="0"/>
          <w:marTop w:val="100"/>
          <w:marBottom w:val="0"/>
          <w:divBdr>
            <w:top w:val="none" w:sz="0" w:space="0" w:color="auto"/>
            <w:left w:val="none" w:sz="0" w:space="0" w:color="auto"/>
            <w:bottom w:val="none" w:sz="0" w:space="0" w:color="auto"/>
            <w:right w:val="none" w:sz="0" w:space="0" w:color="auto"/>
          </w:divBdr>
        </w:div>
        <w:div w:id="333413864">
          <w:marLeft w:val="1080"/>
          <w:marRight w:val="0"/>
          <w:marTop w:val="100"/>
          <w:marBottom w:val="0"/>
          <w:divBdr>
            <w:top w:val="none" w:sz="0" w:space="0" w:color="auto"/>
            <w:left w:val="none" w:sz="0" w:space="0" w:color="auto"/>
            <w:bottom w:val="none" w:sz="0" w:space="0" w:color="auto"/>
            <w:right w:val="none" w:sz="0" w:space="0" w:color="auto"/>
          </w:divBdr>
        </w:div>
        <w:div w:id="1639798138">
          <w:marLeft w:val="1080"/>
          <w:marRight w:val="0"/>
          <w:marTop w:val="100"/>
          <w:marBottom w:val="0"/>
          <w:divBdr>
            <w:top w:val="none" w:sz="0" w:space="0" w:color="auto"/>
            <w:left w:val="none" w:sz="0" w:space="0" w:color="auto"/>
            <w:bottom w:val="none" w:sz="0" w:space="0" w:color="auto"/>
            <w:right w:val="none" w:sz="0" w:space="0" w:color="auto"/>
          </w:divBdr>
        </w:div>
        <w:div w:id="1444037770">
          <w:marLeft w:val="360"/>
          <w:marRight w:val="0"/>
          <w:marTop w:val="200"/>
          <w:marBottom w:val="0"/>
          <w:divBdr>
            <w:top w:val="none" w:sz="0" w:space="0" w:color="auto"/>
            <w:left w:val="none" w:sz="0" w:space="0" w:color="auto"/>
            <w:bottom w:val="none" w:sz="0" w:space="0" w:color="auto"/>
            <w:right w:val="none" w:sz="0" w:space="0" w:color="auto"/>
          </w:divBdr>
        </w:div>
        <w:div w:id="924652356">
          <w:marLeft w:val="360"/>
          <w:marRight w:val="0"/>
          <w:marTop w:val="200"/>
          <w:marBottom w:val="0"/>
          <w:divBdr>
            <w:top w:val="none" w:sz="0" w:space="0" w:color="auto"/>
            <w:left w:val="none" w:sz="0" w:space="0" w:color="auto"/>
            <w:bottom w:val="none" w:sz="0" w:space="0" w:color="auto"/>
            <w:right w:val="none" w:sz="0" w:space="0" w:color="auto"/>
          </w:divBdr>
        </w:div>
        <w:div w:id="1144783717">
          <w:marLeft w:val="1080"/>
          <w:marRight w:val="0"/>
          <w:marTop w:val="100"/>
          <w:marBottom w:val="0"/>
          <w:divBdr>
            <w:top w:val="none" w:sz="0" w:space="0" w:color="auto"/>
            <w:left w:val="none" w:sz="0" w:space="0" w:color="auto"/>
            <w:bottom w:val="none" w:sz="0" w:space="0" w:color="auto"/>
            <w:right w:val="none" w:sz="0" w:space="0" w:color="auto"/>
          </w:divBdr>
        </w:div>
        <w:div w:id="415172309">
          <w:marLeft w:val="1080"/>
          <w:marRight w:val="0"/>
          <w:marTop w:val="100"/>
          <w:marBottom w:val="0"/>
          <w:divBdr>
            <w:top w:val="none" w:sz="0" w:space="0" w:color="auto"/>
            <w:left w:val="none" w:sz="0" w:space="0" w:color="auto"/>
            <w:bottom w:val="none" w:sz="0" w:space="0" w:color="auto"/>
            <w:right w:val="none" w:sz="0" w:space="0" w:color="auto"/>
          </w:divBdr>
        </w:div>
      </w:divsChild>
    </w:div>
    <w:div w:id="1962953485">
      <w:bodyDiv w:val="1"/>
      <w:marLeft w:val="0"/>
      <w:marRight w:val="0"/>
      <w:marTop w:val="0"/>
      <w:marBottom w:val="0"/>
      <w:divBdr>
        <w:top w:val="none" w:sz="0" w:space="0" w:color="auto"/>
        <w:left w:val="none" w:sz="0" w:space="0" w:color="auto"/>
        <w:bottom w:val="none" w:sz="0" w:space="0" w:color="auto"/>
        <w:right w:val="none" w:sz="0" w:space="0" w:color="auto"/>
      </w:divBdr>
      <w:divsChild>
        <w:div w:id="1115100446">
          <w:marLeft w:val="360"/>
          <w:marRight w:val="0"/>
          <w:marTop w:val="200"/>
          <w:marBottom w:val="0"/>
          <w:divBdr>
            <w:top w:val="none" w:sz="0" w:space="0" w:color="auto"/>
            <w:left w:val="none" w:sz="0" w:space="0" w:color="auto"/>
            <w:bottom w:val="none" w:sz="0" w:space="0" w:color="auto"/>
            <w:right w:val="none" w:sz="0" w:space="0" w:color="auto"/>
          </w:divBdr>
        </w:div>
        <w:div w:id="1371539155">
          <w:marLeft w:val="1080"/>
          <w:marRight w:val="0"/>
          <w:marTop w:val="100"/>
          <w:marBottom w:val="0"/>
          <w:divBdr>
            <w:top w:val="none" w:sz="0" w:space="0" w:color="auto"/>
            <w:left w:val="none" w:sz="0" w:space="0" w:color="auto"/>
            <w:bottom w:val="none" w:sz="0" w:space="0" w:color="auto"/>
            <w:right w:val="none" w:sz="0" w:space="0" w:color="auto"/>
          </w:divBdr>
        </w:div>
        <w:div w:id="405306263">
          <w:marLeft w:val="1080"/>
          <w:marRight w:val="0"/>
          <w:marTop w:val="100"/>
          <w:marBottom w:val="0"/>
          <w:divBdr>
            <w:top w:val="none" w:sz="0" w:space="0" w:color="auto"/>
            <w:left w:val="none" w:sz="0" w:space="0" w:color="auto"/>
            <w:bottom w:val="none" w:sz="0" w:space="0" w:color="auto"/>
            <w:right w:val="none" w:sz="0" w:space="0" w:color="auto"/>
          </w:divBdr>
        </w:div>
        <w:div w:id="556014226">
          <w:marLeft w:val="360"/>
          <w:marRight w:val="0"/>
          <w:marTop w:val="200"/>
          <w:marBottom w:val="0"/>
          <w:divBdr>
            <w:top w:val="none" w:sz="0" w:space="0" w:color="auto"/>
            <w:left w:val="none" w:sz="0" w:space="0" w:color="auto"/>
            <w:bottom w:val="none" w:sz="0" w:space="0" w:color="auto"/>
            <w:right w:val="none" w:sz="0" w:space="0" w:color="auto"/>
          </w:divBdr>
        </w:div>
      </w:divsChild>
    </w:div>
    <w:div w:id="210548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9A94-8327-4173-9929-9E5F9153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14</cp:revision>
  <dcterms:created xsi:type="dcterms:W3CDTF">2018-03-26T10:33:00Z</dcterms:created>
  <dcterms:modified xsi:type="dcterms:W3CDTF">2018-04-06T19:19:00Z</dcterms:modified>
</cp:coreProperties>
</file>