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8F1112" w:rsidRPr="008F1112">
        <w:rPr>
          <w:rFonts w:ascii="Arial" w:eastAsia="宋体" w:hAnsi="Arial" w:cs="Times New Roman"/>
          <w:b/>
          <w:bCs/>
          <w:sz w:val="24"/>
          <w:szCs w:val="20"/>
          <w:lang w:val="en-GB" w:eastAsia="ja-JP"/>
        </w:rPr>
        <w:t>R4-1805071</w:t>
      </w:r>
      <w:bookmarkStart w:id="3" w:name="_GoBack"/>
      <w:bookmarkEnd w:id="3"/>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0767F">
        <w:rPr>
          <w:rFonts w:ascii="Arial" w:eastAsia="Calibri" w:hAnsi="Arial" w:cs="Arial"/>
          <w:b/>
          <w:bCs/>
          <w:sz w:val="24"/>
          <w:lang w:val="en-GB"/>
        </w:rPr>
        <w:t xml:space="preserve">Discussion on </w:t>
      </w:r>
      <w:r w:rsidR="004513A0">
        <w:rPr>
          <w:rFonts w:ascii="Arial" w:eastAsia="Calibri" w:hAnsi="Arial" w:cs="Arial"/>
          <w:b/>
          <w:bCs/>
          <w:sz w:val="24"/>
          <w:lang w:val="en-GB"/>
        </w:rPr>
        <w:t>NR inter</w:t>
      </w:r>
      <w:r w:rsidR="00B32E4D">
        <w:rPr>
          <w:rFonts w:ascii="Arial" w:eastAsia="Calibri" w:hAnsi="Arial" w:cs="Arial"/>
          <w:b/>
          <w:bCs/>
          <w:sz w:val="24"/>
          <w:lang w:val="en-GB"/>
        </w:rPr>
        <w:t>-frequency measurement requirements</w:t>
      </w:r>
      <w:r w:rsidR="00EE5BD2">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767F">
        <w:rPr>
          <w:rFonts w:ascii="Arial" w:eastAsia="MS Mincho" w:hAnsi="Arial" w:cs="Arial"/>
          <w:b/>
          <w:bCs/>
          <w:sz w:val="24"/>
          <w:szCs w:val="20"/>
          <w:lang w:val="en-GB"/>
        </w:rPr>
        <w:t>7.9.</w:t>
      </w:r>
      <w:r w:rsidR="00B32E4D">
        <w:rPr>
          <w:rFonts w:ascii="Arial" w:eastAsia="MS Mincho" w:hAnsi="Arial" w:cs="Arial"/>
          <w:b/>
          <w:bCs/>
          <w:sz w:val="24"/>
          <w:szCs w:val="20"/>
          <w:lang w:val="en-GB"/>
        </w:rPr>
        <w:t>4.</w:t>
      </w:r>
      <w:r w:rsidR="00A04A11">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74469C" w:rsidRDefault="00DD7C68" w:rsidP="0074469C">
      <w:pPr>
        <w:spacing w:before="120" w:after="120"/>
      </w:pPr>
      <w:r>
        <w:rPr>
          <w:lang w:val="en-GB"/>
        </w:rPr>
        <w:t>Inter</w:t>
      </w:r>
      <w:r w:rsidR="00BB7D4E">
        <w:t xml:space="preserve">-frequency measurement </w:t>
      </w:r>
      <w:r w:rsidR="00126209">
        <w:t xml:space="preserve">requirements are very essential </w:t>
      </w:r>
      <w:r w:rsidR="000B5D48">
        <w:t>for</w:t>
      </w:r>
      <w:r w:rsidR="00126209">
        <w:t xml:space="preserve"> overall NR system performance, and </w:t>
      </w:r>
      <w:r w:rsidR="008650F3">
        <w:t>have been discussed in several RAN4 meetings</w:t>
      </w:r>
      <w:r w:rsidR="0026143C">
        <w:t>.</w:t>
      </w:r>
      <w:r w:rsidR="008650F3">
        <w:t xml:space="preserve"> </w:t>
      </w:r>
      <w:r w:rsidR="00FD4375">
        <w:t xml:space="preserve">So far, </w:t>
      </w:r>
      <w:r w:rsidR="0074469C">
        <w:t xml:space="preserve">the progress on inter-frequency measurement requirements is slow since most of the requirements are based on the conclusions from intra-frequency discussions. </w:t>
      </w:r>
    </w:p>
    <w:p w:rsidR="00FD4375" w:rsidRDefault="0074469C" w:rsidP="0074469C">
      <w:pPr>
        <w:spacing w:before="120" w:after="120"/>
      </w:pPr>
      <w:r>
        <w:t xml:space="preserve">On the other hand, there is one specific open issue for inter-frequency, i.e. how to define the requirements to account for the different SMTC configurations (including period and offset of SMTC) on different layers. In RAN4#86, WF [1] was agreed with the content copied below. Basically, RAN4 has discussed some options on how to define the performance scaling for inter-frequency measurement </w:t>
      </w:r>
      <w:r w:rsidR="003048F5">
        <w:t>but has not reached the agreement.</w:t>
      </w:r>
    </w:p>
    <w:tbl>
      <w:tblPr>
        <w:tblStyle w:val="TableGrid"/>
        <w:tblW w:w="0" w:type="auto"/>
        <w:tblLook w:val="04A0" w:firstRow="1" w:lastRow="0" w:firstColumn="1" w:lastColumn="0" w:noHBand="0" w:noVBand="1"/>
      </w:tblPr>
      <w:tblGrid>
        <w:gridCol w:w="9617"/>
      </w:tblGrid>
      <w:tr w:rsidR="0074469C" w:rsidTr="0074469C">
        <w:tc>
          <w:tcPr>
            <w:tcW w:w="9617" w:type="dxa"/>
          </w:tcPr>
          <w:p w:rsidR="004040FD" w:rsidRPr="0074469C" w:rsidRDefault="00FA40FD" w:rsidP="0074469C">
            <w:pPr>
              <w:numPr>
                <w:ilvl w:val="0"/>
                <w:numId w:val="19"/>
              </w:numPr>
              <w:spacing w:before="120" w:after="120"/>
            </w:pPr>
            <w:r w:rsidRPr="0074469C">
              <w:t>Measurement objects with same SMTC periodicity and offset within the same FR range should share the same delay requirement.</w:t>
            </w:r>
          </w:p>
          <w:p w:rsidR="004040FD" w:rsidRPr="0074469C" w:rsidRDefault="00FA40FD" w:rsidP="0074469C">
            <w:pPr>
              <w:numPr>
                <w:ilvl w:val="0"/>
                <w:numId w:val="19"/>
              </w:numPr>
              <w:spacing w:before="120" w:after="120"/>
            </w:pPr>
            <w:r w:rsidRPr="0074469C">
              <w:t>Strive to address the SMTC overlapping issue should be based on SMTC periodicity and offset grouping and each group has its own scaling factor</w:t>
            </w:r>
          </w:p>
          <w:p w:rsidR="004040FD" w:rsidRPr="0074469C" w:rsidRDefault="00FA40FD" w:rsidP="0074469C">
            <w:pPr>
              <w:numPr>
                <w:ilvl w:val="1"/>
                <w:numId w:val="19"/>
              </w:numPr>
              <w:spacing w:before="120" w:after="120"/>
            </w:pPr>
            <w:r w:rsidRPr="0074469C">
              <w:t>The definition of SMTC periodicity and offset grouping is FFS</w:t>
            </w:r>
          </w:p>
          <w:p w:rsidR="004040FD" w:rsidRPr="0074469C" w:rsidRDefault="00FA40FD" w:rsidP="0074469C">
            <w:pPr>
              <w:numPr>
                <w:ilvl w:val="1"/>
                <w:numId w:val="19"/>
              </w:numPr>
              <w:spacing w:before="120" w:after="120"/>
            </w:pPr>
            <w:r w:rsidRPr="0074469C">
              <w:rPr>
                <w:lang w:val="en-GB"/>
              </w:rPr>
              <w:t>When all SMTC occasions are non colliding (no measurement gap contains SMTC from more than one frequency layer) there is no need for an additional scaling factor</w:t>
            </w:r>
          </w:p>
          <w:p w:rsidR="004040FD" w:rsidRPr="0074469C" w:rsidRDefault="00FA40FD" w:rsidP="0074469C">
            <w:pPr>
              <w:numPr>
                <w:ilvl w:val="0"/>
                <w:numId w:val="19"/>
              </w:numPr>
              <w:spacing w:before="120" w:after="120"/>
            </w:pPr>
            <w:r w:rsidRPr="0074469C">
              <w:t>Strive to keep UE measurement flexibility the same as LTE</w:t>
            </w:r>
          </w:p>
          <w:p w:rsidR="004040FD" w:rsidRPr="0074469C" w:rsidRDefault="00FA40FD" w:rsidP="0074469C">
            <w:pPr>
              <w:numPr>
                <w:ilvl w:val="0"/>
                <w:numId w:val="19"/>
              </w:numPr>
              <w:spacing w:before="120" w:after="120"/>
            </w:pPr>
            <w:r w:rsidRPr="0074469C">
              <w:t>Companies are encouraged to suggest the principle to define the requirement methodologies within the below options:</w:t>
            </w:r>
          </w:p>
          <w:p w:rsidR="004040FD" w:rsidRPr="0074469C" w:rsidRDefault="00FA40FD" w:rsidP="0074469C">
            <w:pPr>
              <w:numPr>
                <w:ilvl w:val="1"/>
                <w:numId w:val="19"/>
              </w:numPr>
              <w:spacing w:before="120" w:after="120"/>
            </w:pPr>
            <w:r w:rsidRPr="0074469C">
              <w:t>Option 1: unified delay requirement among different carriers SMTC configurations</w:t>
            </w:r>
          </w:p>
          <w:p w:rsidR="004040FD" w:rsidRPr="0074469C" w:rsidRDefault="00FA40FD" w:rsidP="0074469C">
            <w:pPr>
              <w:numPr>
                <w:ilvl w:val="1"/>
                <w:numId w:val="19"/>
              </w:numPr>
              <w:spacing w:before="120" w:after="120"/>
            </w:pPr>
            <w:r w:rsidRPr="0074469C">
              <w:t>Option 2: requirements are defined per carrier (per SMTC configuration)</w:t>
            </w:r>
          </w:p>
          <w:p w:rsidR="004040FD" w:rsidRPr="0074469C" w:rsidRDefault="00FA40FD" w:rsidP="0074469C">
            <w:pPr>
              <w:numPr>
                <w:ilvl w:val="0"/>
                <w:numId w:val="19"/>
              </w:numPr>
              <w:spacing w:before="120" w:after="120"/>
            </w:pPr>
            <w:r w:rsidRPr="0074469C">
              <w:t>Companies are encouraged to provide views on the impact of AGC issue</w:t>
            </w:r>
          </w:p>
          <w:p w:rsidR="0074469C" w:rsidRDefault="00FA40FD" w:rsidP="0074469C">
            <w:pPr>
              <w:numPr>
                <w:ilvl w:val="0"/>
                <w:numId w:val="19"/>
              </w:numPr>
              <w:spacing w:before="120" w:after="120"/>
            </w:pPr>
            <w:r w:rsidRPr="0074469C">
              <w:t>FFS the delay caused by gap sharing with intra-frequency measurement and DRX mode.</w:t>
            </w:r>
          </w:p>
        </w:tc>
      </w:tr>
    </w:tbl>
    <w:p w:rsidR="00B71526" w:rsidRPr="00E92C17" w:rsidRDefault="0074469C" w:rsidP="00E92C17">
      <w:pPr>
        <w:spacing w:before="120" w:after="120"/>
      </w:pPr>
      <w:r>
        <w:t>In this paper, we will provide our views on how to define the scaling factor for inter-frequency requirements to account for different SMTC period and offset on different layers.</w:t>
      </w:r>
      <w:r w:rsidR="0053548D">
        <w:t xml:space="preserve"> </w:t>
      </w:r>
    </w:p>
    <w:p w:rsidR="0008612A" w:rsidRDefault="003B659E" w:rsidP="00660508">
      <w:pPr>
        <w:pStyle w:val="RAN4H1"/>
      </w:pPr>
      <w:r>
        <w:t>2</w:t>
      </w:r>
      <w:r w:rsidRPr="00841BCD">
        <w:tab/>
      </w:r>
      <w:r>
        <w:t>Discussion</w:t>
      </w:r>
    </w:p>
    <w:p w:rsidR="008919C8" w:rsidRDefault="008919C8" w:rsidP="008919C8">
      <w:r>
        <w:t>For the following discussions, the assumption is that all inter-frequency measurements are performed in MGs, and all SMTC occasions on each concerned inter-frequency layers fall into MGs. Of course, there may exist SMTC occasions outside MGs, e.g. if network configures SMTC period less than the MG period, but those SMTC occasions cannot be used for measurement so do not impact the measurement performance.</w:t>
      </w:r>
    </w:p>
    <w:p w:rsidR="008919C8" w:rsidRDefault="008919C8" w:rsidP="008919C8">
      <w:r>
        <w:t>To simplify the discussion, we don’t consider intra-frequency in the discussion and assume all the MGs are available for inter</w:t>
      </w:r>
      <w:r w:rsidRPr="008919C8">
        <w:t>-frequency</w:t>
      </w:r>
      <w:r>
        <w:t xml:space="preserve">. Also, no DRX </w:t>
      </w:r>
      <w:r w:rsidR="00101B63">
        <w:t xml:space="preserve">or beam sweeping is considered. We understand the performance would be further scaled due to these factors (MG sharing with </w:t>
      </w:r>
      <w:r w:rsidR="00101B63" w:rsidRPr="00101B63">
        <w:t>intra-frequency</w:t>
      </w:r>
      <w:r w:rsidR="00101B63">
        <w:t xml:space="preserve">, DRX misalignment and beam sweeping in FR2). </w:t>
      </w:r>
    </w:p>
    <w:p w:rsidR="003048F5" w:rsidRDefault="003048F5" w:rsidP="003048F5">
      <w:pPr>
        <w:pStyle w:val="Heading2"/>
      </w:pPr>
      <w:r>
        <w:lastRenderedPageBreak/>
        <w:t>2.1</w:t>
      </w:r>
      <w:r>
        <w:tab/>
        <w:t xml:space="preserve">Grouping of carriers </w:t>
      </w:r>
    </w:p>
    <w:p w:rsidR="003048F5" w:rsidRDefault="003048F5" w:rsidP="00A147DB">
      <w:pPr>
        <w:spacing w:before="120" w:after="120"/>
      </w:pPr>
      <w:r>
        <w:t xml:space="preserve">Depending on </w:t>
      </w:r>
      <w:r w:rsidR="008919C8">
        <w:t xml:space="preserve">the SMTC period and offset, inter-frequency layers can be grouped into different groups. The grouping has been discussed for several RAN4 meetings, </w:t>
      </w:r>
      <w:r w:rsidR="00101B63">
        <w:t>and it seems RAN4 has reached common understanding on full overlapping case and full non-overlapping case.</w:t>
      </w:r>
    </w:p>
    <w:p w:rsidR="00101B63" w:rsidRDefault="00101B63" w:rsidP="00101B63">
      <w:pPr>
        <w:pStyle w:val="ListParagraph"/>
        <w:numPr>
          <w:ilvl w:val="0"/>
          <w:numId w:val="21"/>
        </w:numPr>
        <w:spacing w:before="120" w:after="120"/>
      </w:pPr>
      <w:r>
        <w:t>Full overlapping: carriers with all SMTC occasion overlapping should be in the same group</w:t>
      </w:r>
    </w:p>
    <w:p w:rsidR="00101B63" w:rsidRDefault="00101B63" w:rsidP="00101B63">
      <w:pPr>
        <w:pStyle w:val="ListParagraph"/>
        <w:numPr>
          <w:ilvl w:val="0"/>
          <w:numId w:val="21"/>
        </w:numPr>
        <w:spacing w:before="120" w:after="120"/>
      </w:pPr>
      <w:r>
        <w:t>Full non-overlapping: carriers that have no SMTC occasion overlapping should be different groups</w:t>
      </w:r>
    </w:p>
    <w:p w:rsidR="00101B63" w:rsidRDefault="00101B63" w:rsidP="00101B63">
      <w:pPr>
        <w:spacing w:before="120" w:after="120"/>
      </w:pPr>
      <w:r>
        <w:t xml:space="preserve">However, the partial overlapping case has not been fully discussed. In </w:t>
      </w:r>
      <w:r>
        <w:fldChar w:fldCharType="begin"/>
      </w:r>
      <w:r>
        <w:instrText xml:space="preserve"> REF _Ref510707895 \h </w:instrText>
      </w:r>
      <w:r>
        <w:fldChar w:fldCharType="separate"/>
      </w:r>
      <w:r>
        <w:t xml:space="preserve">Figure </w:t>
      </w:r>
      <w:r>
        <w:rPr>
          <w:noProof/>
        </w:rPr>
        <w:t>1</w:t>
      </w:r>
      <w:r>
        <w:fldChar w:fldCharType="end"/>
      </w:r>
      <w:r>
        <w:t xml:space="preserve">, we give an example of partial overlapping. In the figure, F2 and F3 has no SMTC occasion overlapped with each other, so if only these two carriers are considered, they should not be in the same group. However, they both have overlapping SMTC occasions with F1, i.e., F1 and F2 have some but not all SMTC occasions overlapping with each other and same is for F1 and F3.  </w:t>
      </w:r>
    </w:p>
    <w:p w:rsidR="00101B63" w:rsidRDefault="00101B63" w:rsidP="00101B63">
      <w:pPr>
        <w:keepNext/>
        <w:spacing w:before="120" w:after="120"/>
        <w:jc w:val="center"/>
      </w:pPr>
      <w:r w:rsidRPr="00F53E73">
        <w:rPr>
          <w:noProof/>
        </w:rPr>
        <w:drawing>
          <wp:inline distT="0" distB="0" distL="0" distR="0">
            <wp:extent cx="2802890" cy="778510"/>
            <wp:effectExtent l="19050" t="19050" r="16510" b="215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2890" cy="778510"/>
                    </a:xfrm>
                    <a:prstGeom prst="rect">
                      <a:avLst/>
                    </a:prstGeom>
                    <a:noFill/>
                    <a:ln w="6350" cmpd="sng">
                      <a:solidFill>
                        <a:srgbClr val="000000"/>
                      </a:solidFill>
                      <a:miter lim="800000"/>
                      <a:headEnd/>
                      <a:tailEnd/>
                    </a:ln>
                    <a:effectLst/>
                  </pic:spPr>
                </pic:pic>
              </a:graphicData>
            </a:graphic>
          </wp:inline>
        </w:drawing>
      </w:r>
    </w:p>
    <w:p w:rsidR="00101B63" w:rsidRDefault="00101B63" w:rsidP="00101B63">
      <w:pPr>
        <w:pStyle w:val="Caption"/>
      </w:pPr>
      <w:bookmarkStart w:id="4" w:name="_Ref510707895"/>
      <w:r>
        <w:t xml:space="preserve">Figure </w:t>
      </w:r>
      <w:r w:rsidR="00FD0706">
        <w:fldChar w:fldCharType="begin"/>
      </w:r>
      <w:r w:rsidR="00FD0706">
        <w:instrText xml:space="preserve"> SEQ Figure \* ARABIC </w:instrText>
      </w:r>
      <w:r w:rsidR="00FD0706">
        <w:fldChar w:fldCharType="separate"/>
      </w:r>
      <w:r w:rsidR="003A72A0">
        <w:rPr>
          <w:noProof/>
        </w:rPr>
        <w:t>1</w:t>
      </w:r>
      <w:r w:rsidR="00FD0706">
        <w:rPr>
          <w:noProof/>
        </w:rPr>
        <w:fldChar w:fldCharType="end"/>
      </w:r>
      <w:bookmarkEnd w:id="4"/>
      <w:r>
        <w:t>: example of partial SMTC overlapping</w:t>
      </w:r>
    </w:p>
    <w:p w:rsidR="00101B63" w:rsidRDefault="00101B63" w:rsidP="00101B63">
      <w:pPr>
        <w:spacing w:before="120" w:after="120"/>
      </w:pPr>
      <w:r>
        <w:t xml:space="preserve">In this case, we understand </w:t>
      </w:r>
      <w:r w:rsidR="000854E1">
        <w:t>the performance scaling of F1, F2 and F3 should be derived together, and we can</w:t>
      </w:r>
      <w:r w:rsidR="00E279D4">
        <w:t>not</w:t>
      </w:r>
      <w:r w:rsidR="000854E1">
        <w:t xml:space="preserve"> put F2 or F3 in </w:t>
      </w:r>
      <w:r w:rsidR="00E279D4">
        <w:t>a separate</w:t>
      </w:r>
      <w:r w:rsidR="000854E1">
        <w:t xml:space="preserve"> group and define its requirement </w:t>
      </w:r>
      <w:r w:rsidR="00E279D4">
        <w:t>without considering F1. Therefore, we think if two carriers have overlapping SMTC occasion with each other or with a same other carrier, they should be in the same group.</w:t>
      </w:r>
    </w:p>
    <w:p w:rsidR="003048F5" w:rsidRDefault="00E279D4" w:rsidP="00E279D4">
      <w:pPr>
        <w:pStyle w:val="RAN4proposal"/>
      </w:pPr>
      <w:bookmarkStart w:id="5" w:name="_Ref510714248"/>
      <w:r>
        <w:t>T</w:t>
      </w:r>
      <w:r w:rsidR="003048F5">
        <w:t xml:space="preserve">wo carriers </w:t>
      </w:r>
      <w:r>
        <w:t xml:space="preserve">with </w:t>
      </w:r>
      <w:r w:rsidRPr="00E279D4">
        <w:t xml:space="preserve">overlapping SMTC occasion with each other or with a same other carrier </w:t>
      </w:r>
      <w:r w:rsidR="003048F5">
        <w:t>should be in the same carrier group.</w:t>
      </w:r>
      <w:bookmarkEnd w:id="5"/>
    </w:p>
    <w:p w:rsidR="003048F5" w:rsidRDefault="00E279D4" w:rsidP="00E279D4">
      <w:pPr>
        <w:pStyle w:val="Heading2"/>
      </w:pPr>
      <w:r>
        <w:t>2.2</w:t>
      </w:r>
      <w:r>
        <w:tab/>
        <w:t>Performance scaling within the group</w:t>
      </w:r>
    </w:p>
    <w:p w:rsidR="00E279D4" w:rsidRDefault="00E279D4" w:rsidP="00E279D4">
      <w:pPr>
        <w:spacing w:before="120" w:after="120"/>
      </w:pPr>
      <w:r>
        <w:t>In previous RAN4 meetings, there are several options to define the performance scaling within the group of carriers.</w:t>
      </w:r>
    </w:p>
    <w:p w:rsidR="00E279D4" w:rsidRDefault="00E279D4" w:rsidP="00E279D4">
      <w:pPr>
        <w:pStyle w:val="ListParagraph"/>
        <w:numPr>
          <w:ilvl w:val="0"/>
          <w:numId w:val="22"/>
        </w:numPr>
        <w:spacing w:before="120" w:after="120"/>
      </w:pPr>
      <w:r>
        <w:t>Scale the performance of each carrier by the number of carriers within the group</w:t>
      </w:r>
    </w:p>
    <w:p w:rsidR="00E279D4" w:rsidRDefault="00E279D4" w:rsidP="00E279D4">
      <w:pPr>
        <w:pStyle w:val="ListParagraph"/>
        <w:numPr>
          <w:ilvl w:val="0"/>
          <w:numId w:val="22"/>
        </w:numPr>
        <w:spacing w:before="120" w:after="120"/>
      </w:pPr>
      <w:r>
        <w:t xml:space="preserve">Define the common performance for all carriers in the group as the sum of individual delay requirement (scaling factor </w:t>
      </w:r>
      <w:r w:rsidR="00B57B2F">
        <w:t xml:space="preserve">for each carriers </w:t>
      </w:r>
      <w:r>
        <w:t xml:space="preserve">can be </w:t>
      </w:r>
      <w:r w:rsidR="00B57B2F">
        <w:t>derived from the performance</w:t>
      </w:r>
      <w:r>
        <w:t>)</w:t>
      </w:r>
    </w:p>
    <w:p w:rsidR="00E279D4" w:rsidRDefault="00B57B2F" w:rsidP="00E279D4">
      <w:pPr>
        <w:pStyle w:val="ListParagraph"/>
        <w:numPr>
          <w:ilvl w:val="0"/>
          <w:numId w:val="22"/>
        </w:numPr>
        <w:spacing w:before="120" w:after="120"/>
      </w:pPr>
      <w:r>
        <w:t>Scale the performance of a carrier by the number of carriers within the group that have overlapping SMTC occasions with the concerned carrier</w:t>
      </w:r>
    </w:p>
    <w:p w:rsidR="00B57B2F" w:rsidRDefault="00B57B2F" w:rsidP="00B57B2F">
      <w:pPr>
        <w:spacing w:before="120" w:after="120"/>
      </w:pPr>
      <w:r>
        <w:t xml:space="preserve">In </w:t>
      </w:r>
      <w:r>
        <w:fldChar w:fldCharType="begin"/>
      </w:r>
      <w:r>
        <w:instrText xml:space="preserve"> REF _Ref510709715 \h </w:instrText>
      </w:r>
      <w:r>
        <w:fldChar w:fldCharType="separate"/>
      </w:r>
      <w:r>
        <w:t xml:space="preserve">Table </w:t>
      </w:r>
      <w:r>
        <w:rPr>
          <w:noProof/>
        </w:rPr>
        <w:t>1</w:t>
      </w:r>
      <w:r>
        <w:fldChar w:fldCharType="end"/>
      </w:r>
      <w:r>
        <w:t xml:space="preserve">, we calculate the scaling factor for the carriers in Figure 1 with the three different options. As can be seen, option 1 and 2 are pessimistic compared to option 3, and actually we can easily find a measurement arrangement that can achieve the performance of option 3, e.g. </w:t>
      </w:r>
      <w:r w:rsidR="003A72A0">
        <w:t xml:space="preserve">1-1-2-3 or 2-3-1-1. </w:t>
      </w:r>
    </w:p>
    <w:p w:rsidR="00B57B2F" w:rsidRDefault="00B57B2F" w:rsidP="00B57B2F">
      <w:pPr>
        <w:pStyle w:val="Caption"/>
        <w:keepNext/>
      </w:pPr>
      <w:bookmarkStart w:id="6" w:name="_Ref510709715"/>
      <w:r>
        <w:t xml:space="preserve">Table </w:t>
      </w:r>
      <w:r w:rsidR="00FD0706">
        <w:fldChar w:fldCharType="begin"/>
      </w:r>
      <w:r w:rsidR="00FD0706">
        <w:instrText xml:space="preserve"> SEQ Table \* ARABIC </w:instrText>
      </w:r>
      <w:r w:rsidR="00FD0706">
        <w:fldChar w:fldCharType="separate"/>
      </w:r>
      <w:r w:rsidR="00176035">
        <w:rPr>
          <w:noProof/>
        </w:rPr>
        <w:t>1</w:t>
      </w:r>
      <w:r w:rsidR="00FD0706">
        <w:rPr>
          <w:noProof/>
        </w:rPr>
        <w:fldChar w:fldCharType="end"/>
      </w:r>
      <w:bookmarkEnd w:id="6"/>
      <w:r>
        <w:t xml:space="preserve">: scaling factor for the example in </w:t>
      </w:r>
      <w:r>
        <w:fldChar w:fldCharType="begin"/>
      </w:r>
      <w:r>
        <w:instrText xml:space="preserve"> REF _Ref510707895 \h </w:instrText>
      </w:r>
      <w:r>
        <w:fldChar w:fldCharType="separate"/>
      </w:r>
      <w:r>
        <w:t xml:space="preserve">Figure </w:t>
      </w:r>
      <w:r>
        <w:rPr>
          <w:noProof/>
        </w:rPr>
        <w:t>1</w:t>
      </w:r>
      <w:r>
        <w:fldChar w:fldCharType="end"/>
      </w:r>
      <w:r>
        <w:t xml:space="preserve"> with different options</w:t>
      </w:r>
    </w:p>
    <w:tbl>
      <w:tblPr>
        <w:tblStyle w:val="TableGrid"/>
        <w:tblW w:w="0" w:type="auto"/>
        <w:jc w:val="center"/>
        <w:tblLook w:val="04A0" w:firstRow="1" w:lastRow="0" w:firstColumn="1" w:lastColumn="0" w:noHBand="0" w:noVBand="1"/>
      </w:tblPr>
      <w:tblGrid>
        <w:gridCol w:w="878"/>
        <w:gridCol w:w="428"/>
        <w:gridCol w:w="466"/>
        <w:gridCol w:w="466"/>
      </w:tblGrid>
      <w:tr w:rsidR="00B57B2F" w:rsidTr="00B57B2F">
        <w:trPr>
          <w:jc w:val="center"/>
        </w:trPr>
        <w:tc>
          <w:tcPr>
            <w:tcW w:w="0" w:type="auto"/>
          </w:tcPr>
          <w:p w:rsidR="00B57B2F" w:rsidRDefault="00B57B2F" w:rsidP="00B57B2F">
            <w:pPr>
              <w:spacing w:before="120" w:after="120"/>
              <w:jc w:val="center"/>
            </w:pPr>
          </w:p>
        </w:tc>
        <w:tc>
          <w:tcPr>
            <w:tcW w:w="0" w:type="auto"/>
          </w:tcPr>
          <w:p w:rsidR="00B57B2F" w:rsidRDefault="006F36CD" w:rsidP="00B57B2F">
            <w:pPr>
              <w:spacing w:before="120" w:after="120"/>
              <w:jc w:val="center"/>
            </w:pPr>
            <w:r>
              <w:t>F1</w:t>
            </w:r>
          </w:p>
        </w:tc>
        <w:tc>
          <w:tcPr>
            <w:tcW w:w="0" w:type="auto"/>
          </w:tcPr>
          <w:p w:rsidR="00B57B2F" w:rsidRDefault="006F36CD" w:rsidP="00B57B2F">
            <w:pPr>
              <w:spacing w:before="120" w:after="120"/>
              <w:jc w:val="center"/>
            </w:pPr>
            <w:r>
              <w:t>F2</w:t>
            </w:r>
          </w:p>
        </w:tc>
        <w:tc>
          <w:tcPr>
            <w:tcW w:w="0" w:type="auto"/>
          </w:tcPr>
          <w:p w:rsidR="00B57B2F" w:rsidRDefault="006F36CD" w:rsidP="00B57B2F">
            <w:pPr>
              <w:spacing w:before="120" w:after="120"/>
              <w:jc w:val="center"/>
            </w:pPr>
            <w:r>
              <w:t>F</w:t>
            </w:r>
            <w:r w:rsidR="00B57B2F">
              <w:t>3</w:t>
            </w:r>
          </w:p>
        </w:tc>
      </w:tr>
      <w:tr w:rsidR="00B57B2F" w:rsidTr="00B57B2F">
        <w:trPr>
          <w:jc w:val="center"/>
        </w:trPr>
        <w:tc>
          <w:tcPr>
            <w:tcW w:w="0" w:type="auto"/>
          </w:tcPr>
          <w:p w:rsidR="00B57B2F" w:rsidRDefault="006F36CD" w:rsidP="00B57B2F">
            <w:pPr>
              <w:spacing w:before="120" w:after="120"/>
              <w:jc w:val="center"/>
            </w:pPr>
            <w:r>
              <w:t>option 1</w:t>
            </w:r>
          </w:p>
        </w:tc>
        <w:tc>
          <w:tcPr>
            <w:tcW w:w="0" w:type="auto"/>
          </w:tcPr>
          <w:p w:rsidR="00B57B2F" w:rsidRDefault="006F36CD" w:rsidP="00B57B2F">
            <w:pPr>
              <w:spacing w:before="120" w:after="120"/>
              <w:jc w:val="center"/>
            </w:pPr>
            <w:r>
              <w:t>3</w:t>
            </w:r>
          </w:p>
        </w:tc>
        <w:tc>
          <w:tcPr>
            <w:tcW w:w="0" w:type="auto"/>
          </w:tcPr>
          <w:p w:rsidR="00B57B2F" w:rsidRDefault="006F36CD" w:rsidP="00B57B2F">
            <w:pPr>
              <w:spacing w:before="120" w:after="120"/>
              <w:jc w:val="center"/>
            </w:pPr>
            <w:r>
              <w:t>3</w:t>
            </w:r>
          </w:p>
        </w:tc>
        <w:tc>
          <w:tcPr>
            <w:tcW w:w="0" w:type="auto"/>
          </w:tcPr>
          <w:p w:rsidR="00B57B2F" w:rsidRDefault="006F36CD" w:rsidP="00B57B2F">
            <w:pPr>
              <w:spacing w:before="120" w:after="120"/>
              <w:jc w:val="center"/>
            </w:pPr>
            <w:r>
              <w:t>3</w:t>
            </w:r>
          </w:p>
        </w:tc>
      </w:tr>
      <w:tr w:rsidR="00B57B2F" w:rsidTr="00B57B2F">
        <w:trPr>
          <w:jc w:val="center"/>
        </w:trPr>
        <w:tc>
          <w:tcPr>
            <w:tcW w:w="0" w:type="auto"/>
          </w:tcPr>
          <w:p w:rsidR="00B57B2F" w:rsidRDefault="006F36CD" w:rsidP="00B57B2F">
            <w:pPr>
              <w:spacing w:before="120" w:after="120"/>
              <w:jc w:val="center"/>
            </w:pPr>
            <w:r w:rsidRPr="006F36CD">
              <w:t xml:space="preserve">option </w:t>
            </w:r>
            <w:r>
              <w:t>2</w:t>
            </w:r>
          </w:p>
        </w:tc>
        <w:tc>
          <w:tcPr>
            <w:tcW w:w="0" w:type="auto"/>
          </w:tcPr>
          <w:p w:rsidR="00B57B2F" w:rsidRDefault="006F36CD" w:rsidP="00B57B2F">
            <w:pPr>
              <w:spacing w:before="120" w:after="120"/>
              <w:jc w:val="center"/>
            </w:pPr>
            <w:r>
              <w:t>5</w:t>
            </w:r>
          </w:p>
        </w:tc>
        <w:tc>
          <w:tcPr>
            <w:tcW w:w="0" w:type="auto"/>
          </w:tcPr>
          <w:p w:rsidR="00B57B2F" w:rsidRDefault="00B57B2F" w:rsidP="00B57B2F">
            <w:pPr>
              <w:spacing w:before="120" w:after="120"/>
              <w:jc w:val="center"/>
            </w:pPr>
            <w:r>
              <w:t>2.5</w:t>
            </w:r>
          </w:p>
        </w:tc>
        <w:tc>
          <w:tcPr>
            <w:tcW w:w="0" w:type="auto"/>
          </w:tcPr>
          <w:p w:rsidR="00B57B2F" w:rsidRDefault="00B57B2F" w:rsidP="00B57B2F">
            <w:pPr>
              <w:spacing w:before="120" w:after="120"/>
              <w:jc w:val="center"/>
            </w:pPr>
            <w:r>
              <w:t>2</w:t>
            </w:r>
            <w:r w:rsidR="006F36CD">
              <w:t>.5</w:t>
            </w:r>
          </w:p>
        </w:tc>
      </w:tr>
      <w:tr w:rsidR="00B57B2F" w:rsidTr="00B57B2F">
        <w:trPr>
          <w:jc w:val="center"/>
        </w:trPr>
        <w:tc>
          <w:tcPr>
            <w:tcW w:w="0" w:type="auto"/>
          </w:tcPr>
          <w:p w:rsidR="00B57B2F" w:rsidRDefault="006F36CD" w:rsidP="00B57B2F">
            <w:pPr>
              <w:spacing w:before="120" w:after="120"/>
              <w:jc w:val="center"/>
            </w:pPr>
            <w:r w:rsidRPr="006F36CD">
              <w:t xml:space="preserve">option </w:t>
            </w:r>
            <w:r>
              <w:t>3</w:t>
            </w:r>
          </w:p>
        </w:tc>
        <w:tc>
          <w:tcPr>
            <w:tcW w:w="0" w:type="auto"/>
          </w:tcPr>
          <w:p w:rsidR="00B57B2F" w:rsidRDefault="006F36CD" w:rsidP="00B57B2F">
            <w:pPr>
              <w:spacing w:before="120" w:after="120"/>
              <w:jc w:val="center"/>
            </w:pPr>
            <w:r>
              <w:t>2</w:t>
            </w:r>
          </w:p>
        </w:tc>
        <w:tc>
          <w:tcPr>
            <w:tcW w:w="0" w:type="auto"/>
          </w:tcPr>
          <w:p w:rsidR="00B57B2F" w:rsidRDefault="006F36CD" w:rsidP="00B57B2F">
            <w:pPr>
              <w:spacing w:before="120" w:after="120"/>
              <w:jc w:val="center"/>
            </w:pPr>
            <w:r>
              <w:t>2</w:t>
            </w:r>
          </w:p>
        </w:tc>
        <w:tc>
          <w:tcPr>
            <w:tcW w:w="0" w:type="auto"/>
          </w:tcPr>
          <w:p w:rsidR="00B57B2F" w:rsidRDefault="00B57B2F" w:rsidP="00B57B2F">
            <w:pPr>
              <w:spacing w:before="120" w:after="120"/>
              <w:jc w:val="center"/>
            </w:pPr>
            <w:r>
              <w:t>2</w:t>
            </w:r>
          </w:p>
        </w:tc>
      </w:tr>
    </w:tbl>
    <w:p w:rsidR="00B57B2F" w:rsidRDefault="003A72A0" w:rsidP="00B57B2F">
      <w:pPr>
        <w:spacing w:before="120" w:after="120"/>
      </w:pPr>
      <w:r>
        <w:t xml:space="preserve">Option 3 is good in handling the carriers without overlapping SMTC occasions within the group, however, it does not ensure efficient MG use for carriers with overlapping SMTC occasions but with different SMTC period. For example, in the simple case as in </w:t>
      </w:r>
      <w:r>
        <w:fldChar w:fldCharType="begin"/>
      </w:r>
      <w:r>
        <w:instrText xml:space="preserve"> REF _Ref510710406 \h </w:instrText>
      </w:r>
      <w:r>
        <w:fldChar w:fldCharType="separate"/>
      </w:r>
      <w:r>
        <w:t xml:space="preserve">Figure </w:t>
      </w:r>
      <w:r>
        <w:rPr>
          <w:noProof/>
        </w:rPr>
        <w:t>2</w:t>
      </w:r>
      <w:r>
        <w:fldChar w:fldCharType="end"/>
      </w:r>
      <w:r>
        <w:t>, option 3 will give the scaling as [2 2] for F1 and F2, however, if F2 is measured every other SMTC occasion (which gives the scaling of 2), F1 c</w:t>
      </w:r>
      <w:r w:rsidR="001C64E1">
        <w:t xml:space="preserve">an be measured more frequently, and the scaling factor should be 8/7 = 1.14. Of course, if we do not consider further scaling due to MG sharing with intra-frequency, beam sweeping, the difference between 1.14 and 2 is minor, but if we multiply all the scaling factors together, there will be a big difference on the requirement, e.g. if other scaling is 8, ceil(1.14*8) = 10 but ceil(2*8) = 16. </w:t>
      </w:r>
    </w:p>
    <w:p w:rsidR="003A72A0" w:rsidRDefault="003A72A0" w:rsidP="003A72A0">
      <w:pPr>
        <w:keepNext/>
        <w:spacing w:before="120" w:after="120"/>
        <w:jc w:val="center"/>
      </w:pPr>
      <w:r>
        <w:rPr>
          <w:noProof/>
        </w:rPr>
        <w:lastRenderedPageBreak/>
        <w:drawing>
          <wp:inline distT="0" distB="0" distL="0" distR="0" wp14:anchorId="171FEF17">
            <wp:extent cx="5110613" cy="5586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4977" cy="567862"/>
                    </a:xfrm>
                    <a:prstGeom prst="rect">
                      <a:avLst/>
                    </a:prstGeom>
                    <a:noFill/>
                  </pic:spPr>
                </pic:pic>
              </a:graphicData>
            </a:graphic>
          </wp:inline>
        </w:drawing>
      </w:r>
    </w:p>
    <w:p w:rsidR="00E279D4" w:rsidRDefault="003A72A0" w:rsidP="003A72A0">
      <w:pPr>
        <w:pStyle w:val="Caption"/>
      </w:pPr>
      <w:bookmarkStart w:id="7" w:name="_Ref510710406"/>
      <w:r>
        <w:t xml:space="preserve">Figure </w:t>
      </w:r>
      <w:r w:rsidR="00FD0706">
        <w:fldChar w:fldCharType="begin"/>
      </w:r>
      <w:r w:rsidR="00FD0706">
        <w:instrText xml:space="preserve"> SEQ Figure \* ARABIC </w:instrText>
      </w:r>
      <w:r w:rsidR="00FD0706">
        <w:fldChar w:fldCharType="separate"/>
      </w:r>
      <w:r>
        <w:rPr>
          <w:noProof/>
        </w:rPr>
        <w:t>2</w:t>
      </w:r>
      <w:r w:rsidR="00FD0706">
        <w:rPr>
          <w:noProof/>
        </w:rPr>
        <w:fldChar w:fldCharType="end"/>
      </w:r>
      <w:bookmarkEnd w:id="7"/>
      <w:r>
        <w:t>: example of carriers with overlapping SMTC occasions but different SMTC period</w:t>
      </w:r>
    </w:p>
    <w:p w:rsidR="001C64E1" w:rsidRDefault="001C64E1" w:rsidP="00A147DB">
      <w:pPr>
        <w:spacing w:before="120" w:after="120"/>
      </w:pPr>
      <w:r>
        <w:t xml:space="preserve">What we need is a mechanism to derive the scaling factor for each carrier within the group that considers both the difference in both period and offset of the SMTC configuration, and that is generic to work for any of configurations. </w:t>
      </w:r>
    </w:p>
    <w:p w:rsidR="00176035" w:rsidRDefault="001C64E1" w:rsidP="00A147DB">
      <w:pPr>
        <w:spacing w:before="120" w:after="120"/>
      </w:pPr>
      <w:r>
        <w:t xml:space="preserve">In our view, </w:t>
      </w:r>
      <w:r w:rsidR="00604085">
        <w:t xml:space="preserve">it is impossible to define the exact measurement arrangement, i.e. at each SMTC occasion, which carrier should be measured by UE, </w:t>
      </w:r>
      <w:r w:rsidR="00176035">
        <w:t>instead</w:t>
      </w:r>
      <w:r w:rsidR="00604085">
        <w:t xml:space="preserve"> this should be up to UE </w:t>
      </w:r>
      <w:r w:rsidR="00176035">
        <w:t xml:space="preserve">implementation. What RAN4 can define is the share among carriers at each MG occasion, e.g. if we consider </w:t>
      </w:r>
      <w:r w:rsidR="00176035">
        <w:fldChar w:fldCharType="begin"/>
      </w:r>
      <w:r w:rsidR="00176035">
        <w:instrText xml:space="preserve"> REF _Ref510707895 \h </w:instrText>
      </w:r>
      <w:r w:rsidR="00176035">
        <w:fldChar w:fldCharType="separate"/>
      </w:r>
      <w:r w:rsidR="00176035">
        <w:t xml:space="preserve">Figure </w:t>
      </w:r>
      <w:r w:rsidR="00176035">
        <w:rPr>
          <w:noProof/>
        </w:rPr>
        <w:t>1</w:t>
      </w:r>
      <w:r w:rsidR="00176035">
        <w:fldChar w:fldCharType="end"/>
      </w:r>
      <w:r w:rsidR="00176035">
        <w:t xml:space="preserve"> and follow option 3, each MG occasion is equally shared among carriers which have SMTC occasions present. This is reflected by </w:t>
      </w:r>
      <w:r w:rsidR="00176035">
        <w:fldChar w:fldCharType="begin"/>
      </w:r>
      <w:r w:rsidR="00176035">
        <w:instrText xml:space="preserve"> REF _Ref510712710 \h </w:instrText>
      </w:r>
      <w:r w:rsidR="00176035">
        <w:fldChar w:fldCharType="separate"/>
      </w:r>
      <w:r w:rsidR="00176035">
        <w:t xml:space="preserve">Table </w:t>
      </w:r>
      <w:r w:rsidR="00176035">
        <w:rPr>
          <w:noProof/>
        </w:rPr>
        <w:t>2</w:t>
      </w:r>
      <w:r w:rsidR="00176035">
        <w:fldChar w:fldCharType="end"/>
      </w:r>
      <w:r w:rsidR="00176035">
        <w:t>.</w:t>
      </w:r>
    </w:p>
    <w:p w:rsidR="00176035" w:rsidRDefault="00176035" w:rsidP="00176035">
      <w:pPr>
        <w:pStyle w:val="Caption"/>
        <w:keepNext/>
      </w:pPr>
      <w:bookmarkStart w:id="8" w:name="_Ref510712710"/>
      <w:r>
        <w:t xml:space="preserve">Table </w:t>
      </w:r>
      <w:r w:rsidR="00FD0706">
        <w:fldChar w:fldCharType="begin"/>
      </w:r>
      <w:r w:rsidR="00FD0706">
        <w:instrText xml:space="preserve"> SEQ Table \* ARABIC </w:instrText>
      </w:r>
      <w:r w:rsidR="00FD0706">
        <w:fldChar w:fldCharType="separate"/>
      </w:r>
      <w:r>
        <w:rPr>
          <w:noProof/>
        </w:rPr>
        <w:t>2</w:t>
      </w:r>
      <w:r w:rsidR="00FD0706">
        <w:rPr>
          <w:noProof/>
        </w:rPr>
        <w:fldChar w:fldCharType="end"/>
      </w:r>
      <w:bookmarkEnd w:id="8"/>
      <w:r>
        <w:t xml:space="preserve">: share of different carriers at each MG occasion following option 3 for the </w:t>
      </w:r>
      <w:r w:rsidRPr="00176035">
        <w:t>example in Figure 1</w:t>
      </w:r>
    </w:p>
    <w:tbl>
      <w:tblPr>
        <w:tblStyle w:val="TableGrid"/>
        <w:tblW w:w="0" w:type="auto"/>
        <w:tblLook w:val="04A0" w:firstRow="1" w:lastRow="0" w:firstColumn="1" w:lastColumn="0" w:noHBand="0" w:noVBand="1"/>
      </w:tblPr>
      <w:tblGrid>
        <w:gridCol w:w="2404"/>
        <w:gridCol w:w="2404"/>
        <w:gridCol w:w="2404"/>
        <w:gridCol w:w="2405"/>
      </w:tblGrid>
      <w:tr w:rsidR="00176035" w:rsidTr="00176035">
        <w:tc>
          <w:tcPr>
            <w:tcW w:w="2404" w:type="dxa"/>
          </w:tcPr>
          <w:p w:rsidR="00176035" w:rsidRDefault="00176035" w:rsidP="00176035">
            <w:pPr>
              <w:spacing w:before="120" w:after="120"/>
            </w:pPr>
          </w:p>
        </w:tc>
        <w:tc>
          <w:tcPr>
            <w:tcW w:w="2404" w:type="dxa"/>
          </w:tcPr>
          <w:p w:rsidR="00176035" w:rsidRDefault="00176035" w:rsidP="00176035">
            <w:pPr>
              <w:spacing w:before="120" w:after="120"/>
            </w:pPr>
            <w:r>
              <w:t>F1</w:t>
            </w:r>
          </w:p>
        </w:tc>
        <w:tc>
          <w:tcPr>
            <w:tcW w:w="2404" w:type="dxa"/>
          </w:tcPr>
          <w:p w:rsidR="00176035" w:rsidRDefault="00176035" w:rsidP="00176035">
            <w:pPr>
              <w:spacing w:before="120" w:after="120"/>
            </w:pPr>
            <w:r>
              <w:t>F2</w:t>
            </w:r>
          </w:p>
        </w:tc>
        <w:tc>
          <w:tcPr>
            <w:tcW w:w="2405" w:type="dxa"/>
          </w:tcPr>
          <w:p w:rsidR="00176035" w:rsidRDefault="00176035" w:rsidP="00176035">
            <w:pPr>
              <w:spacing w:before="120" w:after="120"/>
            </w:pPr>
            <w:r>
              <w:t>F2</w:t>
            </w:r>
          </w:p>
        </w:tc>
      </w:tr>
      <w:tr w:rsidR="00176035" w:rsidTr="00176035">
        <w:tc>
          <w:tcPr>
            <w:tcW w:w="2404" w:type="dxa"/>
          </w:tcPr>
          <w:p w:rsidR="00176035" w:rsidRDefault="00176035" w:rsidP="00176035">
            <w:pPr>
              <w:spacing w:before="120" w:after="120"/>
            </w:pPr>
            <w:r>
              <w:t>Occasion#1</w:t>
            </w:r>
          </w:p>
        </w:tc>
        <w:tc>
          <w:tcPr>
            <w:tcW w:w="2404" w:type="dxa"/>
          </w:tcPr>
          <w:p w:rsidR="00176035" w:rsidRDefault="00176035" w:rsidP="00176035">
            <w:pPr>
              <w:spacing w:before="120" w:after="120"/>
            </w:pPr>
            <w:r>
              <w:t>1/2</w:t>
            </w:r>
          </w:p>
        </w:tc>
        <w:tc>
          <w:tcPr>
            <w:tcW w:w="2404" w:type="dxa"/>
          </w:tcPr>
          <w:p w:rsidR="00176035" w:rsidRDefault="00176035" w:rsidP="00176035">
            <w:pPr>
              <w:spacing w:before="120" w:after="120"/>
            </w:pPr>
            <w:r>
              <w:t>1/2</w:t>
            </w:r>
          </w:p>
        </w:tc>
        <w:tc>
          <w:tcPr>
            <w:tcW w:w="2405" w:type="dxa"/>
          </w:tcPr>
          <w:p w:rsidR="00176035" w:rsidRDefault="00176035" w:rsidP="00176035">
            <w:pPr>
              <w:spacing w:before="120" w:after="120"/>
            </w:pPr>
            <w:r>
              <w:t>0</w:t>
            </w:r>
          </w:p>
        </w:tc>
      </w:tr>
      <w:tr w:rsidR="00176035" w:rsidTr="00176035">
        <w:tc>
          <w:tcPr>
            <w:tcW w:w="2404" w:type="dxa"/>
          </w:tcPr>
          <w:p w:rsidR="00176035" w:rsidRDefault="00176035" w:rsidP="00176035">
            <w:pPr>
              <w:spacing w:before="120" w:after="120"/>
            </w:pPr>
            <w:r>
              <w:t>Occasion#2</w:t>
            </w:r>
          </w:p>
        </w:tc>
        <w:tc>
          <w:tcPr>
            <w:tcW w:w="2404" w:type="dxa"/>
          </w:tcPr>
          <w:p w:rsidR="00176035" w:rsidRDefault="00176035" w:rsidP="00176035">
            <w:pPr>
              <w:spacing w:before="120" w:after="120"/>
            </w:pPr>
            <w:r>
              <w:t>1/2</w:t>
            </w:r>
          </w:p>
        </w:tc>
        <w:tc>
          <w:tcPr>
            <w:tcW w:w="2404" w:type="dxa"/>
          </w:tcPr>
          <w:p w:rsidR="00176035" w:rsidRDefault="00176035" w:rsidP="00176035">
            <w:pPr>
              <w:spacing w:before="120" w:after="120"/>
            </w:pPr>
            <w:r>
              <w:t>0</w:t>
            </w:r>
          </w:p>
        </w:tc>
        <w:tc>
          <w:tcPr>
            <w:tcW w:w="2405" w:type="dxa"/>
          </w:tcPr>
          <w:p w:rsidR="00176035" w:rsidRDefault="00176035" w:rsidP="00176035">
            <w:pPr>
              <w:spacing w:before="120" w:after="120"/>
            </w:pPr>
            <w:r>
              <w:t>1/2</w:t>
            </w:r>
          </w:p>
        </w:tc>
      </w:tr>
    </w:tbl>
    <w:p w:rsidR="000D0BD7" w:rsidRDefault="00176035" w:rsidP="00176035">
      <w:pPr>
        <w:spacing w:before="120" w:after="120"/>
      </w:pPr>
      <w:r>
        <w:t xml:space="preserve">In the example of </w:t>
      </w:r>
      <w:r w:rsidRPr="00176035">
        <w:t>Figure 1</w:t>
      </w:r>
      <w:r>
        <w:t xml:space="preserve">, we only need to consider two consecutive MG occasions since occasion#3 and #4 are repeating occasion #1 and #2. In general, the number of consecutive SMTC occasions that needs to be considered in deriving the performance scaling is </w:t>
      </w:r>
      <w:r w:rsidR="000D0BD7" w:rsidRPr="000D0BD7">
        <w:t>ratio of longest SMTC period and shortest SMTC period among all carriers in the group</w:t>
      </w:r>
      <w:r w:rsidR="000D0BD7">
        <w:t xml:space="preserve">. </w:t>
      </w:r>
    </w:p>
    <w:p w:rsidR="001C64E1" w:rsidRDefault="000D0BD7" w:rsidP="00176035">
      <w:pPr>
        <w:spacing w:before="120" w:after="120"/>
      </w:pPr>
      <w:r>
        <w:t>Denote this number as N, f</w:t>
      </w:r>
      <w:r w:rsidRPr="000D0BD7">
        <w:t xml:space="preserve">or consecutive N SMTC occasions of the shortest SMTC period, </w:t>
      </w:r>
      <w:r>
        <w:t xml:space="preserve">we can </w:t>
      </w:r>
      <w:r w:rsidRPr="000D0BD7">
        <w:t>determine the share for each carrier assuming each occasion is equally shared among all carriers with SMTC present</w:t>
      </w:r>
      <w:r>
        <w:t xml:space="preserve">. </w:t>
      </w:r>
      <w:r w:rsidRPr="000D0BD7">
        <w:t>Denote S(f,n) as the share for f-th carrier (1&lt;= f &lt;=F) at</w:t>
      </w:r>
      <w:r>
        <w:t xml:space="preserve"> n-th SMTC occasion (1&lt;= n &lt;=N), for </w:t>
      </w:r>
      <w:r>
        <w:fldChar w:fldCharType="begin"/>
      </w:r>
      <w:r>
        <w:instrText xml:space="preserve"> REF _Ref510707895 \h </w:instrText>
      </w:r>
      <w:r>
        <w:fldChar w:fldCharType="separate"/>
      </w:r>
      <w:r>
        <w:t xml:space="preserve">Figure </w:t>
      </w:r>
      <w:r>
        <w:rPr>
          <w:noProof/>
        </w:rPr>
        <w:t>1</w:t>
      </w:r>
      <w:r>
        <w:fldChar w:fldCharType="end"/>
      </w:r>
      <w:r>
        <w:t xml:space="preserve"> we have </w:t>
      </w:r>
    </w:p>
    <w:p w:rsidR="000D0BD7" w:rsidRDefault="000D0BD7" w:rsidP="000D0BD7">
      <w:pPr>
        <w:pStyle w:val="ListParagraph"/>
        <w:numPr>
          <w:ilvl w:val="0"/>
          <w:numId w:val="21"/>
        </w:numPr>
        <w:spacing w:before="120" w:after="120"/>
      </w:pPr>
      <w:r>
        <w:t>S(1,1) = 1/2, S(2,1) = 1/2, S(3,1) = 0</w:t>
      </w:r>
    </w:p>
    <w:p w:rsidR="000D0BD7" w:rsidRDefault="000D0BD7" w:rsidP="000D0BD7">
      <w:pPr>
        <w:pStyle w:val="ListParagraph"/>
        <w:numPr>
          <w:ilvl w:val="0"/>
          <w:numId w:val="21"/>
        </w:numPr>
      </w:pPr>
      <w:r w:rsidRPr="000D0BD7">
        <w:t xml:space="preserve">S(1,1) = 1/2, S(2,1) = </w:t>
      </w:r>
      <w:r>
        <w:t>0</w:t>
      </w:r>
      <w:r w:rsidRPr="000D0BD7">
        <w:t xml:space="preserve">, S(3,1) = </w:t>
      </w:r>
      <w:r>
        <w:t>1/2</w:t>
      </w:r>
    </w:p>
    <w:p w:rsidR="000D0BD7" w:rsidRDefault="000D0BD7" w:rsidP="000D0BD7">
      <w:r>
        <w:t>Next, f</w:t>
      </w:r>
      <w:r w:rsidRPr="000D0BD7">
        <w:t xml:space="preserve">or each of the F carriers, </w:t>
      </w:r>
      <w:r>
        <w:t xml:space="preserve">we can </w:t>
      </w:r>
      <w:r w:rsidRPr="000D0BD7">
        <w:t xml:space="preserve">calculate the available </w:t>
      </w:r>
      <w:r>
        <w:t>MG</w:t>
      </w:r>
      <w:r w:rsidRPr="000D0BD7">
        <w:t xml:space="preserve"> within the longest SMTC period as G(f) = S(f,1) + S(f,2) + … + S(f,N)</w:t>
      </w:r>
      <w:r>
        <w:t xml:space="preserve">. For </w:t>
      </w:r>
      <w:r w:rsidRPr="000D0BD7">
        <w:t>Figure 1</w:t>
      </w:r>
      <w:r>
        <w:t xml:space="preserve">, we have </w:t>
      </w:r>
    </w:p>
    <w:p w:rsidR="000D0BD7" w:rsidRDefault="000D0BD7" w:rsidP="000D0BD7">
      <w:pPr>
        <w:pStyle w:val="ListParagraph"/>
        <w:numPr>
          <w:ilvl w:val="0"/>
          <w:numId w:val="21"/>
        </w:numPr>
      </w:pPr>
      <w:r>
        <w:t>G(1) = 1/2 + 1/2 = 1</w:t>
      </w:r>
    </w:p>
    <w:p w:rsidR="000D0BD7" w:rsidRDefault="000D0BD7" w:rsidP="000D0BD7">
      <w:pPr>
        <w:pStyle w:val="ListParagraph"/>
        <w:numPr>
          <w:ilvl w:val="0"/>
          <w:numId w:val="21"/>
        </w:numPr>
      </w:pPr>
      <w:r>
        <w:t>G(2) = 1/2 + 0 = 1/2</w:t>
      </w:r>
    </w:p>
    <w:p w:rsidR="000D0BD7" w:rsidRDefault="000D0BD7" w:rsidP="000D0BD7">
      <w:pPr>
        <w:pStyle w:val="ListParagraph"/>
        <w:numPr>
          <w:ilvl w:val="0"/>
          <w:numId w:val="21"/>
        </w:numPr>
      </w:pPr>
      <w:r>
        <w:t>G(3) = 0 + 1/2 = 1/2</w:t>
      </w:r>
    </w:p>
    <w:p w:rsidR="000D0BD7" w:rsidRDefault="000D0BD7" w:rsidP="000D0BD7">
      <w:r>
        <w:t xml:space="preserve">Now we can calculate the scaling factor for each carrier from the available MG opportunities, taking into account the SMTC period of each carrier. For example, although F1 gets doubled MG opportunities than F2 and F3, the SMTC period of F1 is also half of F2 and F3. </w:t>
      </w:r>
      <w:r w:rsidRPr="000D0BD7">
        <w:t>Denote the p(f) as the ratio of longest SMTC period and the SMTC period of f-th carrier, the performance of the f-th carrier in the group is p(f)/G(f)</w:t>
      </w:r>
      <w:r>
        <w:t xml:space="preserve">. For </w:t>
      </w:r>
      <w:r w:rsidRPr="000D0BD7">
        <w:t>Figure 1 we have</w:t>
      </w:r>
    </w:p>
    <w:p w:rsidR="000D0BD7" w:rsidRDefault="006F36CD" w:rsidP="000D0BD7">
      <w:pPr>
        <w:pStyle w:val="ListParagraph"/>
        <w:numPr>
          <w:ilvl w:val="0"/>
          <w:numId w:val="21"/>
        </w:numPr>
      </w:pPr>
      <w:r>
        <w:t>p(1) = 2, scaling factor is p(1)/G(1) = 2</w:t>
      </w:r>
    </w:p>
    <w:p w:rsidR="006F36CD" w:rsidRPr="006F36CD" w:rsidRDefault="006F36CD" w:rsidP="006F36CD">
      <w:pPr>
        <w:pStyle w:val="ListParagraph"/>
        <w:numPr>
          <w:ilvl w:val="0"/>
          <w:numId w:val="21"/>
        </w:numPr>
      </w:pPr>
      <w:r w:rsidRPr="006F36CD">
        <w:t>p(</w:t>
      </w:r>
      <w:r>
        <w:t>2</w:t>
      </w:r>
      <w:r w:rsidRPr="006F36CD">
        <w:t xml:space="preserve">) = </w:t>
      </w:r>
      <w:r>
        <w:t>1</w:t>
      </w:r>
      <w:r w:rsidRPr="006F36CD">
        <w:t>, scaling factor is p(1)/G(1) = 2</w:t>
      </w:r>
    </w:p>
    <w:p w:rsidR="006F36CD" w:rsidRDefault="006F36CD" w:rsidP="006F36CD">
      <w:pPr>
        <w:pStyle w:val="ListParagraph"/>
        <w:numPr>
          <w:ilvl w:val="0"/>
          <w:numId w:val="21"/>
        </w:numPr>
      </w:pPr>
      <w:r w:rsidRPr="006F36CD">
        <w:t>p(</w:t>
      </w:r>
      <w:r>
        <w:t>3</w:t>
      </w:r>
      <w:r w:rsidRPr="006F36CD">
        <w:t xml:space="preserve">) = </w:t>
      </w:r>
      <w:r>
        <w:t>1</w:t>
      </w:r>
      <w:r w:rsidRPr="006F36CD">
        <w:t>, scaling factor is p(1)/G(1) = 2</w:t>
      </w:r>
    </w:p>
    <w:p w:rsidR="006F36CD" w:rsidRDefault="006F36CD" w:rsidP="000D0BD7">
      <w:r>
        <w:t xml:space="preserve">Following above steps, from option 3 we get a </w:t>
      </w:r>
      <w:r w:rsidRPr="006F36CD">
        <w:t xml:space="preserve">generalized </w:t>
      </w:r>
      <w:r>
        <w:t xml:space="preserve">algorithm that can apply to any combination of SMTC configurations within a group. If we apply the algorithm to the example in </w:t>
      </w:r>
      <w:r>
        <w:fldChar w:fldCharType="begin"/>
      </w:r>
      <w:r>
        <w:instrText xml:space="preserve"> REF _Ref510710406 \h </w:instrText>
      </w:r>
      <w:r>
        <w:fldChar w:fldCharType="separate"/>
      </w:r>
      <w:r>
        <w:t xml:space="preserve">Figure </w:t>
      </w:r>
      <w:r>
        <w:rPr>
          <w:noProof/>
        </w:rPr>
        <w:t>2</w:t>
      </w:r>
      <w:r>
        <w:fldChar w:fldCharType="end"/>
      </w:r>
      <w:r>
        <w:t>, we can get the scaling factor for F1 and F2 are [1.14, 2].</w:t>
      </w:r>
    </w:p>
    <w:p w:rsidR="000D0BD7" w:rsidRDefault="006F36CD" w:rsidP="000D0BD7">
      <w:r>
        <w:t>Our suggestion is to use the algorithm to derive the scaling factor for an inter-frequency carrier group. It can ensure each MG occasion is used by UE for measurement, and it does not force UE to measure any carrier</w:t>
      </w:r>
      <w:r w:rsidR="004862CD">
        <w:t xml:space="preserve"> in any specific MG occasion. </w:t>
      </w:r>
      <w:r w:rsidR="005A28B3">
        <w:t xml:space="preserve">The algorithm is general enough to work for </w:t>
      </w:r>
      <w:r w:rsidR="005A28B3" w:rsidRPr="005A28B3">
        <w:t>any combination of SMTC configurations</w:t>
      </w:r>
      <w:r w:rsidR="005A28B3">
        <w:t xml:space="preserve">. Of course, with the algorithm there is no simple expression for the scaling factor as in 36.133, but we think the specification is still manageable, e.g. by having a subsection describing how the scaling factor is derived.  </w:t>
      </w:r>
    </w:p>
    <w:p w:rsidR="003048F5" w:rsidRDefault="003048F5" w:rsidP="004862CD">
      <w:pPr>
        <w:pStyle w:val="RAN4proposal"/>
      </w:pPr>
      <w:bookmarkStart w:id="9" w:name="_Ref510714250"/>
      <w:r>
        <w:t>Within a carrier group, the performance scaling factor should be derived in the following way</w:t>
      </w:r>
      <w:bookmarkEnd w:id="9"/>
      <w:r>
        <w:t xml:space="preserve"> </w:t>
      </w:r>
    </w:p>
    <w:p w:rsidR="003048F5" w:rsidRPr="004862CD" w:rsidRDefault="003048F5" w:rsidP="00B14DC8">
      <w:pPr>
        <w:pStyle w:val="ListParagraph"/>
        <w:numPr>
          <w:ilvl w:val="0"/>
          <w:numId w:val="20"/>
        </w:numPr>
        <w:spacing w:before="120" w:after="120"/>
        <w:rPr>
          <w:b/>
        </w:rPr>
      </w:pPr>
      <w:r w:rsidRPr="004862CD">
        <w:rPr>
          <w:b/>
        </w:rPr>
        <w:t>Denote the N as the ratio of longest SMTC period and shortest SMTC period among all carriers in the group.</w:t>
      </w:r>
    </w:p>
    <w:p w:rsidR="003048F5" w:rsidRPr="004862CD" w:rsidRDefault="003048F5" w:rsidP="003048F5">
      <w:pPr>
        <w:pStyle w:val="ListParagraph"/>
        <w:numPr>
          <w:ilvl w:val="0"/>
          <w:numId w:val="20"/>
        </w:numPr>
        <w:spacing w:before="120" w:after="120"/>
        <w:rPr>
          <w:b/>
        </w:rPr>
      </w:pPr>
      <w:r w:rsidRPr="004862CD">
        <w:rPr>
          <w:b/>
        </w:rPr>
        <w:t xml:space="preserve">For consecutive N SMTC occasions of the shortest SMTC period, determine the share for each carrier assuming each occasion is equally shared among all carriers with SMTC present. Denote S(f,n) as the share for f-th carrier (1&lt;= f &lt;=F) at n-th SMTC occasion (1&lt;= n &lt;=N). </w:t>
      </w:r>
    </w:p>
    <w:p w:rsidR="003048F5" w:rsidRPr="004862CD" w:rsidRDefault="003048F5" w:rsidP="003048F5">
      <w:pPr>
        <w:pStyle w:val="ListParagraph"/>
        <w:numPr>
          <w:ilvl w:val="0"/>
          <w:numId w:val="20"/>
        </w:numPr>
        <w:spacing w:before="120" w:after="120"/>
        <w:rPr>
          <w:b/>
        </w:rPr>
      </w:pPr>
      <w:r w:rsidRPr="004862CD">
        <w:rPr>
          <w:b/>
        </w:rPr>
        <w:t>For each of the F carriers, calculate the available gap within the longest SMTC period as G(f) = S(f,1) + S(f,2) + … + S(f,N)</w:t>
      </w:r>
    </w:p>
    <w:p w:rsidR="004C5FAE" w:rsidRPr="004862CD" w:rsidRDefault="003048F5" w:rsidP="000D0BD7">
      <w:pPr>
        <w:pStyle w:val="ListParagraph"/>
        <w:numPr>
          <w:ilvl w:val="0"/>
          <w:numId w:val="20"/>
        </w:numPr>
        <w:spacing w:before="120" w:after="120"/>
        <w:rPr>
          <w:b/>
        </w:rPr>
      </w:pPr>
      <w:r w:rsidRPr="004862CD">
        <w:rPr>
          <w:b/>
        </w:rPr>
        <w:t>Denote the p(f) as the ratio of longest SMTC period and the SMTC period of f-th carrier, the performance of the f-th carrier in the group is p(f)/G(f).</w:t>
      </w:r>
    </w:p>
    <w:p w:rsidR="00CD7492" w:rsidRDefault="00CD7492" w:rsidP="0008612A">
      <w:pPr>
        <w:pStyle w:val="RAN4H1"/>
      </w:pPr>
      <w:r>
        <w:t>3</w:t>
      </w:r>
      <w:r>
        <w:tab/>
        <w:t>Conclusion</w:t>
      </w:r>
    </w:p>
    <w:p w:rsidR="00516134" w:rsidRDefault="00516134" w:rsidP="00516134">
      <w:r w:rsidRPr="00516134">
        <w:t xml:space="preserve">In </w:t>
      </w:r>
      <w:r>
        <w:t xml:space="preserve">this paper we provided </w:t>
      </w:r>
      <w:r w:rsidR="000B0B3C">
        <w:t xml:space="preserve">our </w:t>
      </w:r>
      <w:r>
        <w:t xml:space="preserve">views on </w:t>
      </w:r>
      <w:r w:rsidR="00D45493">
        <w:t xml:space="preserve">how to define RRM requirements for </w:t>
      </w:r>
      <w:r w:rsidR="004862CD">
        <w:t xml:space="preserve">inter-frequency measurement in NR, to account for different SMTC period and offset </w:t>
      </w:r>
      <w:r w:rsidR="005A28B3">
        <w:t>on different layers.</w:t>
      </w:r>
    </w:p>
    <w:p w:rsidR="005A28B3" w:rsidRPr="005A28B3" w:rsidRDefault="005A28B3" w:rsidP="00516134">
      <w:pPr>
        <w:rPr>
          <w:b/>
        </w:rPr>
      </w:pPr>
      <w:r w:rsidRPr="005A28B3">
        <w:rPr>
          <w:b/>
        </w:rPr>
        <w:fldChar w:fldCharType="begin"/>
      </w:r>
      <w:r w:rsidRPr="005A28B3">
        <w:rPr>
          <w:b/>
        </w:rPr>
        <w:instrText xml:space="preserve"> REF _Ref510714248 \r \h </w:instrText>
      </w:r>
      <w:r>
        <w:rPr>
          <w:b/>
        </w:rPr>
        <w:instrText xml:space="preserve"> \* MERGEFORMAT </w:instrText>
      </w:r>
      <w:r w:rsidRPr="005A28B3">
        <w:rPr>
          <w:b/>
        </w:rPr>
      </w:r>
      <w:r w:rsidRPr="005A28B3">
        <w:rPr>
          <w:b/>
        </w:rPr>
        <w:fldChar w:fldCharType="separate"/>
      </w:r>
      <w:r w:rsidRPr="005A28B3">
        <w:rPr>
          <w:b/>
        </w:rPr>
        <w:t>Proposal 1:</w:t>
      </w:r>
      <w:r w:rsidRPr="005A28B3">
        <w:rPr>
          <w:b/>
        </w:rPr>
        <w:fldChar w:fldCharType="end"/>
      </w:r>
      <w:r w:rsidRPr="005A28B3">
        <w:rPr>
          <w:b/>
        </w:rPr>
        <w:t xml:space="preserve"> </w:t>
      </w:r>
      <w:r w:rsidRPr="005A28B3">
        <w:rPr>
          <w:b/>
        </w:rPr>
        <w:fldChar w:fldCharType="begin"/>
      </w:r>
      <w:r w:rsidRPr="005A28B3">
        <w:rPr>
          <w:b/>
        </w:rPr>
        <w:instrText xml:space="preserve"> REF _Ref510714248 \h </w:instrText>
      </w:r>
      <w:r>
        <w:rPr>
          <w:b/>
        </w:rPr>
        <w:instrText xml:space="preserve"> \* MERGEFORMAT </w:instrText>
      </w:r>
      <w:r w:rsidRPr="005A28B3">
        <w:rPr>
          <w:b/>
        </w:rPr>
      </w:r>
      <w:r w:rsidRPr="005A28B3">
        <w:rPr>
          <w:b/>
        </w:rPr>
        <w:fldChar w:fldCharType="separate"/>
      </w:r>
      <w:r w:rsidRPr="005A28B3">
        <w:rPr>
          <w:b/>
        </w:rPr>
        <w:t>Two carriers with overlapping SMTC occasion with each other or with a same other carrier should be in the same carrier group.</w:t>
      </w:r>
      <w:r w:rsidRPr="005A28B3">
        <w:rPr>
          <w:b/>
        </w:rPr>
        <w:fldChar w:fldCharType="end"/>
      </w:r>
    </w:p>
    <w:p w:rsidR="005A28B3" w:rsidRPr="005A28B3" w:rsidRDefault="005A28B3" w:rsidP="00516134">
      <w:pPr>
        <w:rPr>
          <w:b/>
        </w:rPr>
      </w:pPr>
      <w:r w:rsidRPr="005A28B3">
        <w:rPr>
          <w:b/>
        </w:rPr>
        <w:fldChar w:fldCharType="begin"/>
      </w:r>
      <w:r w:rsidRPr="005A28B3">
        <w:rPr>
          <w:b/>
        </w:rPr>
        <w:instrText xml:space="preserve"> REF _Ref510714250 \r \h </w:instrText>
      </w:r>
      <w:r>
        <w:rPr>
          <w:b/>
        </w:rPr>
        <w:instrText xml:space="preserve"> \* MERGEFORMAT </w:instrText>
      </w:r>
      <w:r w:rsidRPr="005A28B3">
        <w:rPr>
          <w:b/>
        </w:rPr>
      </w:r>
      <w:r w:rsidRPr="005A28B3">
        <w:rPr>
          <w:b/>
        </w:rPr>
        <w:fldChar w:fldCharType="separate"/>
      </w:r>
      <w:r w:rsidRPr="005A28B3">
        <w:rPr>
          <w:b/>
        </w:rPr>
        <w:t>Proposal 2:</w:t>
      </w:r>
      <w:r w:rsidRPr="005A28B3">
        <w:rPr>
          <w:b/>
        </w:rPr>
        <w:fldChar w:fldCharType="end"/>
      </w:r>
      <w:r w:rsidRPr="005A28B3">
        <w:rPr>
          <w:b/>
        </w:rPr>
        <w:t xml:space="preserve"> </w:t>
      </w:r>
      <w:r w:rsidRPr="005A28B3">
        <w:rPr>
          <w:b/>
        </w:rPr>
        <w:fldChar w:fldCharType="begin"/>
      </w:r>
      <w:r w:rsidRPr="005A28B3">
        <w:rPr>
          <w:b/>
        </w:rPr>
        <w:instrText xml:space="preserve"> REF _Ref510714250 \h </w:instrText>
      </w:r>
      <w:r>
        <w:rPr>
          <w:b/>
        </w:rPr>
        <w:instrText xml:space="preserve"> \* MERGEFORMAT </w:instrText>
      </w:r>
      <w:r w:rsidRPr="005A28B3">
        <w:rPr>
          <w:b/>
        </w:rPr>
      </w:r>
      <w:r w:rsidRPr="005A28B3">
        <w:rPr>
          <w:b/>
        </w:rPr>
        <w:fldChar w:fldCharType="separate"/>
      </w:r>
      <w:r w:rsidRPr="005A28B3">
        <w:rPr>
          <w:b/>
        </w:rPr>
        <w:t>Within a carrier group, the performance scaling factor should be derived in the following way</w:t>
      </w:r>
      <w:r w:rsidRPr="005A28B3">
        <w:rPr>
          <w:b/>
        </w:rPr>
        <w:fldChar w:fldCharType="end"/>
      </w:r>
    </w:p>
    <w:p w:rsidR="005A28B3" w:rsidRPr="004862CD" w:rsidRDefault="005A28B3" w:rsidP="005A28B3">
      <w:pPr>
        <w:pStyle w:val="ListParagraph"/>
        <w:numPr>
          <w:ilvl w:val="0"/>
          <w:numId w:val="24"/>
        </w:numPr>
        <w:spacing w:before="120" w:after="120"/>
        <w:rPr>
          <w:b/>
        </w:rPr>
      </w:pPr>
      <w:r w:rsidRPr="004862CD">
        <w:rPr>
          <w:b/>
        </w:rPr>
        <w:t>Denote the N as the ratio of longest SMTC period and shortest SMTC period among all carriers in the group.</w:t>
      </w:r>
    </w:p>
    <w:p w:rsidR="005A28B3" w:rsidRPr="004862CD" w:rsidRDefault="005A28B3" w:rsidP="005A28B3">
      <w:pPr>
        <w:pStyle w:val="ListParagraph"/>
        <w:numPr>
          <w:ilvl w:val="0"/>
          <w:numId w:val="24"/>
        </w:numPr>
        <w:spacing w:before="120" w:after="120"/>
        <w:rPr>
          <w:b/>
        </w:rPr>
      </w:pPr>
      <w:r w:rsidRPr="004862CD">
        <w:rPr>
          <w:b/>
        </w:rPr>
        <w:t xml:space="preserve">For consecutive N SMTC occasions of the shortest SMTC period, determine the share for each carrier assuming each occasion is equally shared among all carriers with SMTC present. Denote S(f,n) as the share for f-th carrier (1&lt;= f &lt;=F) at n-th SMTC occasion (1&lt;= n &lt;=N). </w:t>
      </w:r>
    </w:p>
    <w:p w:rsidR="005A28B3" w:rsidRPr="004862CD" w:rsidRDefault="005A28B3" w:rsidP="005A28B3">
      <w:pPr>
        <w:pStyle w:val="ListParagraph"/>
        <w:numPr>
          <w:ilvl w:val="0"/>
          <w:numId w:val="24"/>
        </w:numPr>
        <w:spacing w:before="120" w:after="120"/>
        <w:rPr>
          <w:b/>
        </w:rPr>
      </w:pPr>
      <w:r w:rsidRPr="004862CD">
        <w:rPr>
          <w:b/>
        </w:rPr>
        <w:t>For each of the F carriers, calculate the available gap within the longest SMTC period as G(f) = S(f,1) + S(f,2) + … + S(f,N)</w:t>
      </w:r>
    </w:p>
    <w:p w:rsidR="005A28B3" w:rsidRPr="005A28B3" w:rsidRDefault="005A28B3" w:rsidP="00516134">
      <w:pPr>
        <w:pStyle w:val="ListParagraph"/>
        <w:numPr>
          <w:ilvl w:val="0"/>
          <w:numId w:val="24"/>
        </w:numPr>
        <w:spacing w:before="120" w:after="120"/>
        <w:rPr>
          <w:b/>
        </w:rPr>
      </w:pPr>
      <w:r w:rsidRPr="004862CD">
        <w:rPr>
          <w:b/>
        </w:rPr>
        <w:t>Denote the p(f) as the ratio of longest SMTC period and the SMTC period of f-th carrier, the performance of the f-th carrier in the group is p(f)/G(f).</w:t>
      </w:r>
    </w:p>
    <w:p w:rsidR="00504EE9" w:rsidRPr="00863688" w:rsidRDefault="003B659E" w:rsidP="00863688">
      <w:pPr>
        <w:pStyle w:val="RAN4H1"/>
      </w:pPr>
      <w:r w:rsidRPr="0095295C">
        <w:t>References</w:t>
      </w:r>
    </w:p>
    <w:p w:rsidR="00687FA0" w:rsidRPr="004513A0" w:rsidRDefault="00D46252" w:rsidP="004513A0">
      <w:pPr>
        <w:numPr>
          <w:ilvl w:val="0"/>
          <w:numId w:val="1"/>
        </w:numPr>
        <w:overflowPunct w:val="0"/>
        <w:autoSpaceDE w:val="0"/>
        <w:autoSpaceDN w:val="0"/>
        <w:adjustRightInd w:val="0"/>
        <w:spacing w:after="120"/>
        <w:jc w:val="both"/>
        <w:rPr>
          <w:szCs w:val="20"/>
        </w:rPr>
      </w:pPr>
      <w:r w:rsidRPr="00D46252">
        <w:rPr>
          <w:rFonts w:eastAsia="Times New Roman" w:cs="Times New Roman"/>
          <w:szCs w:val="20"/>
          <w:lang w:val="en-GB"/>
        </w:rPr>
        <w:t>R</w:t>
      </w:r>
      <w:r w:rsidR="004513A0">
        <w:rPr>
          <w:rFonts w:eastAsia="Times New Roman" w:cs="Times New Roman"/>
          <w:szCs w:val="20"/>
          <w:lang w:val="en-GB"/>
        </w:rPr>
        <w:t>4</w:t>
      </w:r>
      <w:r w:rsidRPr="00D46252">
        <w:rPr>
          <w:rFonts w:eastAsia="Times New Roman" w:cs="Times New Roman"/>
          <w:szCs w:val="20"/>
          <w:lang w:val="en-GB"/>
        </w:rPr>
        <w:t>-180</w:t>
      </w:r>
      <w:r w:rsidR="004513A0">
        <w:rPr>
          <w:rFonts w:eastAsia="Times New Roman" w:cs="Times New Roman"/>
          <w:szCs w:val="20"/>
          <w:lang w:val="en-GB"/>
        </w:rPr>
        <w:t>3507</w:t>
      </w:r>
      <w:r w:rsidR="00863688">
        <w:rPr>
          <w:rFonts w:eastAsia="Times New Roman" w:cs="Times New Roman"/>
          <w:szCs w:val="20"/>
          <w:lang w:val="en-GB"/>
        </w:rPr>
        <w:t>,</w:t>
      </w:r>
      <w:r w:rsidR="00863688" w:rsidRPr="00863688">
        <w:rPr>
          <w:rFonts w:eastAsia="Times New Roman" w:cs="Times New Roman"/>
          <w:szCs w:val="20"/>
          <w:lang w:val="en-GB"/>
        </w:rPr>
        <w:tab/>
      </w:r>
      <w:r w:rsidR="004513A0" w:rsidRPr="004513A0">
        <w:rPr>
          <w:rFonts w:eastAsia="Times New Roman" w:cs="Times New Roman"/>
          <w:szCs w:val="20"/>
          <w:lang w:val="sv-SE"/>
        </w:rPr>
        <w:t xml:space="preserve">Way forward </w:t>
      </w:r>
      <w:r w:rsidR="004513A0" w:rsidRPr="004513A0">
        <w:rPr>
          <w:rFonts w:eastAsia="Times New Roman" w:cs="Times New Roman"/>
          <w:szCs w:val="20"/>
        </w:rPr>
        <w:t>on SSB-based inter-frequency measurement requirements</w:t>
      </w:r>
      <w:r w:rsidR="00863688">
        <w:rPr>
          <w:rFonts w:eastAsia="Times New Roman" w:cs="Times New Roman"/>
          <w:szCs w:val="20"/>
          <w:lang w:val="en-GB"/>
        </w:rPr>
        <w:t xml:space="preserve">, </w:t>
      </w:r>
      <w:r w:rsidR="004513A0" w:rsidRPr="004513A0">
        <w:rPr>
          <w:rFonts w:eastAsia="Times New Roman"/>
          <w:szCs w:val="20"/>
        </w:rPr>
        <w:t>Huawei, HiSilicon, MediaTek, Ericsson, Nokia, Nokia Shanghai Bell</w:t>
      </w:r>
    </w:p>
    <w:sectPr w:rsidR="00687FA0" w:rsidRPr="004513A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706" w:rsidRDefault="00FD0706" w:rsidP="00001C9B">
      <w:pPr>
        <w:spacing w:after="0" w:line="240" w:lineRule="auto"/>
      </w:pPr>
      <w:r>
        <w:separator/>
      </w:r>
    </w:p>
  </w:endnote>
  <w:endnote w:type="continuationSeparator" w:id="0">
    <w:p w:rsidR="00FD0706" w:rsidRDefault="00FD070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706" w:rsidRDefault="00FD0706" w:rsidP="00001C9B">
      <w:pPr>
        <w:spacing w:after="0" w:line="240" w:lineRule="auto"/>
      </w:pPr>
      <w:r>
        <w:separator/>
      </w:r>
    </w:p>
  </w:footnote>
  <w:footnote w:type="continuationSeparator" w:id="0">
    <w:p w:rsidR="00FD0706" w:rsidRDefault="00FD070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65F01"/>
    <w:multiLevelType w:val="hybridMultilevel"/>
    <w:tmpl w:val="B5E6A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D5FB4"/>
    <w:multiLevelType w:val="hybridMultilevel"/>
    <w:tmpl w:val="87C8778A"/>
    <w:lvl w:ilvl="0" w:tplc="4EFA28BC">
      <w:start w:val="1"/>
      <w:numFmt w:val="bullet"/>
      <w:lvlText w:val="•"/>
      <w:lvlJc w:val="left"/>
      <w:pPr>
        <w:tabs>
          <w:tab w:val="num" w:pos="720"/>
        </w:tabs>
        <w:ind w:left="720" w:hanging="360"/>
      </w:pPr>
      <w:rPr>
        <w:rFonts w:ascii="Arial" w:hAnsi="Arial" w:hint="default"/>
      </w:rPr>
    </w:lvl>
    <w:lvl w:ilvl="1" w:tplc="0D4A49EC" w:tentative="1">
      <w:start w:val="1"/>
      <w:numFmt w:val="bullet"/>
      <w:lvlText w:val="•"/>
      <w:lvlJc w:val="left"/>
      <w:pPr>
        <w:tabs>
          <w:tab w:val="num" w:pos="1440"/>
        </w:tabs>
        <w:ind w:left="1440" w:hanging="360"/>
      </w:pPr>
      <w:rPr>
        <w:rFonts w:ascii="Arial" w:hAnsi="Arial" w:hint="default"/>
      </w:rPr>
    </w:lvl>
    <w:lvl w:ilvl="2" w:tplc="55668FBA" w:tentative="1">
      <w:start w:val="1"/>
      <w:numFmt w:val="bullet"/>
      <w:lvlText w:val="•"/>
      <w:lvlJc w:val="left"/>
      <w:pPr>
        <w:tabs>
          <w:tab w:val="num" w:pos="2160"/>
        </w:tabs>
        <w:ind w:left="2160" w:hanging="360"/>
      </w:pPr>
      <w:rPr>
        <w:rFonts w:ascii="Arial" w:hAnsi="Arial" w:hint="default"/>
      </w:rPr>
    </w:lvl>
    <w:lvl w:ilvl="3" w:tplc="724E9F26" w:tentative="1">
      <w:start w:val="1"/>
      <w:numFmt w:val="bullet"/>
      <w:lvlText w:val="•"/>
      <w:lvlJc w:val="left"/>
      <w:pPr>
        <w:tabs>
          <w:tab w:val="num" w:pos="2880"/>
        </w:tabs>
        <w:ind w:left="2880" w:hanging="360"/>
      </w:pPr>
      <w:rPr>
        <w:rFonts w:ascii="Arial" w:hAnsi="Arial" w:hint="default"/>
      </w:rPr>
    </w:lvl>
    <w:lvl w:ilvl="4" w:tplc="03DC5EA4" w:tentative="1">
      <w:start w:val="1"/>
      <w:numFmt w:val="bullet"/>
      <w:lvlText w:val="•"/>
      <w:lvlJc w:val="left"/>
      <w:pPr>
        <w:tabs>
          <w:tab w:val="num" w:pos="3600"/>
        </w:tabs>
        <w:ind w:left="3600" w:hanging="360"/>
      </w:pPr>
      <w:rPr>
        <w:rFonts w:ascii="Arial" w:hAnsi="Arial" w:hint="default"/>
      </w:rPr>
    </w:lvl>
    <w:lvl w:ilvl="5" w:tplc="445C03A2" w:tentative="1">
      <w:start w:val="1"/>
      <w:numFmt w:val="bullet"/>
      <w:lvlText w:val="•"/>
      <w:lvlJc w:val="left"/>
      <w:pPr>
        <w:tabs>
          <w:tab w:val="num" w:pos="4320"/>
        </w:tabs>
        <w:ind w:left="4320" w:hanging="360"/>
      </w:pPr>
      <w:rPr>
        <w:rFonts w:ascii="Arial" w:hAnsi="Arial" w:hint="default"/>
      </w:rPr>
    </w:lvl>
    <w:lvl w:ilvl="6" w:tplc="D430BCFE" w:tentative="1">
      <w:start w:val="1"/>
      <w:numFmt w:val="bullet"/>
      <w:lvlText w:val="•"/>
      <w:lvlJc w:val="left"/>
      <w:pPr>
        <w:tabs>
          <w:tab w:val="num" w:pos="5040"/>
        </w:tabs>
        <w:ind w:left="5040" w:hanging="360"/>
      </w:pPr>
      <w:rPr>
        <w:rFonts w:ascii="Arial" w:hAnsi="Arial" w:hint="default"/>
      </w:rPr>
    </w:lvl>
    <w:lvl w:ilvl="7" w:tplc="07221A96" w:tentative="1">
      <w:start w:val="1"/>
      <w:numFmt w:val="bullet"/>
      <w:lvlText w:val="•"/>
      <w:lvlJc w:val="left"/>
      <w:pPr>
        <w:tabs>
          <w:tab w:val="num" w:pos="5760"/>
        </w:tabs>
        <w:ind w:left="5760" w:hanging="360"/>
      </w:pPr>
      <w:rPr>
        <w:rFonts w:ascii="Arial" w:hAnsi="Arial" w:hint="default"/>
      </w:rPr>
    </w:lvl>
    <w:lvl w:ilvl="8" w:tplc="4118C6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385597"/>
    <w:multiLevelType w:val="hybridMultilevel"/>
    <w:tmpl w:val="8CECDB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003C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4D1245"/>
    <w:multiLevelType w:val="hybridMultilevel"/>
    <w:tmpl w:val="B5B0D860"/>
    <w:lvl w:ilvl="0" w:tplc="8A0EE3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087E72"/>
    <w:multiLevelType w:val="hybridMultilevel"/>
    <w:tmpl w:val="015097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2365A"/>
    <w:multiLevelType w:val="hybridMultilevel"/>
    <w:tmpl w:val="9984D744"/>
    <w:lvl w:ilvl="0" w:tplc="074ADD58">
      <w:start w:val="1"/>
      <w:numFmt w:val="bullet"/>
      <w:lvlText w:val="•"/>
      <w:lvlJc w:val="left"/>
      <w:pPr>
        <w:tabs>
          <w:tab w:val="num" w:pos="720"/>
        </w:tabs>
        <w:ind w:left="720" w:hanging="360"/>
      </w:pPr>
      <w:rPr>
        <w:rFonts w:ascii="Arial" w:hAnsi="Arial" w:hint="default"/>
      </w:rPr>
    </w:lvl>
    <w:lvl w:ilvl="1" w:tplc="19705BB0">
      <w:numFmt w:val="bullet"/>
      <w:lvlText w:val="–"/>
      <w:lvlJc w:val="left"/>
      <w:pPr>
        <w:tabs>
          <w:tab w:val="num" w:pos="1440"/>
        </w:tabs>
        <w:ind w:left="1440" w:hanging="360"/>
      </w:pPr>
      <w:rPr>
        <w:rFonts w:ascii="Arial" w:hAnsi="Arial" w:hint="default"/>
      </w:rPr>
    </w:lvl>
    <w:lvl w:ilvl="2" w:tplc="ED78A2CE" w:tentative="1">
      <w:start w:val="1"/>
      <w:numFmt w:val="bullet"/>
      <w:lvlText w:val="•"/>
      <w:lvlJc w:val="left"/>
      <w:pPr>
        <w:tabs>
          <w:tab w:val="num" w:pos="2160"/>
        </w:tabs>
        <w:ind w:left="2160" w:hanging="360"/>
      </w:pPr>
      <w:rPr>
        <w:rFonts w:ascii="Arial" w:hAnsi="Arial" w:hint="default"/>
      </w:rPr>
    </w:lvl>
    <w:lvl w:ilvl="3" w:tplc="3FBC5A24" w:tentative="1">
      <w:start w:val="1"/>
      <w:numFmt w:val="bullet"/>
      <w:lvlText w:val="•"/>
      <w:lvlJc w:val="left"/>
      <w:pPr>
        <w:tabs>
          <w:tab w:val="num" w:pos="2880"/>
        </w:tabs>
        <w:ind w:left="2880" w:hanging="360"/>
      </w:pPr>
      <w:rPr>
        <w:rFonts w:ascii="Arial" w:hAnsi="Arial" w:hint="default"/>
      </w:rPr>
    </w:lvl>
    <w:lvl w:ilvl="4" w:tplc="7F3E0ABC" w:tentative="1">
      <w:start w:val="1"/>
      <w:numFmt w:val="bullet"/>
      <w:lvlText w:val="•"/>
      <w:lvlJc w:val="left"/>
      <w:pPr>
        <w:tabs>
          <w:tab w:val="num" w:pos="3600"/>
        </w:tabs>
        <w:ind w:left="3600" w:hanging="360"/>
      </w:pPr>
      <w:rPr>
        <w:rFonts w:ascii="Arial" w:hAnsi="Arial" w:hint="default"/>
      </w:rPr>
    </w:lvl>
    <w:lvl w:ilvl="5" w:tplc="339A1CFA" w:tentative="1">
      <w:start w:val="1"/>
      <w:numFmt w:val="bullet"/>
      <w:lvlText w:val="•"/>
      <w:lvlJc w:val="left"/>
      <w:pPr>
        <w:tabs>
          <w:tab w:val="num" w:pos="4320"/>
        </w:tabs>
        <w:ind w:left="4320" w:hanging="360"/>
      </w:pPr>
      <w:rPr>
        <w:rFonts w:ascii="Arial" w:hAnsi="Arial" w:hint="default"/>
      </w:rPr>
    </w:lvl>
    <w:lvl w:ilvl="6" w:tplc="0DF000E4" w:tentative="1">
      <w:start w:val="1"/>
      <w:numFmt w:val="bullet"/>
      <w:lvlText w:val="•"/>
      <w:lvlJc w:val="left"/>
      <w:pPr>
        <w:tabs>
          <w:tab w:val="num" w:pos="5040"/>
        </w:tabs>
        <w:ind w:left="5040" w:hanging="360"/>
      </w:pPr>
      <w:rPr>
        <w:rFonts w:ascii="Arial" w:hAnsi="Arial" w:hint="default"/>
      </w:rPr>
    </w:lvl>
    <w:lvl w:ilvl="7" w:tplc="806626BC" w:tentative="1">
      <w:start w:val="1"/>
      <w:numFmt w:val="bullet"/>
      <w:lvlText w:val="•"/>
      <w:lvlJc w:val="left"/>
      <w:pPr>
        <w:tabs>
          <w:tab w:val="num" w:pos="5760"/>
        </w:tabs>
        <w:ind w:left="5760" w:hanging="360"/>
      </w:pPr>
      <w:rPr>
        <w:rFonts w:ascii="Arial" w:hAnsi="Arial" w:hint="default"/>
      </w:rPr>
    </w:lvl>
    <w:lvl w:ilvl="8" w:tplc="3CEEEE6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9"/>
  </w:num>
  <w:num w:numId="4">
    <w:abstractNumId w:val="3"/>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6"/>
  </w:num>
  <w:num w:numId="16">
    <w:abstractNumId w:val="5"/>
  </w:num>
  <w:num w:numId="17">
    <w:abstractNumId w:val="2"/>
  </w:num>
  <w:num w:numId="18">
    <w:abstractNumId w:val="10"/>
  </w:num>
  <w:num w:numId="19">
    <w:abstractNumId w:val="16"/>
  </w:num>
  <w:num w:numId="20">
    <w:abstractNumId w:val="14"/>
  </w:num>
  <w:num w:numId="21">
    <w:abstractNumId w:val="12"/>
  </w:num>
  <w:num w:numId="22">
    <w:abstractNumId w:val="1"/>
  </w:num>
  <w:num w:numId="23">
    <w:abstractNumId w:val="1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638FC"/>
    <w:rsid w:val="000854E1"/>
    <w:rsid w:val="0008612A"/>
    <w:rsid w:val="000B0B3C"/>
    <w:rsid w:val="000B5D48"/>
    <w:rsid w:val="000D0BD7"/>
    <w:rsid w:val="00101B63"/>
    <w:rsid w:val="00111007"/>
    <w:rsid w:val="00126209"/>
    <w:rsid w:val="00126F92"/>
    <w:rsid w:val="00176035"/>
    <w:rsid w:val="001838CF"/>
    <w:rsid w:val="00197EC0"/>
    <w:rsid w:val="001A3E86"/>
    <w:rsid w:val="001B2ECD"/>
    <w:rsid w:val="001C64E1"/>
    <w:rsid w:val="001E30F6"/>
    <w:rsid w:val="0020767F"/>
    <w:rsid w:val="00217F42"/>
    <w:rsid w:val="002230CF"/>
    <w:rsid w:val="00235F5C"/>
    <w:rsid w:val="0026143C"/>
    <w:rsid w:val="00264ED1"/>
    <w:rsid w:val="002743D8"/>
    <w:rsid w:val="00276566"/>
    <w:rsid w:val="002B4922"/>
    <w:rsid w:val="002C2D19"/>
    <w:rsid w:val="002C5B1F"/>
    <w:rsid w:val="002D10FA"/>
    <w:rsid w:val="002D4C55"/>
    <w:rsid w:val="002E1E7D"/>
    <w:rsid w:val="003047CD"/>
    <w:rsid w:val="003048F5"/>
    <w:rsid w:val="0031665B"/>
    <w:rsid w:val="00382B57"/>
    <w:rsid w:val="00393801"/>
    <w:rsid w:val="003A72A0"/>
    <w:rsid w:val="003B659E"/>
    <w:rsid w:val="003D7537"/>
    <w:rsid w:val="004040FD"/>
    <w:rsid w:val="0043750A"/>
    <w:rsid w:val="0044294F"/>
    <w:rsid w:val="004429BB"/>
    <w:rsid w:val="004513A0"/>
    <w:rsid w:val="00453032"/>
    <w:rsid w:val="00472EAA"/>
    <w:rsid w:val="004748FB"/>
    <w:rsid w:val="004862CD"/>
    <w:rsid w:val="004931BC"/>
    <w:rsid w:val="004A69FC"/>
    <w:rsid w:val="004C2AAA"/>
    <w:rsid w:val="004C5FAE"/>
    <w:rsid w:val="004E5E66"/>
    <w:rsid w:val="004F6F44"/>
    <w:rsid w:val="00503B4D"/>
    <w:rsid w:val="00504EE9"/>
    <w:rsid w:val="0050650D"/>
    <w:rsid w:val="00516134"/>
    <w:rsid w:val="0053548D"/>
    <w:rsid w:val="0054442C"/>
    <w:rsid w:val="00550285"/>
    <w:rsid w:val="005836F8"/>
    <w:rsid w:val="005A088A"/>
    <w:rsid w:val="005A28B3"/>
    <w:rsid w:val="005D1BB6"/>
    <w:rsid w:val="005E61A8"/>
    <w:rsid w:val="005F6419"/>
    <w:rsid w:val="00604085"/>
    <w:rsid w:val="00617400"/>
    <w:rsid w:val="00660508"/>
    <w:rsid w:val="00664950"/>
    <w:rsid w:val="00683220"/>
    <w:rsid w:val="00687FA0"/>
    <w:rsid w:val="006B7010"/>
    <w:rsid w:val="006F36CD"/>
    <w:rsid w:val="007145FF"/>
    <w:rsid w:val="0074469C"/>
    <w:rsid w:val="00751515"/>
    <w:rsid w:val="00751843"/>
    <w:rsid w:val="00754806"/>
    <w:rsid w:val="00760B82"/>
    <w:rsid w:val="00764018"/>
    <w:rsid w:val="00785232"/>
    <w:rsid w:val="00794085"/>
    <w:rsid w:val="007A025E"/>
    <w:rsid w:val="007B1F78"/>
    <w:rsid w:val="007C3ED0"/>
    <w:rsid w:val="00806A76"/>
    <w:rsid w:val="00810DF1"/>
    <w:rsid w:val="00811C9D"/>
    <w:rsid w:val="00816C80"/>
    <w:rsid w:val="00824B92"/>
    <w:rsid w:val="00841BCD"/>
    <w:rsid w:val="00863688"/>
    <w:rsid w:val="008650F3"/>
    <w:rsid w:val="00866B06"/>
    <w:rsid w:val="008803DD"/>
    <w:rsid w:val="00881DDF"/>
    <w:rsid w:val="008826C1"/>
    <w:rsid w:val="008919C8"/>
    <w:rsid w:val="008E7FE2"/>
    <w:rsid w:val="008F1112"/>
    <w:rsid w:val="009042BD"/>
    <w:rsid w:val="00911751"/>
    <w:rsid w:val="009167B7"/>
    <w:rsid w:val="00942F2D"/>
    <w:rsid w:val="00966D3C"/>
    <w:rsid w:val="00977E1D"/>
    <w:rsid w:val="009825E0"/>
    <w:rsid w:val="00990EBB"/>
    <w:rsid w:val="00996CD4"/>
    <w:rsid w:val="009C7A4B"/>
    <w:rsid w:val="009E13F7"/>
    <w:rsid w:val="00A04A11"/>
    <w:rsid w:val="00A147DB"/>
    <w:rsid w:val="00A22B78"/>
    <w:rsid w:val="00A25AE5"/>
    <w:rsid w:val="00A31A22"/>
    <w:rsid w:val="00A36853"/>
    <w:rsid w:val="00AA1B0E"/>
    <w:rsid w:val="00AA7844"/>
    <w:rsid w:val="00AC5CA7"/>
    <w:rsid w:val="00AD5F1A"/>
    <w:rsid w:val="00B32E4D"/>
    <w:rsid w:val="00B57B2F"/>
    <w:rsid w:val="00B71526"/>
    <w:rsid w:val="00B723D2"/>
    <w:rsid w:val="00B8632F"/>
    <w:rsid w:val="00B8745E"/>
    <w:rsid w:val="00BA6E48"/>
    <w:rsid w:val="00BB7D4E"/>
    <w:rsid w:val="00BE38AA"/>
    <w:rsid w:val="00BF2218"/>
    <w:rsid w:val="00C86ACA"/>
    <w:rsid w:val="00CA3CAC"/>
    <w:rsid w:val="00CD7492"/>
    <w:rsid w:val="00CE3A6B"/>
    <w:rsid w:val="00CF2076"/>
    <w:rsid w:val="00D00211"/>
    <w:rsid w:val="00D05142"/>
    <w:rsid w:val="00D06309"/>
    <w:rsid w:val="00D14F6E"/>
    <w:rsid w:val="00D351EA"/>
    <w:rsid w:val="00D43403"/>
    <w:rsid w:val="00D45493"/>
    <w:rsid w:val="00D45A9D"/>
    <w:rsid w:val="00D46252"/>
    <w:rsid w:val="00D61A3A"/>
    <w:rsid w:val="00D62E71"/>
    <w:rsid w:val="00D719C8"/>
    <w:rsid w:val="00D740CA"/>
    <w:rsid w:val="00D85728"/>
    <w:rsid w:val="00D869EB"/>
    <w:rsid w:val="00D9178E"/>
    <w:rsid w:val="00DD7C68"/>
    <w:rsid w:val="00DE205F"/>
    <w:rsid w:val="00DE361B"/>
    <w:rsid w:val="00DE59B9"/>
    <w:rsid w:val="00DF2997"/>
    <w:rsid w:val="00E01E0D"/>
    <w:rsid w:val="00E01E55"/>
    <w:rsid w:val="00E032E5"/>
    <w:rsid w:val="00E11C35"/>
    <w:rsid w:val="00E13AB4"/>
    <w:rsid w:val="00E279D4"/>
    <w:rsid w:val="00E44A36"/>
    <w:rsid w:val="00E57EFE"/>
    <w:rsid w:val="00E92C17"/>
    <w:rsid w:val="00E962F8"/>
    <w:rsid w:val="00EB7CA9"/>
    <w:rsid w:val="00EC4487"/>
    <w:rsid w:val="00EC7BC3"/>
    <w:rsid w:val="00ED7600"/>
    <w:rsid w:val="00EE5BD2"/>
    <w:rsid w:val="00F1362C"/>
    <w:rsid w:val="00F462D4"/>
    <w:rsid w:val="00F824F5"/>
    <w:rsid w:val="00FA40FD"/>
    <w:rsid w:val="00FC29B9"/>
    <w:rsid w:val="00FC6FD3"/>
    <w:rsid w:val="00FD0706"/>
    <w:rsid w:val="00FD4375"/>
    <w:rsid w:val="00FD65EC"/>
    <w:rsid w:val="00FD6A04"/>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styleId="Header">
    <w:name w:val="header"/>
    <w:basedOn w:val="Normal"/>
    <w:link w:val="HeaderChar"/>
    <w:semiHidden/>
    <w:rsid w:val="001A3E86"/>
    <w:pPr>
      <w:tabs>
        <w:tab w:val="center" w:pos="4153"/>
        <w:tab w:val="right" w:pos="8306"/>
      </w:tabs>
      <w:spacing w:after="0" w:line="240" w:lineRule="auto"/>
    </w:pPr>
    <w:rPr>
      <w:rFonts w:eastAsiaTheme="minorEastAsia" w:cs="Times New Roman"/>
      <w:szCs w:val="20"/>
      <w:lang w:val="en-GB"/>
    </w:rPr>
  </w:style>
  <w:style w:type="character" w:customStyle="1" w:styleId="HeaderChar">
    <w:name w:val="Header Char"/>
    <w:basedOn w:val="DefaultParagraphFont"/>
    <w:link w:val="Header"/>
    <w:semiHidden/>
    <w:rsid w:val="001A3E86"/>
    <w:rPr>
      <w:rFonts w:ascii="Times New Roman" w:eastAsiaTheme="minorEastAsia" w:hAnsi="Times New Roman" w:cs="Times New Roman"/>
      <w:sz w:val="20"/>
      <w:szCs w:val="20"/>
      <w:lang w:val="en-GB"/>
    </w:rPr>
  </w:style>
  <w:style w:type="paragraph" w:customStyle="1" w:styleId="TAN">
    <w:name w:val="TAN"/>
    <w:basedOn w:val="Normal"/>
    <w:link w:val="TANChar"/>
    <w:rsid w:val="00E11C35"/>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E11C35"/>
    <w:rPr>
      <w:rFonts w:ascii="Arial" w:eastAsia="Times New Roman" w:hAnsi="Arial" w:cs="Times New Roman"/>
      <w:sz w:val="18"/>
      <w:szCs w:val="20"/>
      <w:lang w:val="en-GB" w:eastAsia="x-none"/>
    </w:rPr>
  </w:style>
  <w:style w:type="paragraph" w:styleId="NormalWeb">
    <w:name w:val="Normal (Web)"/>
    <w:basedOn w:val="Normal"/>
    <w:uiPriority w:val="99"/>
    <w:semiHidden/>
    <w:unhideWhenUsed/>
    <w:rsid w:val="004513A0"/>
    <w:pPr>
      <w:spacing w:before="100" w:beforeAutospacing="1" w:after="100" w:afterAutospacing="1" w:line="240" w:lineRule="auto"/>
    </w:pPr>
    <w:rPr>
      <w:rFonts w:eastAsia="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 w:id="414790174">
      <w:bodyDiv w:val="1"/>
      <w:marLeft w:val="0"/>
      <w:marRight w:val="0"/>
      <w:marTop w:val="0"/>
      <w:marBottom w:val="0"/>
      <w:divBdr>
        <w:top w:val="none" w:sz="0" w:space="0" w:color="auto"/>
        <w:left w:val="none" w:sz="0" w:space="0" w:color="auto"/>
        <w:bottom w:val="none" w:sz="0" w:space="0" w:color="auto"/>
        <w:right w:val="none" w:sz="0" w:space="0" w:color="auto"/>
      </w:divBdr>
      <w:divsChild>
        <w:div w:id="125777394">
          <w:marLeft w:val="547"/>
          <w:marRight w:val="0"/>
          <w:marTop w:val="0"/>
          <w:marBottom w:val="0"/>
          <w:divBdr>
            <w:top w:val="none" w:sz="0" w:space="0" w:color="auto"/>
            <w:left w:val="none" w:sz="0" w:space="0" w:color="auto"/>
            <w:bottom w:val="none" w:sz="0" w:space="0" w:color="auto"/>
            <w:right w:val="none" w:sz="0" w:space="0" w:color="auto"/>
          </w:divBdr>
        </w:div>
      </w:divsChild>
    </w:div>
    <w:div w:id="598296059">
      <w:bodyDiv w:val="1"/>
      <w:marLeft w:val="0"/>
      <w:marRight w:val="0"/>
      <w:marTop w:val="0"/>
      <w:marBottom w:val="0"/>
      <w:divBdr>
        <w:top w:val="none" w:sz="0" w:space="0" w:color="auto"/>
        <w:left w:val="none" w:sz="0" w:space="0" w:color="auto"/>
        <w:bottom w:val="none" w:sz="0" w:space="0" w:color="auto"/>
        <w:right w:val="none" w:sz="0" w:space="0" w:color="auto"/>
      </w:divBdr>
      <w:divsChild>
        <w:div w:id="1525047687">
          <w:marLeft w:val="547"/>
          <w:marRight w:val="0"/>
          <w:marTop w:val="0"/>
          <w:marBottom w:val="0"/>
          <w:divBdr>
            <w:top w:val="none" w:sz="0" w:space="0" w:color="auto"/>
            <w:left w:val="none" w:sz="0" w:space="0" w:color="auto"/>
            <w:bottom w:val="none" w:sz="0" w:space="0" w:color="auto"/>
            <w:right w:val="none" w:sz="0" w:space="0" w:color="auto"/>
          </w:divBdr>
        </w:div>
      </w:divsChild>
    </w:div>
    <w:div w:id="770516510">
      <w:bodyDiv w:val="1"/>
      <w:marLeft w:val="0"/>
      <w:marRight w:val="0"/>
      <w:marTop w:val="0"/>
      <w:marBottom w:val="0"/>
      <w:divBdr>
        <w:top w:val="none" w:sz="0" w:space="0" w:color="auto"/>
        <w:left w:val="none" w:sz="0" w:space="0" w:color="auto"/>
        <w:bottom w:val="none" w:sz="0" w:space="0" w:color="auto"/>
        <w:right w:val="none" w:sz="0" w:space="0" w:color="auto"/>
      </w:divBdr>
    </w:div>
    <w:div w:id="2121486072">
      <w:bodyDiv w:val="1"/>
      <w:marLeft w:val="0"/>
      <w:marRight w:val="0"/>
      <w:marTop w:val="0"/>
      <w:marBottom w:val="0"/>
      <w:divBdr>
        <w:top w:val="none" w:sz="0" w:space="0" w:color="auto"/>
        <w:left w:val="none" w:sz="0" w:space="0" w:color="auto"/>
        <w:bottom w:val="none" w:sz="0" w:space="0" w:color="auto"/>
        <w:right w:val="none" w:sz="0" w:space="0" w:color="auto"/>
      </w:divBdr>
      <w:divsChild>
        <w:div w:id="701444187">
          <w:marLeft w:val="547"/>
          <w:marRight w:val="0"/>
          <w:marTop w:val="96"/>
          <w:marBottom w:val="0"/>
          <w:divBdr>
            <w:top w:val="none" w:sz="0" w:space="0" w:color="auto"/>
            <w:left w:val="none" w:sz="0" w:space="0" w:color="auto"/>
            <w:bottom w:val="none" w:sz="0" w:space="0" w:color="auto"/>
            <w:right w:val="none" w:sz="0" w:space="0" w:color="auto"/>
          </w:divBdr>
        </w:div>
        <w:div w:id="1414741143">
          <w:marLeft w:val="547"/>
          <w:marRight w:val="0"/>
          <w:marTop w:val="96"/>
          <w:marBottom w:val="0"/>
          <w:divBdr>
            <w:top w:val="none" w:sz="0" w:space="0" w:color="auto"/>
            <w:left w:val="none" w:sz="0" w:space="0" w:color="auto"/>
            <w:bottom w:val="none" w:sz="0" w:space="0" w:color="auto"/>
            <w:right w:val="none" w:sz="0" w:space="0" w:color="auto"/>
          </w:divBdr>
        </w:div>
        <w:div w:id="1451823941">
          <w:marLeft w:val="1166"/>
          <w:marRight w:val="0"/>
          <w:marTop w:val="77"/>
          <w:marBottom w:val="0"/>
          <w:divBdr>
            <w:top w:val="none" w:sz="0" w:space="0" w:color="auto"/>
            <w:left w:val="none" w:sz="0" w:space="0" w:color="auto"/>
            <w:bottom w:val="none" w:sz="0" w:space="0" w:color="auto"/>
            <w:right w:val="none" w:sz="0" w:space="0" w:color="auto"/>
          </w:divBdr>
        </w:div>
        <w:div w:id="235744824">
          <w:marLeft w:val="1166"/>
          <w:marRight w:val="0"/>
          <w:marTop w:val="77"/>
          <w:marBottom w:val="0"/>
          <w:divBdr>
            <w:top w:val="none" w:sz="0" w:space="0" w:color="auto"/>
            <w:left w:val="none" w:sz="0" w:space="0" w:color="auto"/>
            <w:bottom w:val="none" w:sz="0" w:space="0" w:color="auto"/>
            <w:right w:val="none" w:sz="0" w:space="0" w:color="auto"/>
          </w:divBdr>
        </w:div>
        <w:div w:id="1920869030">
          <w:marLeft w:val="547"/>
          <w:marRight w:val="0"/>
          <w:marTop w:val="96"/>
          <w:marBottom w:val="0"/>
          <w:divBdr>
            <w:top w:val="none" w:sz="0" w:space="0" w:color="auto"/>
            <w:left w:val="none" w:sz="0" w:space="0" w:color="auto"/>
            <w:bottom w:val="none" w:sz="0" w:space="0" w:color="auto"/>
            <w:right w:val="none" w:sz="0" w:space="0" w:color="auto"/>
          </w:divBdr>
        </w:div>
        <w:div w:id="1423188954">
          <w:marLeft w:val="547"/>
          <w:marRight w:val="0"/>
          <w:marTop w:val="96"/>
          <w:marBottom w:val="0"/>
          <w:divBdr>
            <w:top w:val="none" w:sz="0" w:space="0" w:color="auto"/>
            <w:left w:val="none" w:sz="0" w:space="0" w:color="auto"/>
            <w:bottom w:val="none" w:sz="0" w:space="0" w:color="auto"/>
            <w:right w:val="none" w:sz="0" w:space="0" w:color="auto"/>
          </w:divBdr>
        </w:div>
        <w:div w:id="71241191">
          <w:marLeft w:val="1166"/>
          <w:marRight w:val="0"/>
          <w:marTop w:val="77"/>
          <w:marBottom w:val="0"/>
          <w:divBdr>
            <w:top w:val="none" w:sz="0" w:space="0" w:color="auto"/>
            <w:left w:val="none" w:sz="0" w:space="0" w:color="auto"/>
            <w:bottom w:val="none" w:sz="0" w:space="0" w:color="auto"/>
            <w:right w:val="none" w:sz="0" w:space="0" w:color="auto"/>
          </w:divBdr>
        </w:div>
        <w:div w:id="1184978108">
          <w:marLeft w:val="1166"/>
          <w:marRight w:val="0"/>
          <w:marTop w:val="77"/>
          <w:marBottom w:val="0"/>
          <w:divBdr>
            <w:top w:val="none" w:sz="0" w:space="0" w:color="auto"/>
            <w:left w:val="none" w:sz="0" w:space="0" w:color="auto"/>
            <w:bottom w:val="none" w:sz="0" w:space="0" w:color="auto"/>
            <w:right w:val="none" w:sz="0" w:space="0" w:color="auto"/>
          </w:divBdr>
        </w:div>
        <w:div w:id="1472793754">
          <w:marLeft w:val="547"/>
          <w:marRight w:val="0"/>
          <w:marTop w:val="96"/>
          <w:marBottom w:val="0"/>
          <w:divBdr>
            <w:top w:val="none" w:sz="0" w:space="0" w:color="auto"/>
            <w:left w:val="none" w:sz="0" w:space="0" w:color="auto"/>
            <w:bottom w:val="none" w:sz="0" w:space="0" w:color="auto"/>
            <w:right w:val="none" w:sz="0" w:space="0" w:color="auto"/>
          </w:divBdr>
        </w:div>
        <w:div w:id="161710167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B20CB-924F-4F6C-A4A1-DE84B2157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3260</TotalTime>
  <Pages>3</Pages>
  <Words>1777</Words>
  <Characters>10131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28</cp:revision>
  <dcterms:created xsi:type="dcterms:W3CDTF">2018-03-26T10:33:00Z</dcterms:created>
  <dcterms:modified xsi:type="dcterms:W3CDTF">2018-04-06T19:18:00Z</dcterms:modified>
</cp:coreProperties>
</file>