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2051F5" w14:textId="2A53CCE4"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i/>
          <w:sz w:val="32"/>
          <w:szCs w:val="20"/>
          <w:lang w:val="en-GB" w:eastAsia="zh-CN"/>
        </w:rPr>
      </w:pPr>
      <w:bookmarkStart w:id="0" w:name="OLE_LINK5"/>
      <w:bookmarkStart w:id="1" w:name="OLE_LINK6"/>
      <w:r w:rsidRPr="00841BCD">
        <w:rPr>
          <w:rFonts w:ascii="Arial" w:eastAsia="宋体" w:hAnsi="Arial" w:cs="Times New Roman"/>
          <w:b/>
          <w:bCs/>
          <w:sz w:val="24"/>
          <w:szCs w:val="20"/>
          <w:lang w:val="en-GB"/>
        </w:rPr>
        <w:t>3GPP T</w:t>
      </w:r>
      <w:bookmarkStart w:id="2" w:name="_Ref452454252"/>
      <w:bookmarkEnd w:id="2"/>
      <w:r w:rsidRPr="00841BCD">
        <w:rPr>
          <w:rFonts w:ascii="Arial" w:eastAsia="宋体" w:hAnsi="Arial" w:cs="Times New Roman"/>
          <w:b/>
          <w:bCs/>
          <w:sz w:val="24"/>
          <w:szCs w:val="20"/>
          <w:lang w:val="en-GB"/>
        </w:rPr>
        <w:t xml:space="preserve">SG-RAN </w:t>
      </w:r>
      <w:r w:rsidR="00ED7600">
        <w:rPr>
          <w:rFonts w:ascii="Arial" w:eastAsia="宋体" w:hAnsi="Arial" w:cs="Times New Roman"/>
          <w:b/>
          <w:sz w:val="24"/>
          <w:szCs w:val="20"/>
          <w:lang w:val="en-GB"/>
        </w:rPr>
        <w:t>WG4 Meeting #86</w:t>
      </w:r>
      <w:r w:rsidR="00001C9B">
        <w:rPr>
          <w:rFonts w:ascii="Arial" w:eastAsia="宋体" w:hAnsi="Arial" w:cs="Times New Roman"/>
          <w:b/>
          <w:sz w:val="24"/>
          <w:szCs w:val="20"/>
          <w:lang w:val="en-GB"/>
        </w:rPr>
        <w:t>bis</w:t>
      </w:r>
      <w:r w:rsidRPr="00841BCD">
        <w:rPr>
          <w:rFonts w:ascii="Arial" w:eastAsia="宋体" w:hAnsi="Arial" w:cs="Times New Roman"/>
          <w:b/>
          <w:sz w:val="24"/>
          <w:szCs w:val="20"/>
          <w:lang w:val="en-GB"/>
        </w:rPr>
        <w:t xml:space="preserve">                 </w:t>
      </w:r>
      <w:r w:rsidRPr="00841BCD">
        <w:rPr>
          <w:rFonts w:ascii="Arial" w:eastAsia="宋体" w:hAnsi="Arial" w:cs="Times New Roman"/>
          <w:b/>
          <w:bCs/>
          <w:sz w:val="24"/>
          <w:szCs w:val="20"/>
          <w:lang w:val="en-GB"/>
        </w:rPr>
        <w:tab/>
      </w:r>
      <w:r w:rsidR="00423B88" w:rsidRPr="00423B88">
        <w:rPr>
          <w:rFonts w:ascii="Arial" w:eastAsia="宋体" w:hAnsi="Arial" w:cs="Times New Roman"/>
          <w:b/>
          <w:bCs/>
          <w:sz w:val="24"/>
          <w:szCs w:val="20"/>
          <w:lang w:val="en-GB" w:eastAsia="ja-JP"/>
        </w:rPr>
        <w:t>R4-1805068</w:t>
      </w:r>
      <w:bookmarkStart w:id="3" w:name="_GoBack"/>
      <w:bookmarkEnd w:id="3"/>
    </w:p>
    <w:p w14:paraId="17F520EA" w14:textId="77777777" w:rsidR="00841BCD" w:rsidRPr="00841BCD" w:rsidRDefault="00001C9B" w:rsidP="00841BCD">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sz w:val="24"/>
          <w:szCs w:val="20"/>
          <w:lang w:val="en-GB"/>
        </w:rPr>
      </w:pPr>
      <w:r>
        <w:rPr>
          <w:rFonts w:ascii="Arial" w:eastAsia="宋体" w:hAnsi="Arial" w:cs="Times New Roman"/>
          <w:b/>
          <w:sz w:val="24"/>
          <w:szCs w:val="20"/>
          <w:lang w:val="en-GB"/>
        </w:rPr>
        <w:t>Melbourne</w:t>
      </w:r>
      <w:r w:rsidR="00811C9D">
        <w:rPr>
          <w:rFonts w:ascii="Arial" w:eastAsia="宋体" w:hAnsi="Arial" w:cs="Times New Roman"/>
          <w:b/>
          <w:sz w:val="24"/>
          <w:szCs w:val="20"/>
          <w:lang w:val="en-GB"/>
        </w:rPr>
        <w:t xml:space="preserve">, </w:t>
      </w:r>
      <w:r>
        <w:rPr>
          <w:rFonts w:ascii="Arial" w:eastAsia="宋体" w:hAnsi="Arial" w:cs="Times New Roman"/>
          <w:b/>
          <w:sz w:val="24"/>
          <w:szCs w:val="20"/>
          <w:lang w:val="en-GB"/>
        </w:rPr>
        <w:t>Australia</w:t>
      </w:r>
      <w:r w:rsidR="00BA6E48">
        <w:rPr>
          <w:rFonts w:ascii="Arial" w:eastAsia="宋体" w:hAnsi="Arial" w:cs="Times New Roman"/>
          <w:b/>
          <w:sz w:val="24"/>
          <w:szCs w:val="20"/>
          <w:lang w:val="en-GB"/>
        </w:rPr>
        <w:t xml:space="preserve">, </w:t>
      </w:r>
      <w:r>
        <w:rPr>
          <w:rFonts w:ascii="Arial" w:eastAsia="宋体" w:hAnsi="Arial" w:cs="Times New Roman"/>
          <w:b/>
          <w:sz w:val="24"/>
          <w:szCs w:val="20"/>
          <w:lang w:val="en-GB"/>
        </w:rPr>
        <w:t>April</w:t>
      </w:r>
      <w:r w:rsidR="00ED7600">
        <w:rPr>
          <w:rFonts w:ascii="Arial" w:eastAsia="宋体" w:hAnsi="Arial" w:cs="Times New Roman"/>
          <w:b/>
          <w:sz w:val="24"/>
          <w:szCs w:val="20"/>
          <w:lang w:val="en-GB"/>
        </w:rPr>
        <w:t xml:space="preserve"> </w:t>
      </w:r>
      <w:r>
        <w:rPr>
          <w:rFonts w:ascii="Arial" w:eastAsia="宋体" w:hAnsi="Arial" w:cs="Times New Roman"/>
          <w:b/>
          <w:sz w:val="24"/>
          <w:szCs w:val="20"/>
          <w:lang w:val="en-GB"/>
        </w:rPr>
        <w:t>1</w:t>
      </w:r>
      <w:r w:rsidR="00ED7600">
        <w:rPr>
          <w:rFonts w:ascii="Arial" w:eastAsia="宋体" w:hAnsi="Arial" w:cs="Times New Roman"/>
          <w:b/>
          <w:sz w:val="24"/>
          <w:szCs w:val="20"/>
          <w:lang w:val="en-GB"/>
        </w:rPr>
        <w:t>6</w:t>
      </w:r>
      <w:r w:rsidR="00ED7600" w:rsidRPr="00ED7600">
        <w:rPr>
          <w:rFonts w:ascii="Arial" w:eastAsia="宋体" w:hAnsi="Arial" w:cs="Times New Roman"/>
          <w:b/>
          <w:sz w:val="24"/>
          <w:szCs w:val="20"/>
          <w:vertAlign w:val="superscript"/>
          <w:lang w:val="en-GB"/>
        </w:rPr>
        <w:t>th</w:t>
      </w:r>
      <w:r w:rsidR="00ED7600">
        <w:rPr>
          <w:rFonts w:ascii="Arial" w:eastAsia="宋体" w:hAnsi="Arial" w:cs="Times New Roman"/>
          <w:b/>
          <w:sz w:val="24"/>
          <w:szCs w:val="20"/>
          <w:lang w:val="en-GB"/>
        </w:rPr>
        <w:t xml:space="preserve"> </w:t>
      </w:r>
      <w:r w:rsidR="00811C9D">
        <w:rPr>
          <w:rFonts w:ascii="Arial" w:eastAsia="宋体" w:hAnsi="Arial" w:cs="Times New Roman"/>
          <w:b/>
          <w:sz w:val="24"/>
          <w:szCs w:val="20"/>
          <w:lang w:val="en-GB"/>
        </w:rPr>
        <w:t xml:space="preserve">– </w:t>
      </w:r>
      <w:r>
        <w:rPr>
          <w:rFonts w:ascii="Arial" w:eastAsia="宋体" w:hAnsi="Arial" w:cs="Times New Roman"/>
          <w:b/>
          <w:sz w:val="24"/>
          <w:szCs w:val="20"/>
          <w:lang w:val="en-GB"/>
        </w:rPr>
        <w:t>20</w:t>
      </w:r>
      <w:r w:rsidRPr="00001C9B">
        <w:rPr>
          <w:rFonts w:ascii="Arial" w:eastAsia="宋体" w:hAnsi="Arial" w:cs="Times New Roman"/>
          <w:b/>
          <w:sz w:val="24"/>
          <w:szCs w:val="20"/>
          <w:vertAlign w:val="superscript"/>
          <w:lang w:val="en-GB"/>
        </w:rPr>
        <w:t>th</w:t>
      </w:r>
      <w:r>
        <w:rPr>
          <w:rFonts w:ascii="Arial" w:eastAsia="宋体" w:hAnsi="Arial" w:cs="Times New Roman"/>
          <w:b/>
          <w:sz w:val="24"/>
          <w:szCs w:val="20"/>
          <w:lang w:val="en-GB"/>
        </w:rPr>
        <w:t xml:space="preserve"> </w:t>
      </w:r>
      <w:r w:rsidR="00841BCD" w:rsidRPr="00841BCD">
        <w:rPr>
          <w:rFonts w:ascii="Arial" w:eastAsia="宋体" w:hAnsi="Arial" w:cs="Times New Roman"/>
          <w:b/>
          <w:bCs/>
          <w:noProof/>
          <w:sz w:val="24"/>
          <w:szCs w:val="20"/>
          <w:lang w:eastAsia="zh-CN"/>
        </w:rPr>
        <w:t>201</w:t>
      </w:r>
      <w:r w:rsidR="00235F5C">
        <w:rPr>
          <w:rFonts w:ascii="Arial" w:eastAsia="宋体" w:hAnsi="Arial" w:cs="Times New Roman"/>
          <w:b/>
          <w:bCs/>
          <w:noProof/>
          <w:sz w:val="24"/>
          <w:szCs w:val="20"/>
          <w:lang w:eastAsia="zh-CN"/>
        </w:rPr>
        <w:t>8</w:t>
      </w:r>
    </w:p>
    <w:bookmarkEnd w:id="0"/>
    <w:bookmarkEnd w:id="1"/>
    <w:p w14:paraId="31FC5C9E"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宋体" w:hAnsi="Arial" w:cs="Times New Roman"/>
          <w:b/>
          <w:bCs/>
          <w:sz w:val="24"/>
          <w:szCs w:val="20"/>
          <w:lang w:val="en-GB" w:eastAsia="ja-JP"/>
        </w:rPr>
      </w:pPr>
    </w:p>
    <w:p w14:paraId="3979E84C"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14D18FB7" w14:textId="77777777" w:rsidR="00841BCD" w:rsidRPr="0020767F"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20767F">
        <w:rPr>
          <w:rFonts w:ascii="Arial" w:eastAsia="Calibri" w:hAnsi="Arial" w:cs="Arial"/>
          <w:b/>
          <w:bCs/>
          <w:sz w:val="24"/>
          <w:lang w:val="en-GB"/>
        </w:rPr>
        <w:t xml:space="preserve">Discussion on </w:t>
      </w:r>
      <w:r w:rsidR="00B32E4D">
        <w:rPr>
          <w:rFonts w:ascii="Arial" w:eastAsia="Calibri" w:hAnsi="Arial" w:cs="Arial"/>
          <w:b/>
          <w:bCs/>
          <w:sz w:val="24"/>
          <w:lang w:val="en-GB"/>
        </w:rPr>
        <w:t>NR intra-frequency measurement requirements</w:t>
      </w:r>
    </w:p>
    <w:p w14:paraId="46832CBB" w14:textId="77777777"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20767F">
        <w:rPr>
          <w:rFonts w:ascii="Arial" w:eastAsia="MS Mincho" w:hAnsi="Arial" w:cs="Arial"/>
          <w:b/>
          <w:bCs/>
          <w:sz w:val="24"/>
          <w:szCs w:val="20"/>
          <w:lang w:val="en-GB"/>
        </w:rPr>
        <w:t>7.9.</w:t>
      </w:r>
      <w:r w:rsidR="00B32E4D">
        <w:rPr>
          <w:rFonts w:ascii="Arial" w:eastAsia="MS Mincho" w:hAnsi="Arial" w:cs="Arial"/>
          <w:b/>
          <w:bCs/>
          <w:sz w:val="24"/>
          <w:szCs w:val="20"/>
          <w:lang w:val="en-GB"/>
        </w:rPr>
        <w:t>4.1</w:t>
      </w:r>
      <w:r w:rsidR="00990EBB">
        <w:rPr>
          <w:rFonts w:ascii="Arial" w:eastAsia="MS Mincho" w:hAnsi="Arial" w:cs="Arial"/>
          <w:b/>
          <w:bCs/>
          <w:sz w:val="24"/>
          <w:szCs w:val="20"/>
          <w:lang w:val="en-GB"/>
        </w:rPr>
        <w:t>.1</w:t>
      </w:r>
    </w:p>
    <w:p w14:paraId="3157E630" w14:textId="77777777"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Pr="00B71526">
        <w:rPr>
          <w:rFonts w:ascii="Arial" w:eastAsia="Calibri" w:hAnsi="Arial" w:cs="Arial"/>
          <w:b/>
          <w:bCs/>
          <w:sz w:val="24"/>
          <w:lang w:val="en-GB"/>
        </w:rPr>
        <w:t>Discussion</w:t>
      </w:r>
    </w:p>
    <w:p w14:paraId="14269AA1" w14:textId="77777777" w:rsidR="00841BCD" w:rsidRPr="00841BCD" w:rsidRDefault="00841BCD" w:rsidP="00841BC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宋体" w:hAnsi="Arial" w:cs="Times New Roman"/>
          <w:sz w:val="36"/>
          <w:szCs w:val="20"/>
          <w:lang w:val="en-GB"/>
        </w:rPr>
      </w:pPr>
      <w:r w:rsidRPr="00841BCD">
        <w:rPr>
          <w:rFonts w:ascii="Arial" w:eastAsia="宋体" w:hAnsi="Arial" w:cs="Times New Roman"/>
          <w:sz w:val="36"/>
          <w:szCs w:val="20"/>
          <w:lang w:val="en-GB"/>
        </w:rPr>
        <w:t>1</w:t>
      </w:r>
      <w:r w:rsidRPr="00841BCD">
        <w:rPr>
          <w:rFonts w:ascii="Arial" w:eastAsia="宋体" w:hAnsi="Arial" w:cs="Times New Roman"/>
          <w:sz w:val="36"/>
          <w:szCs w:val="20"/>
          <w:lang w:val="en-GB"/>
        </w:rPr>
        <w:tab/>
        <w:t>Intro</w:t>
      </w:r>
      <w:r w:rsidRPr="0008612A">
        <w:rPr>
          <w:rStyle w:val="RAN4H1Char"/>
        </w:rPr>
        <w:t>ductio</w:t>
      </w:r>
      <w:r w:rsidRPr="00841BCD">
        <w:rPr>
          <w:rFonts w:ascii="Arial" w:eastAsia="宋体" w:hAnsi="Arial" w:cs="Times New Roman"/>
          <w:sz w:val="36"/>
          <w:szCs w:val="20"/>
          <w:lang w:val="en-GB"/>
        </w:rPr>
        <w:t>n</w:t>
      </w:r>
    </w:p>
    <w:p w14:paraId="2806C824" w14:textId="77777777" w:rsidR="00FD4375" w:rsidRDefault="00126209" w:rsidP="00B71526">
      <w:pPr>
        <w:spacing w:before="120" w:after="120"/>
      </w:pPr>
      <w:r>
        <w:rPr>
          <w:lang w:val="en-GB"/>
        </w:rPr>
        <w:t>Intra</w:t>
      </w:r>
      <w:r w:rsidR="00BB7D4E">
        <w:t xml:space="preserve">-frequency measurement </w:t>
      </w:r>
      <w:r>
        <w:t xml:space="preserve">requirements are very essential </w:t>
      </w:r>
      <w:r w:rsidR="000B5D48">
        <w:t>for</w:t>
      </w:r>
      <w:r>
        <w:t xml:space="preserve"> overall NR system performance, and </w:t>
      </w:r>
      <w:r w:rsidR="008650F3">
        <w:t>have been discussed in several RAN4 meetings</w:t>
      </w:r>
      <w:r w:rsidR="0026143C">
        <w:t>.</w:t>
      </w:r>
      <w:r w:rsidR="008650F3">
        <w:t xml:space="preserve"> </w:t>
      </w:r>
      <w:r w:rsidR="00FD4375">
        <w:t xml:space="preserve">So far, RAN4 has agreed the structure such that we have </w:t>
      </w:r>
    </w:p>
    <w:p w14:paraId="2738C2A7" w14:textId="77777777" w:rsidR="00FD4375" w:rsidRDefault="00FD4375" w:rsidP="00FD4375">
      <w:pPr>
        <w:pStyle w:val="ListParagraph"/>
        <w:numPr>
          <w:ilvl w:val="0"/>
          <w:numId w:val="16"/>
        </w:numPr>
        <w:spacing w:before="120" w:after="120"/>
      </w:pPr>
      <w:r>
        <w:t xml:space="preserve">requirements for gapless measurement, and </w:t>
      </w:r>
    </w:p>
    <w:p w14:paraId="479055A3" w14:textId="77777777" w:rsidR="00FD4375" w:rsidRDefault="00FD4375" w:rsidP="00FD4375">
      <w:pPr>
        <w:pStyle w:val="ListParagraph"/>
        <w:numPr>
          <w:ilvl w:val="0"/>
          <w:numId w:val="16"/>
        </w:numPr>
        <w:spacing w:before="120" w:after="120"/>
      </w:pPr>
      <w:r>
        <w:t xml:space="preserve">gap based measurement. </w:t>
      </w:r>
    </w:p>
    <w:p w14:paraId="0732274F" w14:textId="77777777" w:rsidR="0026143C" w:rsidRDefault="00FD4375" w:rsidP="00FD4375">
      <w:pPr>
        <w:spacing w:before="120" w:after="120"/>
      </w:pPr>
      <w:r>
        <w:t>Also, the requirements will include the delay for PSS/SSS detection, SBI acquisition and measurement. The exact numbers for the requirements in FR1 are also agreed.</w:t>
      </w:r>
    </w:p>
    <w:p w14:paraId="2A1AB40D" w14:textId="77777777" w:rsidR="00FD4375" w:rsidRDefault="00FD4375" w:rsidP="00FD4375">
      <w:pPr>
        <w:pStyle w:val="ListParagraph"/>
        <w:numPr>
          <w:ilvl w:val="0"/>
          <w:numId w:val="16"/>
        </w:numPr>
        <w:spacing w:before="120" w:after="120"/>
      </w:pPr>
      <w:r>
        <w:t>For PSS/SSS detection</w:t>
      </w:r>
      <w:r>
        <w:tab/>
      </w:r>
    </w:p>
    <w:p w14:paraId="5D7A32F5" w14:textId="77777777" w:rsidR="00FD4375" w:rsidRPr="00FD4375" w:rsidRDefault="00FD4375" w:rsidP="00FD4375">
      <w:pPr>
        <w:pStyle w:val="ListParagraph"/>
        <w:numPr>
          <w:ilvl w:val="1"/>
          <w:numId w:val="16"/>
        </w:numPr>
        <w:spacing w:before="120" w:after="120"/>
      </w:pPr>
      <w:r w:rsidRPr="00FD4375">
        <w:t>FR1 max(600ms,</w:t>
      </w:r>
      <w:r w:rsidR="00E13AB4">
        <w:t xml:space="preserve"> </w:t>
      </w:r>
      <w:r w:rsidRPr="00FD4375">
        <w:t>[5 or 6]</w:t>
      </w:r>
      <w:r w:rsidR="00E13AB4">
        <w:t xml:space="preserve"> </w:t>
      </w:r>
      <w:r w:rsidRPr="00FD4375">
        <w:t xml:space="preserve">x SMTC period) </w:t>
      </w:r>
    </w:p>
    <w:p w14:paraId="3401D1D9" w14:textId="77777777" w:rsidR="00FD4375" w:rsidRDefault="00FD4375" w:rsidP="00FD4375">
      <w:pPr>
        <w:pStyle w:val="ListParagraph"/>
        <w:numPr>
          <w:ilvl w:val="1"/>
          <w:numId w:val="16"/>
        </w:numPr>
        <w:spacing w:before="120" w:after="120"/>
      </w:pPr>
      <w:r w:rsidRPr="00FD4375">
        <w:t>FR2 max([X1]ms,</w:t>
      </w:r>
      <w:r w:rsidR="00E13AB4">
        <w:t xml:space="preserve"> </w:t>
      </w:r>
      <w:r w:rsidRPr="00FD4375">
        <w:t>[5 or 6]</w:t>
      </w:r>
      <w:r w:rsidR="00E13AB4">
        <w:t xml:space="preserve"> </w:t>
      </w:r>
      <w:r w:rsidRPr="00FD4375">
        <w:t>x N1x SMTC period)</w:t>
      </w:r>
    </w:p>
    <w:p w14:paraId="44DC3A70" w14:textId="77777777" w:rsidR="00FD4375" w:rsidRDefault="00FD4375" w:rsidP="00FD4375">
      <w:pPr>
        <w:pStyle w:val="ListParagraph"/>
        <w:numPr>
          <w:ilvl w:val="0"/>
          <w:numId w:val="16"/>
        </w:numPr>
        <w:spacing w:before="120" w:after="120"/>
      </w:pPr>
      <w:r>
        <w:t>For SBI acquisition</w:t>
      </w:r>
    </w:p>
    <w:p w14:paraId="4FBAB4E7" w14:textId="77777777" w:rsidR="00654C4F" w:rsidRPr="00FD4375" w:rsidRDefault="00D45A9D" w:rsidP="00FD4375">
      <w:pPr>
        <w:pStyle w:val="ListParagraph"/>
        <w:numPr>
          <w:ilvl w:val="1"/>
          <w:numId w:val="16"/>
        </w:numPr>
        <w:spacing w:before="120" w:after="120"/>
      </w:pPr>
      <w:r w:rsidRPr="00FD4375">
        <w:t xml:space="preserve">FR1 </w:t>
      </w:r>
      <w:r w:rsidRPr="00FD4375">
        <w:rPr>
          <w:lang w:val="en-GB"/>
        </w:rPr>
        <w:t>max(120, 3 x SMTC period)</w:t>
      </w:r>
    </w:p>
    <w:p w14:paraId="48BAD011" w14:textId="77777777" w:rsidR="00FD4375" w:rsidRPr="00FD4375" w:rsidRDefault="00FD4375" w:rsidP="00FD4375">
      <w:pPr>
        <w:pStyle w:val="ListParagraph"/>
        <w:numPr>
          <w:ilvl w:val="1"/>
          <w:numId w:val="16"/>
        </w:numPr>
        <w:spacing w:before="120" w:after="120"/>
      </w:pPr>
      <w:r w:rsidRPr="00FD4375">
        <w:rPr>
          <w:lang w:val="en-GB"/>
        </w:rPr>
        <w:t>FR2 max([X</w:t>
      </w:r>
      <w:r w:rsidRPr="00FD4375">
        <w:rPr>
          <w:vertAlign w:val="subscript"/>
          <w:lang w:val="en-GB"/>
        </w:rPr>
        <w:t>2</w:t>
      </w:r>
      <w:r w:rsidRPr="00FD4375">
        <w:rPr>
          <w:lang w:val="en-GB"/>
        </w:rPr>
        <w:t>], [5] x N</w:t>
      </w:r>
      <w:r w:rsidRPr="00FD4375">
        <w:rPr>
          <w:vertAlign w:val="subscript"/>
          <w:lang w:val="en-GB"/>
        </w:rPr>
        <w:t>2</w:t>
      </w:r>
      <w:r w:rsidRPr="00FD4375">
        <w:rPr>
          <w:lang w:val="en-GB"/>
        </w:rPr>
        <w:t xml:space="preserve"> x SMTC period)</w:t>
      </w:r>
    </w:p>
    <w:p w14:paraId="41CD0753" w14:textId="77777777" w:rsidR="00FD4375" w:rsidRPr="00FD4375" w:rsidRDefault="00FD4375" w:rsidP="00FD4375">
      <w:pPr>
        <w:pStyle w:val="ListParagraph"/>
        <w:numPr>
          <w:ilvl w:val="0"/>
          <w:numId w:val="16"/>
        </w:numPr>
        <w:spacing w:before="120" w:after="120"/>
      </w:pPr>
      <w:r>
        <w:rPr>
          <w:lang w:val="en-GB"/>
        </w:rPr>
        <w:t xml:space="preserve">For measurement </w:t>
      </w:r>
    </w:p>
    <w:p w14:paraId="719ECB3F" w14:textId="77777777" w:rsidR="00FD4375" w:rsidRPr="00FD4375" w:rsidRDefault="00FD4375" w:rsidP="00FD4375">
      <w:pPr>
        <w:pStyle w:val="ListParagraph"/>
        <w:numPr>
          <w:ilvl w:val="1"/>
          <w:numId w:val="16"/>
        </w:numPr>
        <w:spacing w:before="120" w:after="120"/>
      </w:pPr>
      <w:r w:rsidRPr="00FD4375">
        <w:t>FR1 max(120, 3 x SMTC period)</w:t>
      </w:r>
    </w:p>
    <w:p w14:paraId="73E836C1" w14:textId="77777777" w:rsidR="00FD4375" w:rsidRDefault="00FD4375" w:rsidP="00FD4375">
      <w:pPr>
        <w:pStyle w:val="ListParagraph"/>
        <w:numPr>
          <w:ilvl w:val="1"/>
          <w:numId w:val="16"/>
        </w:numPr>
        <w:spacing w:before="120" w:after="120"/>
      </w:pPr>
      <w:r w:rsidRPr="00FD4375">
        <w:t>FR2 max([X2], [5] x N2 x SMTC period)</w:t>
      </w:r>
    </w:p>
    <w:p w14:paraId="2E898885" w14:textId="77777777" w:rsidR="00FD4375" w:rsidRDefault="00FD4375" w:rsidP="00FD4375">
      <w:pPr>
        <w:spacing w:before="120" w:after="120"/>
      </w:pPr>
      <w:r>
        <w:t>Besides,</w:t>
      </w:r>
      <w:r w:rsidR="00E13AB4">
        <w:t xml:space="preserve"> </w:t>
      </w:r>
      <w:r w:rsidR="004C2AAA">
        <w:t xml:space="preserve">RAN4 has agreed the scheduling availability for gapless measurement in case of mixed numerology and FR2. </w:t>
      </w:r>
    </w:p>
    <w:p w14:paraId="6D471A46" w14:textId="77777777" w:rsidR="004C2AAA" w:rsidRDefault="004C2AAA" w:rsidP="00FD4375">
      <w:pPr>
        <w:spacing w:before="120" w:after="120"/>
      </w:pPr>
      <w:r>
        <w:t>On the other hand, there are still many open issues</w:t>
      </w:r>
    </w:p>
    <w:p w14:paraId="5BC7E5F7" w14:textId="77777777" w:rsidR="004C2AAA" w:rsidRDefault="004C2AAA" w:rsidP="004C2AAA">
      <w:pPr>
        <w:pStyle w:val="ListParagraph"/>
        <w:numPr>
          <w:ilvl w:val="0"/>
          <w:numId w:val="18"/>
        </w:numPr>
        <w:spacing w:before="120" w:after="120"/>
      </w:pPr>
      <w:r>
        <w:t>Requirements when measurement gap (MG) is configured and overlapping with intra-frequency SMTC</w:t>
      </w:r>
    </w:p>
    <w:p w14:paraId="1ECE1C5C" w14:textId="77777777" w:rsidR="004C2AAA" w:rsidRDefault="004C2AAA" w:rsidP="004C2AAA">
      <w:pPr>
        <w:pStyle w:val="ListParagraph"/>
        <w:numPr>
          <w:ilvl w:val="0"/>
          <w:numId w:val="18"/>
        </w:numPr>
        <w:spacing w:before="120" w:after="120"/>
      </w:pPr>
      <w:r>
        <w:t>MG sharing between intra- and inter-frequency measurements</w:t>
      </w:r>
    </w:p>
    <w:p w14:paraId="6422B0EA" w14:textId="77777777" w:rsidR="004C2AAA" w:rsidRDefault="004C2AAA" w:rsidP="004C2AAA">
      <w:pPr>
        <w:pStyle w:val="ListParagraph"/>
        <w:numPr>
          <w:ilvl w:val="0"/>
          <w:numId w:val="18"/>
        </w:numPr>
        <w:spacing w:before="120" w:after="120"/>
      </w:pPr>
      <w:r>
        <w:t>Requirements for multiple serving cells (CA)</w:t>
      </w:r>
    </w:p>
    <w:p w14:paraId="21E9E364" w14:textId="77777777" w:rsidR="004C2AAA" w:rsidRDefault="004C2AAA" w:rsidP="004C2AAA">
      <w:pPr>
        <w:pStyle w:val="ListParagraph"/>
        <w:numPr>
          <w:ilvl w:val="0"/>
          <w:numId w:val="18"/>
        </w:numPr>
        <w:spacing w:before="120" w:after="120"/>
      </w:pPr>
      <w:r>
        <w:t xml:space="preserve">Disabling </w:t>
      </w:r>
      <w:r w:rsidRPr="004C2AAA">
        <w:t>intra-frequency</w:t>
      </w:r>
      <w:r>
        <w:t xml:space="preserve"> for SCell (question from RAN2 in [1])</w:t>
      </w:r>
    </w:p>
    <w:p w14:paraId="24C539C3" w14:textId="77777777" w:rsidR="004C2AAA" w:rsidRDefault="004C2AAA" w:rsidP="004C2AAA">
      <w:pPr>
        <w:pStyle w:val="ListParagraph"/>
        <w:numPr>
          <w:ilvl w:val="0"/>
          <w:numId w:val="18"/>
        </w:numPr>
        <w:spacing w:before="120" w:after="120"/>
      </w:pPr>
      <w:r>
        <w:t>Requirements for DRX</w:t>
      </w:r>
    </w:p>
    <w:p w14:paraId="3D45BDCA" w14:textId="77777777" w:rsidR="004C2AAA" w:rsidRDefault="004C2AAA" w:rsidP="004C2AAA">
      <w:pPr>
        <w:pStyle w:val="ListParagraph"/>
        <w:numPr>
          <w:ilvl w:val="0"/>
          <w:numId w:val="18"/>
        </w:numPr>
        <w:spacing w:before="120" w:after="120"/>
      </w:pPr>
      <w:r>
        <w:t xml:space="preserve">Exact numbers for </w:t>
      </w:r>
      <w:r w:rsidRPr="004C2AAA">
        <w:t>PSS/SSS detection, SBI acquisition and measurement</w:t>
      </w:r>
      <w:r>
        <w:t xml:space="preserve"> in FR2</w:t>
      </w:r>
    </w:p>
    <w:p w14:paraId="378EC0F4" w14:textId="77777777" w:rsidR="00B71526" w:rsidRPr="00E92C17" w:rsidRDefault="004C2AAA" w:rsidP="00E92C17">
      <w:pPr>
        <w:spacing w:before="120" w:after="120"/>
      </w:pPr>
      <w:r>
        <w:t>Issue 1), 2)</w:t>
      </w:r>
      <w:r w:rsidR="00D14F6E">
        <w:t>,</w:t>
      </w:r>
      <w:r>
        <w:t xml:space="preserve"> </w:t>
      </w:r>
      <w:r w:rsidR="00D14F6E">
        <w:t>5) and 6</w:t>
      </w:r>
      <w:r>
        <w:t xml:space="preserve">) are addressed separately in our companion papers. </w:t>
      </w:r>
      <w:r w:rsidR="00E92C17">
        <w:t xml:space="preserve">In this paper, we will provide our views on </w:t>
      </w:r>
      <w:r w:rsidR="00863688">
        <w:t xml:space="preserve">the remaining open issues for </w:t>
      </w:r>
      <w:r>
        <w:t>intra-frequency measurement requirements</w:t>
      </w:r>
      <w:r w:rsidR="00E92C17">
        <w:t xml:space="preserve">. </w:t>
      </w:r>
    </w:p>
    <w:p w14:paraId="7A8D30EC" w14:textId="77777777" w:rsidR="0008612A" w:rsidRDefault="003B659E" w:rsidP="00660508">
      <w:pPr>
        <w:pStyle w:val="RAN4H1"/>
      </w:pPr>
      <w:r>
        <w:t>2</w:t>
      </w:r>
      <w:r w:rsidRPr="00841BCD">
        <w:tab/>
      </w:r>
      <w:r>
        <w:t>Discussion</w:t>
      </w:r>
    </w:p>
    <w:p w14:paraId="159AB73C" w14:textId="77777777" w:rsidR="008826C1" w:rsidRPr="008826C1" w:rsidRDefault="00D351EA" w:rsidP="008826C1">
      <w:pPr>
        <w:pStyle w:val="Heading2"/>
        <w:rPr>
          <w:lang w:val="en-US"/>
        </w:rPr>
      </w:pPr>
      <w:r>
        <w:rPr>
          <w:lang w:val="en-US"/>
        </w:rPr>
        <w:t>2.1</w:t>
      </w:r>
      <w:r>
        <w:rPr>
          <w:lang w:val="en-US"/>
        </w:rPr>
        <w:tab/>
      </w:r>
      <w:r w:rsidR="00D46252">
        <w:rPr>
          <w:lang w:val="en-US"/>
        </w:rPr>
        <w:t>Requirements for CA</w:t>
      </w:r>
    </w:p>
    <w:p w14:paraId="6B74490B" w14:textId="77777777" w:rsidR="00A147DB" w:rsidRDefault="00A147DB" w:rsidP="00A147DB">
      <w:pPr>
        <w:spacing w:before="120" w:after="120"/>
      </w:pPr>
      <w:r>
        <w:t>In LTE, the performance requirements for serving carriers with PCell, PSCell and activated SCell are not scaled by the number of serving carriers. It is assumed that UE can measure all the serving cells in parallel since it has the Rx chain to receive simultaneously on all the serving cells.</w:t>
      </w:r>
    </w:p>
    <w:p w14:paraId="67231970" w14:textId="77777777" w:rsidR="00A147DB" w:rsidRDefault="00A147DB" w:rsidP="00A147DB">
      <w:pPr>
        <w:spacing w:before="120" w:after="120"/>
      </w:pPr>
      <w:r>
        <w:t xml:space="preserve">In NR, UE still has the Rx chain to simultaneously receive from all serving cells, but according to some companies, the issue is on the baseband processing capability. Unlike LTE, in NR the SSBs are most likely to be synchronized across carriers, so if the intra-frequency requirements are not scaled, UE needs to do cell search and measurement for all the serving carriers at the same time. On the other hand, the baseband searcher has limited capability. In LTE one searcher can process multiple carriers in sequence (the SS is transmitted every 5ms and CRS every subframe), but this is now not possible in NR with synchronized SMTC across carriers. </w:t>
      </w:r>
    </w:p>
    <w:p w14:paraId="4893D400" w14:textId="77777777" w:rsidR="00754806" w:rsidRDefault="00A147DB" w:rsidP="00A147DB">
      <w:pPr>
        <w:spacing w:before="120" w:after="120"/>
      </w:pPr>
      <w:r>
        <w:lastRenderedPageBreak/>
        <w:t>Some companies mentioned that in worst case the intra-frequency requirement may need to be scaled by the number of serving carriers. For example, when there are 8 serving cells (1 PCell and 7 SCells), the requirement is scaled by a factor of 8 compared to the case when there is no SCell. We understand this is based on the assumption that UE only has one searcher, and the searcher can process one carrier at one time</w:t>
      </w:r>
      <w:r w:rsidR="00E01E0D">
        <w:t xml:space="preserve">. </w:t>
      </w:r>
    </w:p>
    <w:p w14:paraId="6A38D692" w14:textId="1F15B5C9" w:rsidR="00A147DB" w:rsidRDefault="00E01E0D" w:rsidP="00A147DB">
      <w:pPr>
        <w:spacing w:before="120" w:after="120"/>
      </w:pPr>
      <w:r>
        <w:t xml:space="preserve">In our view, </w:t>
      </w:r>
      <w:r w:rsidR="00754806">
        <w:t xml:space="preserve">one searcher assumption </w:t>
      </w:r>
      <w:r w:rsidR="00A147DB">
        <w:t>is too pessimistic</w:t>
      </w:r>
      <w:r w:rsidR="00415270">
        <w:t xml:space="preserve"> and unrealistic</w:t>
      </w:r>
      <w:r w:rsidR="00A147DB">
        <w:t>.</w:t>
      </w:r>
      <w:r w:rsidR="00754806">
        <w:t xml:space="preserve"> Since </w:t>
      </w:r>
      <w:r w:rsidR="00754806" w:rsidRPr="00754806">
        <w:t xml:space="preserve">NR has </w:t>
      </w:r>
      <w:r w:rsidR="00754806">
        <w:t xml:space="preserve">the </w:t>
      </w:r>
      <w:r w:rsidR="00754806" w:rsidRPr="00754806">
        <w:t>support for multiple serving cells (CA/DC) from the beginning,</w:t>
      </w:r>
      <w:r w:rsidR="00754806">
        <w:t xml:space="preserve"> and t</w:t>
      </w:r>
      <w:r w:rsidR="00754806" w:rsidRPr="00754806">
        <w:t xml:space="preserve">he synchronized </w:t>
      </w:r>
      <w:r w:rsidR="00754806">
        <w:t>SMTC</w:t>
      </w:r>
      <w:r w:rsidR="00754806" w:rsidRPr="00754806">
        <w:t xml:space="preserve"> across multiple serving carriers is a known issue for NR</w:t>
      </w:r>
      <w:r w:rsidR="00754806">
        <w:t xml:space="preserve"> at the beginning of the system design, </w:t>
      </w:r>
      <w:r w:rsidR="00415270">
        <w:t>more realistic</w:t>
      </w:r>
      <w:r w:rsidR="00754806">
        <w:t xml:space="preserve"> assumption</w:t>
      </w:r>
      <w:r w:rsidR="00415270">
        <w:t>s</w:t>
      </w:r>
      <w:r w:rsidR="00754806">
        <w:t xml:space="preserve"> should be used </w:t>
      </w:r>
      <w:r w:rsidR="00415270">
        <w:t xml:space="preserve">when </w:t>
      </w:r>
      <w:r w:rsidR="00754806">
        <w:t>defining the measurement requirements for CA.</w:t>
      </w:r>
    </w:p>
    <w:p w14:paraId="218C7F53" w14:textId="77777777" w:rsidR="00754806" w:rsidRDefault="00754806" w:rsidP="00A147DB">
      <w:pPr>
        <w:spacing w:before="120" w:after="120"/>
      </w:pPr>
      <w:r>
        <w:t>The intra-frequency measurement requirements with CA has been discussed in several RAN4 meetings. In our view, the following principle should be considered:</w:t>
      </w:r>
    </w:p>
    <w:p w14:paraId="25FD564A" w14:textId="1C3BA7E8" w:rsidR="00E01E0D" w:rsidRDefault="00754806" w:rsidP="00754806">
      <w:pPr>
        <w:pStyle w:val="ListParagraph"/>
        <w:numPr>
          <w:ilvl w:val="0"/>
          <w:numId w:val="16"/>
        </w:numPr>
        <w:spacing w:before="120" w:after="120"/>
      </w:pPr>
      <w:r>
        <w:t>The measurement performance for carriers with PCell and PSCell (if configured) should not be impacted due to measurement on carriers with SCells, since PCell and PSCell are essential for mobility</w:t>
      </w:r>
      <w:r w:rsidR="00DC2AA3">
        <w:t xml:space="preserve"> and RLM</w:t>
      </w:r>
      <w:r>
        <w:t>. This may mean e.g. a dedicated searcher hardware for PCell and PSCell</w:t>
      </w:r>
      <w:r w:rsidR="00DC2AA3">
        <w:t xml:space="preserve"> carrier(s)</w:t>
      </w:r>
      <w:r>
        <w:t xml:space="preserve">. </w:t>
      </w:r>
    </w:p>
    <w:p w14:paraId="02E42523" w14:textId="5B26AFF6" w:rsidR="00126F92" w:rsidRDefault="00754806" w:rsidP="00754806">
      <w:pPr>
        <w:pStyle w:val="ListParagraph"/>
        <w:numPr>
          <w:ilvl w:val="0"/>
          <w:numId w:val="16"/>
        </w:numPr>
        <w:spacing w:before="120" w:after="120"/>
      </w:pPr>
      <w:r>
        <w:t>The measurement performance for carriers with SCells could be scaled by a carrier-specific factor of K,</w:t>
      </w:r>
      <w:r w:rsidR="00126F92">
        <w:t xml:space="preserve"> where SMTC configuration on each serving carrier should be considered, and </w:t>
      </w:r>
      <w:r w:rsidR="009352CA">
        <w:t xml:space="preserve">K is </w:t>
      </w:r>
      <w:r w:rsidR="00126F92">
        <w:t xml:space="preserve">bounded to a maximum </w:t>
      </w:r>
      <w:r w:rsidR="009352CA">
        <w:t xml:space="preserve">value </w:t>
      </w:r>
      <w:r w:rsidR="00126F92">
        <w:t>K</w:t>
      </w:r>
      <w:r w:rsidR="00126F92" w:rsidRPr="00126F92">
        <w:rPr>
          <w:vertAlign w:val="subscript"/>
        </w:rPr>
        <w:t>max</w:t>
      </w:r>
      <w:r w:rsidR="00126F92">
        <w:t>.</w:t>
      </w:r>
      <w:r>
        <w:t xml:space="preserve"> </w:t>
      </w:r>
    </w:p>
    <w:p w14:paraId="126EE5ED" w14:textId="6F9FD4F3" w:rsidR="009352CA" w:rsidRDefault="009352CA" w:rsidP="009352CA">
      <w:pPr>
        <w:pStyle w:val="ListParagraph"/>
        <w:numPr>
          <w:ilvl w:val="1"/>
          <w:numId w:val="16"/>
        </w:numPr>
      </w:pPr>
      <w:r w:rsidRPr="009352CA">
        <w:t>In LTE LAA discussion which has the similar measurement restriction as NR, some chipset vendors have proposed a scaling rule that assumes UE will implement one searcher for every X carriers. For example, when UE is configured to measure more than X carriers, a second searcher will be enabled, and when UE is configured to measure more than 2*X carriers, a third searcher will be enabled. This means that the scaling factor K is bounded by a maximum value K</w:t>
      </w:r>
      <w:r w:rsidRPr="009352CA">
        <w:rPr>
          <w:vertAlign w:val="subscript"/>
        </w:rPr>
        <w:t>max</w:t>
      </w:r>
      <w:r w:rsidRPr="009352CA">
        <w:t xml:space="preserve">, and we think this is reasonable since UE supporting larger number of serving cells should have a better capability than UE supporting a smaller number. </w:t>
      </w:r>
    </w:p>
    <w:p w14:paraId="05715170" w14:textId="6EBE37C8" w:rsidR="00754806" w:rsidRDefault="00126F92" w:rsidP="00126F92">
      <w:pPr>
        <w:pStyle w:val="ListParagraph"/>
        <w:numPr>
          <w:ilvl w:val="1"/>
          <w:numId w:val="16"/>
        </w:numPr>
        <w:spacing w:before="120" w:after="120"/>
      </w:pPr>
      <w:r>
        <w:t>RAN4 has discussed how to account for different SMTC configurations for inter-frequency measurements. For example, if two carriers have full non-overlapping SMTC, there is no need to scale the requirement for each carrier due to simultaneous measurement; if two carriers have partial overlapping SMTC (e.g. one with 40ms period and another with 80ms period), the scaling may be better than 2 since there are SMTC occasions that can be only used to measure one carrier (e.g. the one with 40ms period). The discussion has not been concluded for inter-frequency measurements, but we think the same solution RAN4 agrees for inter-frequency can also be re-used for intra-frequency with CA.</w:t>
      </w:r>
    </w:p>
    <w:p w14:paraId="3175AA41" w14:textId="77777777" w:rsidR="00754806" w:rsidRDefault="00EB7CA9" w:rsidP="00EB7CA9">
      <w:pPr>
        <w:pStyle w:val="RAN4proposal"/>
      </w:pPr>
      <w:bookmarkStart w:id="4" w:name="_Ref510687918"/>
      <w:r>
        <w:t>The intra-frequency measurement requirements for CA should be defined such that</w:t>
      </w:r>
      <w:bookmarkEnd w:id="4"/>
    </w:p>
    <w:p w14:paraId="0A114FCA" w14:textId="77777777" w:rsidR="00EB7CA9" w:rsidRPr="00EB7CA9" w:rsidRDefault="00EB7CA9" w:rsidP="00EB7CA9">
      <w:pPr>
        <w:pStyle w:val="ListParagraph"/>
        <w:numPr>
          <w:ilvl w:val="0"/>
          <w:numId w:val="16"/>
        </w:numPr>
        <w:spacing w:before="120" w:after="120"/>
        <w:rPr>
          <w:b/>
        </w:rPr>
      </w:pPr>
      <w:bookmarkStart w:id="5" w:name="_Hlk510687956"/>
      <w:r w:rsidRPr="00EB7CA9">
        <w:rPr>
          <w:b/>
        </w:rPr>
        <w:t>The measurement performance for carriers with PCell and PSCell (if configured) is not impacted due to measurement on carriers with SCells</w:t>
      </w:r>
    </w:p>
    <w:p w14:paraId="552EB97F" w14:textId="77777777" w:rsidR="00EB7CA9" w:rsidRPr="00EB7CA9" w:rsidRDefault="00EB7CA9" w:rsidP="00EB7CA9">
      <w:pPr>
        <w:pStyle w:val="ListParagraph"/>
        <w:numPr>
          <w:ilvl w:val="0"/>
          <w:numId w:val="16"/>
        </w:numPr>
        <w:spacing w:before="120" w:after="120"/>
        <w:rPr>
          <w:b/>
        </w:rPr>
      </w:pPr>
      <w:r w:rsidRPr="00EB7CA9">
        <w:rPr>
          <w:b/>
        </w:rPr>
        <w:t>The measurement performance for carriers with SCells may be scaled by a carrier-specific factor of K, where SMTC configuration on each serving carrier should be considered, and K is bounded to a maximum value K</w:t>
      </w:r>
      <w:r w:rsidRPr="00EB7CA9">
        <w:rPr>
          <w:b/>
          <w:vertAlign w:val="subscript"/>
        </w:rPr>
        <w:t>max</w:t>
      </w:r>
    </w:p>
    <w:bookmarkEnd w:id="5"/>
    <w:p w14:paraId="7C8F110E" w14:textId="77777777" w:rsidR="00B8745E" w:rsidRDefault="00B8745E" w:rsidP="00B8745E">
      <w:pPr>
        <w:pStyle w:val="Heading2"/>
      </w:pPr>
      <w:r>
        <w:t>2.2</w:t>
      </w:r>
      <w:r>
        <w:tab/>
      </w:r>
      <w:r w:rsidR="00EB7CA9">
        <w:t>Disabling of measurement for SC</w:t>
      </w:r>
      <w:r w:rsidR="007B1F78">
        <w:t>C</w:t>
      </w:r>
    </w:p>
    <w:p w14:paraId="178E30B6" w14:textId="77777777" w:rsidR="008803DD" w:rsidRDefault="008803DD" w:rsidP="00B8745E">
      <w:r>
        <w:t xml:space="preserve">RAN4 has agreed to support </w:t>
      </w:r>
      <w:r w:rsidR="00966D3C" w:rsidRPr="00966D3C">
        <w:t>enabling/disabling intra-frequency measurement on each NR SCell frequency layer</w:t>
      </w:r>
      <w:r w:rsidR="001A3E86">
        <w:t>, and sent the LS to RAN2 so that RAN2 can define the corresponding signaling. However, it seems the intention and the details of the request are not clear enough to RAN2, so there is incoming LS from RAN2 [1] with some questions for clarification. Below we provide our replies to the questions based on our understanding.</w:t>
      </w:r>
    </w:p>
    <w:p w14:paraId="44EF7BE0" w14:textId="77777777" w:rsidR="001A3E86" w:rsidRDefault="001A3E86" w:rsidP="001A3E86">
      <w:pPr>
        <w:pStyle w:val="Header"/>
        <w:tabs>
          <w:tab w:val="clear" w:pos="4153"/>
          <w:tab w:val="clear" w:pos="8306"/>
        </w:tabs>
        <w:rPr>
          <w:rFonts w:ascii="Arial" w:hAnsi="Arial" w:cs="Arial"/>
          <w:lang w:eastAsia="zh-CN"/>
        </w:rPr>
      </w:pPr>
      <w:bookmarkStart w:id="6" w:name="_Hlk510688355"/>
      <w:r w:rsidRPr="00B5599E">
        <w:rPr>
          <w:rFonts w:ascii="Arial" w:hAnsi="Arial" w:cs="Arial"/>
          <w:b/>
          <w:lang w:eastAsia="zh-CN"/>
        </w:rPr>
        <w:t>Question 1:</w:t>
      </w:r>
      <w:r>
        <w:rPr>
          <w:rFonts w:ascii="Arial" w:hAnsi="Arial" w:cs="Arial"/>
          <w:lang w:eastAsia="zh-CN"/>
        </w:rPr>
        <w:t xml:space="preserve"> </w:t>
      </w:r>
      <w:r>
        <w:rPr>
          <w:rFonts w:ascii="Arial" w:hAnsi="Arial" w:cs="Arial"/>
          <w:lang w:eastAsia="zh-CN"/>
        </w:rPr>
        <w:tab/>
        <w:t xml:space="preserve">What is the use case and benefit for this </w:t>
      </w:r>
      <w:r w:rsidRPr="0059043C">
        <w:rPr>
          <w:rFonts w:ascii="Arial" w:hAnsi="Arial" w:cs="Arial"/>
          <w:lang w:eastAsia="zh-CN"/>
        </w:rPr>
        <w:t>enabling/disabling intra-frequency measurement</w:t>
      </w:r>
      <w:r>
        <w:rPr>
          <w:rFonts w:ascii="Arial" w:hAnsi="Arial" w:cs="Arial"/>
          <w:lang w:eastAsia="zh-CN"/>
        </w:rPr>
        <w:t>?</w:t>
      </w:r>
    </w:p>
    <w:p w14:paraId="32701E56" w14:textId="77777777" w:rsidR="001A3E86" w:rsidRDefault="001A3E86" w:rsidP="001A3E86">
      <w:pPr>
        <w:pStyle w:val="Header"/>
        <w:tabs>
          <w:tab w:val="clear" w:pos="4153"/>
          <w:tab w:val="clear" w:pos="8306"/>
        </w:tabs>
        <w:rPr>
          <w:rFonts w:ascii="Arial" w:hAnsi="Arial" w:cs="Arial"/>
          <w:lang w:eastAsia="zh-CN"/>
        </w:rPr>
      </w:pPr>
      <w:r w:rsidRPr="000638FC">
        <w:rPr>
          <w:rFonts w:ascii="Arial" w:hAnsi="Arial" w:cs="Arial"/>
          <w:b/>
          <w:lang w:eastAsia="zh-CN"/>
        </w:rPr>
        <w:t>Answer:</w:t>
      </w:r>
      <w:r>
        <w:rPr>
          <w:rFonts w:ascii="Arial" w:hAnsi="Arial" w:cs="Arial"/>
          <w:lang w:eastAsia="zh-CN"/>
        </w:rPr>
        <w:t xml:space="preserve"> Enabling and disabling intra-frequency measurement on </w:t>
      </w:r>
      <w:r w:rsidRPr="001A3E86">
        <w:rPr>
          <w:rFonts w:ascii="Arial" w:hAnsi="Arial" w:cs="Arial"/>
          <w:lang w:eastAsia="zh-CN"/>
        </w:rPr>
        <w:t>SCell frequency layer</w:t>
      </w:r>
      <w:r>
        <w:rPr>
          <w:rFonts w:ascii="Arial" w:hAnsi="Arial" w:cs="Arial"/>
          <w:lang w:eastAsia="zh-CN"/>
        </w:rPr>
        <w:t xml:space="preserve"> is up to network decision. The typical use case is intra-band CA with co-located deployment, in which scenario the measurement results on the SCell frequency layers in the same band may be similar with each other. As measurement performance for NR SCell frequency layers can be dependent on the number of </w:t>
      </w:r>
      <w:r w:rsidRPr="001A3E86">
        <w:rPr>
          <w:rFonts w:ascii="Arial" w:hAnsi="Arial" w:cs="Arial"/>
          <w:lang w:eastAsia="zh-CN"/>
        </w:rPr>
        <w:t>SCell frequency layers</w:t>
      </w:r>
      <w:r>
        <w:rPr>
          <w:rFonts w:ascii="Arial" w:hAnsi="Arial" w:cs="Arial"/>
          <w:lang w:eastAsia="zh-CN"/>
        </w:rPr>
        <w:t xml:space="preserve"> being monitored, and intra-frequency measurement may cause scheduling unavailability in some cases, there may be benefit</w:t>
      </w:r>
      <w:r w:rsidR="000638FC">
        <w:rPr>
          <w:rFonts w:ascii="Arial" w:hAnsi="Arial" w:cs="Arial"/>
          <w:lang w:eastAsia="zh-CN"/>
        </w:rPr>
        <w:t>s</w:t>
      </w:r>
      <w:r>
        <w:rPr>
          <w:rFonts w:ascii="Arial" w:hAnsi="Arial" w:cs="Arial"/>
          <w:lang w:eastAsia="zh-CN"/>
        </w:rPr>
        <w:t xml:space="preserve"> to disable intra-frequency measurement </w:t>
      </w:r>
      <w:r w:rsidRPr="001A3E86">
        <w:rPr>
          <w:rFonts w:ascii="Arial" w:hAnsi="Arial" w:cs="Arial"/>
          <w:lang w:eastAsia="zh-CN"/>
        </w:rPr>
        <w:t>SCell frequency layers</w:t>
      </w:r>
      <w:r w:rsidR="000638FC">
        <w:rPr>
          <w:rFonts w:ascii="Arial" w:hAnsi="Arial" w:cs="Arial"/>
          <w:lang w:eastAsia="zh-CN"/>
        </w:rPr>
        <w:t xml:space="preserve"> per network decision.</w:t>
      </w:r>
    </w:p>
    <w:p w14:paraId="12489A8B" w14:textId="77777777" w:rsidR="001A3E86" w:rsidRDefault="001A3E86" w:rsidP="001A3E86">
      <w:pPr>
        <w:pStyle w:val="Header"/>
        <w:tabs>
          <w:tab w:val="clear" w:pos="4153"/>
          <w:tab w:val="clear" w:pos="8306"/>
        </w:tabs>
        <w:rPr>
          <w:rFonts w:ascii="Arial" w:hAnsi="Arial" w:cs="Arial"/>
          <w:lang w:eastAsia="zh-CN"/>
        </w:rPr>
      </w:pPr>
    </w:p>
    <w:p w14:paraId="065D7D0C" w14:textId="77777777" w:rsidR="001A3E86" w:rsidRDefault="001A3E86" w:rsidP="001A3E86">
      <w:pPr>
        <w:pStyle w:val="Header"/>
        <w:tabs>
          <w:tab w:val="clear" w:pos="4153"/>
          <w:tab w:val="clear" w:pos="8306"/>
        </w:tabs>
        <w:ind w:left="1440" w:hanging="1440"/>
        <w:rPr>
          <w:rFonts w:ascii="Arial" w:hAnsi="Arial" w:cs="Arial"/>
          <w:lang w:eastAsia="ja-JP"/>
        </w:rPr>
      </w:pPr>
      <w:r w:rsidRPr="00094AD4">
        <w:rPr>
          <w:rFonts w:ascii="Arial" w:hAnsi="Arial" w:cs="Arial" w:hint="eastAsia"/>
          <w:b/>
          <w:lang w:eastAsia="ja-JP"/>
        </w:rPr>
        <w:t xml:space="preserve">Question </w:t>
      </w:r>
      <w:r>
        <w:rPr>
          <w:rFonts w:ascii="Arial" w:hAnsi="Arial" w:cs="Arial"/>
          <w:b/>
          <w:lang w:eastAsia="ja-JP"/>
        </w:rPr>
        <w:t>2</w:t>
      </w:r>
      <w:r w:rsidRPr="00094AD4">
        <w:rPr>
          <w:rFonts w:ascii="Arial" w:hAnsi="Arial" w:cs="Arial" w:hint="eastAsia"/>
          <w:b/>
          <w:lang w:eastAsia="ja-JP"/>
        </w:rPr>
        <w:t>:</w:t>
      </w:r>
      <w:r>
        <w:rPr>
          <w:rFonts w:ascii="Arial" w:hAnsi="Arial" w:cs="Arial" w:hint="eastAsia"/>
          <w:lang w:eastAsia="ja-JP"/>
        </w:rPr>
        <w:tab/>
      </w:r>
      <w:r>
        <w:rPr>
          <w:rFonts w:ascii="Arial" w:hAnsi="Arial" w:cs="Arial"/>
          <w:lang w:eastAsia="ja-JP"/>
        </w:rPr>
        <w:t xml:space="preserve">Does the enabling/disabling intra-frequency measurement include both serving and neighbour cells? </w:t>
      </w:r>
    </w:p>
    <w:p w14:paraId="4B92F1D3" w14:textId="77777777" w:rsidR="000638FC" w:rsidRDefault="000638FC" w:rsidP="000638FC">
      <w:pPr>
        <w:pStyle w:val="Header"/>
        <w:tabs>
          <w:tab w:val="clear" w:pos="4153"/>
          <w:tab w:val="clear" w:pos="8306"/>
        </w:tabs>
        <w:rPr>
          <w:rFonts w:ascii="Arial" w:hAnsi="Arial" w:cs="Arial"/>
          <w:lang w:eastAsia="zh-CN"/>
        </w:rPr>
      </w:pPr>
      <w:r>
        <w:rPr>
          <w:rFonts w:ascii="Arial" w:hAnsi="Arial" w:cs="Arial"/>
          <w:b/>
          <w:lang w:eastAsia="zh-CN"/>
        </w:rPr>
        <w:lastRenderedPageBreak/>
        <w:t>Answer:</w:t>
      </w:r>
      <w:r w:rsidRPr="000638FC">
        <w:rPr>
          <w:rFonts w:ascii="Arial" w:hAnsi="Arial" w:cs="Arial"/>
          <w:b/>
          <w:lang w:eastAsia="zh-CN"/>
        </w:rPr>
        <w:t xml:space="preserve"> </w:t>
      </w:r>
      <w:r w:rsidRPr="000638FC">
        <w:rPr>
          <w:rFonts w:ascii="Arial" w:hAnsi="Arial" w:cs="Arial"/>
          <w:lang w:eastAsia="zh-CN"/>
        </w:rPr>
        <w:t>Yes.</w:t>
      </w:r>
    </w:p>
    <w:p w14:paraId="5F541BE5" w14:textId="77777777" w:rsidR="00990EBB" w:rsidRPr="000638FC" w:rsidRDefault="00990EBB" w:rsidP="000638FC">
      <w:pPr>
        <w:pStyle w:val="Header"/>
        <w:tabs>
          <w:tab w:val="clear" w:pos="4153"/>
          <w:tab w:val="clear" w:pos="8306"/>
        </w:tabs>
        <w:rPr>
          <w:rFonts w:ascii="Arial" w:hAnsi="Arial" w:cs="Arial"/>
          <w:lang w:eastAsia="zh-CN"/>
        </w:rPr>
      </w:pPr>
    </w:p>
    <w:p w14:paraId="38BEFDC7" w14:textId="77777777" w:rsidR="001A3E86" w:rsidRDefault="001A3E86" w:rsidP="000638FC">
      <w:pPr>
        <w:pStyle w:val="Header"/>
        <w:tabs>
          <w:tab w:val="clear" w:pos="4153"/>
          <w:tab w:val="clear" w:pos="8306"/>
        </w:tabs>
        <w:ind w:left="1440" w:hanging="1440"/>
        <w:rPr>
          <w:rFonts w:ascii="Arial" w:hAnsi="Arial" w:cs="Arial"/>
          <w:lang w:eastAsia="ja-JP"/>
        </w:rPr>
      </w:pPr>
      <w:r w:rsidRPr="00094AD4">
        <w:rPr>
          <w:rFonts w:ascii="Arial" w:hAnsi="Arial" w:cs="Arial" w:hint="eastAsia"/>
          <w:b/>
          <w:lang w:eastAsia="ja-JP"/>
        </w:rPr>
        <w:t xml:space="preserve">Question </w:t>
      </w:r>
      <w:r>
        <w:rPr>
          <w:rFonts w:ascii="Arial" w:hAnsi="Arial" w:cs="Arial"/>
          <w:b/>
          <w:lang w:eastAsia="ja-JP"/>
        </w:rPr>
        <w:t>3</w:t>
      </w:r>
      <w:r w:rsidRPr="00094AD4">
        <w:rPr>
          <w:rFonts w:ascii="Arial" w:hAnsi="Arial" w:cs="Arial" w:hint="eastAsia"/>
          <w:b/>
          <w:lang w:eastAsia="ja-JP"/>
        </w:rPr>
        <w:t>:</w:t>
      </w:r>
      <w:r>
        <w:rPr>
          <w:rFonts w:ascii="Arial" w:hAnsi="Arial" w:cs="Arial" w:hint="eastAsia"/>
          <w:lang w:eastAsia="ja-JP"/>
        </w:rPr>
        <w:tab/>
        <w:t xml:space="preserve">If the </w:t>
      </w:r>
      <w:r>
        <w:rPr>
          <w:rFonts w:ascii="Arial" w:hAnsi="Arial" w:cs="Arial"/>
          <w:lang w:eastAsia="ja-JP"/>
        </w:rPr>
        <w:t>measurement</w:t>
      </w:r>
      <w:r>
        <w:rPr>
          <w:rFonts w:ascii="Arial" w:hAnsi="Arial" w:cs="Arial" w:hint="eastAsia"/>
          <w:lang w:eastAsia="ja-JP"/>
        </w:rPr>
        <w:t xml:space="preserve"> </w:t>
      </w:r>
      <w:r>
        <w:rPr>
          <w:rFonts w:ascii="Arial" w:hAnsi="Arial" w:cs="Arial"/>
          <w:lang w:eastAsia="ja-JP"/>
        </w:rPr>
        <w:t>on the serving cell is disabled by the network, does the UE disable L3 measurement only or does the UE disable L1/L2 measurements as well as L3?</w:t>
      </w:r>
    </w:p>
    <w:p w14:paraId="121A901D" w14:textId="77777777" w:rsidR="000638FC" w:rsidRPr="000638FC" w:rsidRDefault="000638FC" w:rsidP="000638FC">
      <w:pPr>
        <w:pStyle w:val="Header"/>
        <w:tabs>
          <w:tab w:val="clear" w:pos="4153"/>
          <w:tab w:val="clear" w:pos="8306"/>
        </w:tabs>
        <w:rPr>
          <w:rFonts w:ascii="Arial" w:hAnsi="Arial" w:cs="Arial"/>
          <w:b/>
          <w:lang w:eastAsia="zh-CN"/>
        </w:rPr>
      </w:pPr>
      <w:r>
        <w:rPr>
          <w:rFonts w:ascii="Arial" w:hAnsi="Arial" w:cs="Arial"/>
          <w:b/>
          <w:lang w:eastAsia="zh-CN"/>
        </w:rPr>
        <w:t>Answer:</w:t>
      </w:r>
      <w:r w:rsidRPr="000638FC">
        <w:rPr>
          <w:rFonts w:ascii="Arial" w:hAnsi="Arial" w:cs="Arial"/>
          <w:b/>
          <w:lang w:eastAsia="zh-CN"/>
        </w:rPr>
        <w:t xml:space="preserve"> </w:t>
      </w:r>
      <w:r w:rsidRPr="000638FC">
        <w:rPr>
          <w:rFonts w:ascii="Arial" w:hAnsi="Arial" w:cs="Arial" w:hint="eastAsia"/>
          <w:lang w:eastAsia="zh-CN"/>
        </w:rPr>
        <w:t xml:space="preserve">If the </w:t>
      </w:r>
      <w:r w:rsidRPr="000638FC">
        <w:rPr>
          <w:rFonts w:ascii="Arial" w:hAnsi="Arial" w:cs="Arial"/>
          <w:lang w:eastAsia="zh-CN"/>
        </w:rPr>
        <w:t>measurement</w:t>
      </w:r>
      <w:r w:rsidRPr="000638FC">
        <w:rPr>
          <w:rFonts w:ascii="Arial" w:hAnsi="Arial" w:cs="Arial" w:hint="eastAsia"/>
          <w:lang w:eastAsia="zh-CN"/>
        </w:rPr>
        <w:t xml:space="preserve"> </w:t>
      </w:r>
      <w:r w:rsidRPr="000638FC">
        <w:rPr>
          <w:rFonts w:ascii="Arial" w:hAnsi="Arial" w:cs="Arial"/>
          <w:lang w:eastAsia="zh-CN"/>
        </w:rPr>
        <w:t>on the serving cell is disabled by the network, UE disable</w:t>
      </w:r>
      <w:r w:rsidR="007B1F78">
        <w:rPr>
          <w:rFonts w:ascii="Arial" w:hAnsi="Arial" w:cs="Arial"/>
          <w:lang w:eastAsia="zh-CN"/>
        </w:rPr>
        <w:t>s</w:t>
      </w:r>
      <w:r w:rsidRPr="000638FC">
        <w:rPr>
          <w:rFonts w:ascii="Arial" w:hAnsi="Arial" w:cs="Arial"/>
          <w:lang w:eastAsia="zh-CN"/>
        </w:rPr>
        <w:t xml:space="preserve"> L3 measurement only.</w:t>
      </w:r>
    </w:p>
    <w:bookmarkEnd w:id="6"/>
    <w:p w14:paraId="201773B1" w14:textId="77777777" w:rsidR="000638FC" w:rsidRPr="000638FC" w:rsidRDefault="000638FC" w:rsidP="000638FC">
      <w:pPr>
        <w:pStyle w:val="Header"/>
        <w:tabs>
          <w:tab w:val="clear" w:pos="4153"/>
          <w:tab w:val="clear" w:pos="8306"/>
        </w:tabs>
        <w:ind w:left="1440" w:hanging="1440"/>
        <w:rPr>
          <w:rFonts w:ascii="Arial" w:hAnsi="Arial" w:cs="Arial"/>
          <w:lang w:eastAsia="ja-JP"/>
        </w:rPr>
      </w:pPr>
    </w:p>
    <w:p w14:paraId="3EBE07E5" w14:textId="77777777" w:rsidR="00EC4487" w:rsidRPr="007B1F78" w:rsidRDefault="007B1F78" w:rsidP="007B1F78">
      <w:pPr>
        <w:pStyle w:val="RAN4proposal"/>
      </w:pPr>
      <w:bookmarkStart w:id="7" w:name="_Ref510531592"/>
      <w:r>
        <w:t>Consider our draft answers in the reply LS to RAN2 on d</w:t>
      </w:r>
      <w:r w:rsidRPr="007B1F78">
        <w:t>isabling of measurement for SCC</w:t>
      </w:r>
      <w:r w:rsidR="000B0B3C">
        <w:t>.</w:t>
      </w:r>
      <w:bookmarkEnd w:id="7"/>
    </w:p>
    <w:p w14:paraId="1B41B7AE" w14:textId="77777777" w:rsidR="00CD7492" w:rsidRDefault="00CD7492" w:rsidP="0008612A">
      <w:pPr>
        <w:pStyle w:val="RAN4H1"/>
      </w:pPr>
      <w:r>
        <w:t>3</w:t>
      </w:r>
      <w:r>
        <w:tab/>
        <w:t>Conclusion</w:t>
      </w:r>
    </w:p>
    <w:p w14:paraId="43305FBC" w14:textId="77777777" w:rsidR="00516134" w:rsidRDefault="00516134" w:rsidP="00516134">
      <w:r w:rsidRPr="00516134">
        <w:t xml:space="preserve">In </w:t>
      </w:r>
      <w:r>
        <w:t xml:space="preserve">this paper we provided </w:t>
      </w:r>
      <w:r w:rsidR="000B0B3C">
        <w:t xml:space="preserve">our </w:t>
      </w:r>
      <w:r>
        <w:t xml:space="preserve">views on </w:t>
      </w:r>
      <w:r w:rsidR="000B0B3C">
        <w:t xml:space="preserve">the remaining open issues for </w:t>
      </w:r>
      <w:r w:rsidR="00D14F6E">
        <w:t xml:space="preserve">intra-frequency measurement </w:t>
      </w:r>
      <w:r w:rsidR="00E57EFE">
        <w:t>requirements</w:t>
      </w:r>
      <w:r w:rsidRPr="00516134">
        <w:t>.</w:t>
      </w:r>
    </w:p>
    <w:p w14:paraId="31D57AC0" w14:textId="77777777" w:rsidR="00E57EFE" w:rsidRPr="00E57EFE" w:rsidRDefault="00E57EFE" w:rsidP="00516134">
      <w:pPr>
        <w:rPr>
          <w:b/>
        </w:rPr>
      </w:pPr>
      <w:r w:rsidRPr="00E57EFE">
        <w:rPr>
          <w:b/>
        </w:rPr>
        <w:fldChar w:fldCharType="begin"/>
      </w:r>
      <w:r w:rsidRPr="00E57EFE">
        <w:rPr>
          <w:b/>
        </w:rPr>
        <w:instrText xml:space="preserve"> REF _Ref510687918 \n \h </w:instrText>
      </w:r>
      <w:r>
        <w:rPr>
          <w:b/>
        </w:rPr>
        <w:instrText xml:space="preserve"> \* MERGEFORMAT </w:instrText>
      </w:r>
      <w:r w:rsidRPr="00E57EFE">
        <w:rPr>
          <w:b/>
        </w:rPr>
      </w:r>
      <w:r w:rsidRPr="00E57EFE">
        <w:rPr>
          <w:b/>
        </w:rPr>
        <w:fldChar w:fldCharType="separate"/>
      </w:r>
      <w:r w:rsidRPr="00E57EFE">
        <w:rPr>
          <w:b/>
        </w:rPr>
        <w:t>Proposal 1:</w:t>
      </w:r>
      <w:r w:rsidRPr="00E57EFE">
        <w:rPr>
          <w:b/>
        </w:rPr>
        <w:fldChar w:fldCharType="end"/>
      </w:r>
      <w:r w:rsidRPr="00E57EFE">
        <w:rPr>
          <w:b/>
        </w:rPr>
        <w:t xml:space="preserve"> </w:t>
      </w:r>
      <w:r w:rsidRPr="00E57EFE">
        <w:rPr>
          <w:b/>
        </w:rPr>
        <w:fldChar w:fldCharType="begin"/>
      </w:r>
      <w:r w:rsidRPr="00E57EFE">
        <w:rPr>
          <w:b/>
        </w:rPr>
        <w:instrText xml:space="preserve"> REF _Ref510687918 \h </w:instrText>
      </w:r>
      <w:r>
        <w:rPr>
          <w:b/>
        </w:rPr>
        <w:instrText xml:space="preserve"> \* MERGEFORMAT </w:instrText>
      </w:r>
      <w:r w:rsidRPr="00E57EFE">
        <w:rPr>
          <w:b/>
        </w:rPr>
      </w:r>
      <w:r w:rsidRPr="00E57EFE">
        <w:rPr>
          <w:b/>
        </w:rPr>
        <w:fldChar w:fldCharType="separate"/>
      </w:r>
      <w:r w:rsidRPr="00E57EFE">
        <w:rPr>
          <w:b/>
        </w:rPr>
        <w:t>The intra-frequency measurement requirements for CA should be defined such that</w:t>
      </w:r>
      <w:r w:rsidRPr="00E57EFE">
        <w:rPr>
          <w:b/>
        </w:rPr>
        <w:fldChar w:fldCharType="end"/>
      </w:r>
    </w:p>
    <w:p w14:paraId="65D2EE37" w14:textId="77777777" w:rsidR="00E57EFE" w:rsidRPr="00EB7CA9" w:rsidRDefault="00E57EFE" w:rsidP="00E57EFE">
      <w:pPr>
        <w:pStyle w:val="ListParagraph"/>
        <w:numPr>
          <w:ilvl w:val="0"/>
          <w:numId w:val="16"/>
        </w:numPr>
        <w:spacing w:before="120" w:after="120"/>
        <w:rPr>
          <w:b/>
        </w:rPr>
      </w:pPr>
      <w:r w:rsidRPr="00EB7CA9">
        <w:rPr>
          <w:b/>
        </w:rPr>
        <w:t>The measurement performance for carriers with PCell and PSCell (if configured) is not impacted due to measurement on carriers with SCells</w:t>
      </w:r>
    </w:p>
    <w:p w14:paraId="6809A558" w14:textId="77777777" w:rsidR="00E57EFE" w:rsidRPr="00E57EFE" w:rsidRDefault="00E57EFE" w:rsidP="00516134">
      <w:pPr>
        <w:pStyle w:val="ListParagraph"/>
        <w:numPr>
          <w:ilvl w:val="0"/>
          <w:numId w:val="16"/>
        </w:numPr>
        <w:spacing w:before="120" w:after="120"/>
        <w:rPr>
          <w:b/>
          <w:vertAlign w:val="subscript"/>
        </w:rPr>
      </w:pPr>
      <w:r w:rsidRPr="00EB7CA9">
        <w:rPr>
          <w:b/>
        </w:rPr>
        <w:t>The measurement performance for carriers with SCells may be scaled by a carrier-specific factor of K, where SMTC configuration on each serving carrier should be considered, and K is bounded to a maximum value K</w:t>
      </w:r>
      <w:r w:rsidRPr="00EB7CA9">
        <w:rPr>
          <w:b/>
          <w:vertAlign w:val="subscript"/>
        </w:rPr>
        <w:t>max</w:t>
      </w:r>
    </w:p>
    <w:p w14:paraId="55191A5A" w14:textId="77777777" w:rsidR="00D14F6E" w:rsidRPr="00E57EFE" w:rsidRDefault="00E57EFE" w:rsidP="00516134">
      <w:pPr>
        <w:rPr>
          <w:b/>
        </w:rPr>
      </w:pPr>
      <w:r w:rsidRPr="00E57EFE">
        <w:rPr>
          <w:b/>
        </w:rPr>
        <w:fldChar w:fldCharType="begin"/>
      </w:r>
      <w:r w:rsidRPr="00E57EFE">
        <w:rPr>
          <w:b/>
        </w:rPr>
        <w:instrText xml:space="preserve"> REF _Ref510531592 \n \h </w:instrText>
      </w:r>
      <w:r>
        <w:rPr>
          <w:b/>
        </w:rPr>
        <w:instrText xml:space="preserve"> \* MERGEFORMAT </w:instrText>
      </w:r>
      <w:r w:rsidRPr="00E57EFE">
        <w:rPr>
          <w:b/>
        </w:rPr>
      </w:r>
      <w:r w:rsidRPr="00E57EFE">
        <w:rPr>
          <w:b/>
        </w:rPr>
        <w:fldChar w:fldCharType="separate"/>
      </w:r>
      <w:r w:rsidRPr="00E57EFE">
        <w:rPr>
          <w:b/>
        </w:rPr>
        <w:t>Proposal 2:</w:t>
      </w:r>
      <w:r w:rsidRPr="00E57EFE">
        <w:rPr>
          <w:b/>
        </w:rPr>
        <w:fldChar w:fldCharType="end"/>
      </w:r>
      <w:r w:rsidRPr="00E57EFE">
        <w:rPr>
          <w:b/>
        </w:rPr>
        <w:t xml:space="preserve"> </w:t>
      </w:r>
      <w:r w:rsidRPr="00E57EFE">
        <w:rPr>
          <w:b/>
        </w:rPr>
        <w:fldChar w:fldCharType="begin"/>
      </w:r>
      <w:r w:rsidRPr="00E57EFE">
        <w:rPr>
          <w:b/>
        </w:rPr>
        <w:instrText xml:space="preserve"> REF _Ref510531592 \h </w:instrText>
      </w:r>
      <w:r>
        <w:rPr>
          <w:b/>
        </w:rPr>
        <w:instrText xml:space="preserve"> \* MERGEFORMAT </w:instrText>
      </w:r>
      <w:r w:rsidRPr="00E57EFE">
        <w:rPr>
          <w:b/>
        </w:rPr>
      </w:r>
      <w:r w:rsidRPr="00E57EFE">
        <w:rPr>
          <w:b/>
        </w:rPr>
        <w:fldChar w:fldCharType="separate"/>
      </w:r>
      <w:r w:rsidRPr="00E57EFE">
        <w:rPr>
          <w:b/>
        </w:rPr>
        <w:t>Consider our draft answers in the reply LS to RAN2 on disabling of measurement for SCC.</w:t>
      </w:r>
      <w:r w:rsidRPr="00E57EFE">
        <w:rPr>
          <w:b/>
        </w:rPr>
        <w:fldChar w:fldCharType="end"/>
      </w:r>
    </w:p>
    <w:p w14:paraId="3F14D26D" w14:textId="77777777" w:rsidR="00504EE9" w:rsidRPr="00863688" w:rsidRDefault="003B659E" w:rsidP="00863688">
      <w:pPr>
        <w:pStyle w:val="RAN4H1"/>
      </w:pPr>
      <w:r w:rsidRPr="0095295C">
        <w:t>References</w:t>
      </w:r>
    </w:p>
    <w:p w14:paraId="1CD9705F" w14:textId="77777777" w:rsidR="00863688" w:rsidRDefault="00D46252" w:rsidP="00D46252">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D46252">
        <w:rPr>
          <w:rFonts w:eastAsia="Times New Roman" w:cs="Times New Roman"/>
          <w:szCs w:val="20"/>
          <w:lang w:val="en-GB"/>
        </w:rPr>
        <w:t>R2-1804097</w:t>
      </w:r>
      <w:r w:rsidR="00863688">
        <w:rPr>
          <w:rFonts w:eastAsia="Times New Roman" w:cs="Times New Roman"/>
          <w:szCs w:val="20"/>
          <w:lang w:val="en-GB"/>
        </w:rPr>
        <w:t>,</w:t>
      </w:r>
      <w:r w:rsidR="00863688" w:rsidRPr="00863688">
        <w:rPr>
          <w:rFonts w:eastAsia="Times New Roman" w:cs="Times New Roman"/>
          <w:szCs w:val="20"/>
          <w:lang w:val="en-GB"/>
        </w:rPr>
        <w:tab/>
      </w:r>
      <w:r w:rsidRPr="00D46252">
        <w:rPr>
          <w:rFonts w:eastAsia="Times New Roman" w:cs="Times New Roman"/>
          <w:szCs w:val="20"/>
          <w:lang w:val="en-GB"/>
        </w:rPr>
        <w:t>Reply LS on intra-frequency measurement on NR SCell</w:t>
      </w:r>
      <w:r w:rsidR="00863688">
        <w:rPr>
          <w:rFonts w:eastAsia="Times New Roman" w:cs="Times New Roman"/>
          <w:szCs w:val="20"/>
          <w:lang w:val="en-GB"/>
        </w:rPr>
        <w:t xml:space="preserve">, </w:t>
      </w:r>
      <w:r>
        <w:rPr>
          <w:rFonts w:eastAsia="Times New Roman" w:cs="Times New Roman"/>
          <w:szCs w:val="20"/>
          <w:lang w:val="en-GB"/>
        </w:rPr>
        <w:t>RAN2</w:t>
      </w:r>
    </w:p>
    <w:p w14:paraId="5CB8BF02" w14:textId="77777777"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7AD608" w14:textId="77777777" w:rsidR="001B2570" w:rsidRDefault="001B2570" w:rsidP="00001C9B">
      <w:pPr>
        <w:spacing w:after="0" w:line="240" w:lineRule="auto"/>
      </w:pPr>
      <w:r>
        <w:separator/>
      </w:r>
    </w:p>
  </w:endnote>
  <w:endnote w:type="continuationSeparator" w:id="0">
    <w:p w14:paraId="6B996B50" w14:textId="77777777" w:rsidR="001B2570" w:rsidRDefault="001B2570"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B22D9F" w14:textId="77777777" w:rsidR="001B2570" w:rsidRDefault="001B2570" w:rsidP="00001C9B">
      <w:pPr>
        <w:spacing w:after="0" w:line="240" w:lineRule="auto"/>
      </w:pPr>
      <w:r>
        <w:separator/>
      </w:r>
    </w:p>
  </w:footnote>
  <w:footnote w:type="continuationSeparator" w:id="0">
    <w:p w14:paraId="2E36BA96" w14:textId="77777777" w:rsidR="001B2570" w:rsidRDefault="001B2570"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DFD5FB4"/>
    <w:multiLevelType w:val="hybridMultilevel"/>
    <w:tmpl w:val="87C8778A"/>
    <w:lvl w:ilvl="0" w:tplc="4EFA28BC">
      <w:start w:val="1"/>
      <w:numFmt w:val="bullet"/>
      <w:lvlText w:val="•"/>
      <w:lvlJc w:val="left"/>
      <w:pPr>
        <w:tabs>
          <w:tab w:val="num" w:pos="720"/>
        </w:tabs>
        <w:ind w:left="720" w:hanging="360"/>
      </w:pPr>
      <w:rPr>
        <w:rFonts w:ascii="Arial" w:hAnsi="Arial" w:hint="default"/>
      </w:rPr>
    </w:lvl>
    <w:lvl w:ilvl="1" w:tplc="0D4A49EC" w:tentative="1">
      <w:start w:val="1"/>
      <w:numFmt w:val="bullet"/>
      <w:lvlText w:val="•"/>
      <w:lvlJc w:val="left"/>
      <w:pPr>
        <w:tabs>
          <w:tab w:val="num" w:pos="1440"/>
        </w:tabs>
        <w:ind w:left="1440" w:hanging="360"/>
      </w:pPr>
      <w:rPr>
        <w:rFonts w:ascii="Arial" w:hAnsi="Arial" w:hint="default"/>
      </w:rPr>
    </w:lvl>
    <w:lvl w:ilvl="2" w:tplc="55668FBA" w:tentative="1">
      <w:start w:val="1"/>
      <w:numFmt w:val="bullet"/>
      <w:lvlText w:val="•"/>
      <w:lvlJc w:val="left"/>
      <w:pPr>
        <w:tabs>
          <w:tab w:val="num" w:pos="2160"/>
        </w:tabs>
        <w:ind w:left="2160" w:hanging="360"/>
      </w:pPr>
      <w:rPr>
        <w:rFonts w:ascii="Arial" w:hAnsi="Arial" w:hint="default"/>
      </w:rPr>
    </w:lvl>
    <w:lvl w:ilvl="3" w:tplc="724E9F26" w:tentative="1">
      <w:start w:val="1"/>
      <w:numFmt w:val="bullet"/>
      <w:lvlText w:val="•"/>
      <w:lvlJc w:val="left"/>
      <w:pPr>
        <w:tabs>
          <w:tab w:val="num" w:pos="2880"/>
        </w:tabs>
        <w:ind w:left="2880" w:hanging="360"/>
      </w:pPr>
      <w:rPr>
        <w:rFonts w:ascii="Arial" w:hAnsi="Arial" w:hint="default"/>
      </w:rPr>
    </w:lvl>
    <w:lvl w:ilvl="4" w:tplc="03DC5EA4" w:tentative="1">
      <w:start w:val="1"/>
      <w:numFmt w:val="bullet"/>
      <w:lvlText w:val="•"/>
      <w:lvlJc w:val="left"/>
      <w:pPr>
        <w:tabs>
          <w:tab w:val="num" w:pos="3600"/>
        </w:tabs>
        <w:ind w:left="3600" w:hanging="360"/>
      </w:pPr>
      <w:rPr>
        <w:rFonts w:ascii="Arial" w:hAnsi="Arial" w:hint="default"/>
      </w:rPr>
    </w:lvl>
    <w:lvl w:ilvl="5" w:tplc="445C03A2" w:tentative="1">
      <w:start w:val="1"/>
      <w:numFmt w:val="bullet"/>
      <w:lvlText w:val="•"/>
      <w:lvlJc w:val="left"/>
      <w:pPr>
        <w:tabs>
          <w:tab w:val="num" w:pos="4320"/>
        </w:tabs>
        <w:ind w:left="4320" w:hanging="360"/>
      </w:pPr>
      <w:rPr>
        <w:rFonts w:ascii="Arial" w:hAnsi="Arial" w:hint="default"/>
      </w:rPr>
    </w:lvl>
    <w:lvl w:ilvl="6" w:tplc="D430BCFE" w:tentative="1">
      <w:start w:val="1"/>
      <w:numFmt w:val="bullet"/>
      <w:lvlText w:val="•"/>
      <w:lvlJc w:val="left"/>
      <w:pPr>
        <w:tabs>
          <w:tab w:val="num" w:pos="5040"/>
        </w:tabs>
        <w:ind w:left="5040" w:hanging="360"/>
      </w:pPr>
      <w:rPr>
        <w:rFonts w:ascii="Arial" w:hAnsi="Arial" w:hint="default"/>
      </w:rPr>
    </w:lvl>
    <w:lvl w:ilvl="7" w:tplc="07221A96" w:tentative="1">
      <w:start w:val="1"/>
      <w:numFmt w:val="bullet"/>
      <w:lvlText w:val="•"/>
      <w:lvlJc w:val="left"/>
      <w:pPr>
        <w:tabs>
          <w:tab w:val="num" w:pos="5760"/>
        </w:tabs>
        <w:ind w:left="5760" w:hanging="360"/>
      </w:pPr>
      <w:rPr>
        <w:rFonts w:ascii="Arial" w:hAnsi="Arial" w:hint="default"/>
      </w:rPr>
    </w:lvl>
    <w:lvl w:ilvl="8" w:tplc="4118C63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597658D"/>
    <w:multiLevelType w:val="hybridMultilevel"/>
    <w:tmpl w:val="E00E0774"/>
    <w:lvl w:ilvl="0" w:tplc="0820FEC2">
      <w:start w:val="1750"/>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46B43B9D"/>
    <w:multiLevelType w:val="hybridMultilevel"/>
    <w:tmpl w:val="15B63212"/>
    <w:lvl w:ilvl="0" w:tplc="CFB4D774">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2385597"/>
    <w:multiLevelType w:val="hybridMultilevel"/>
    <w:tmpl w:val="8CECDBA6"/>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 w:numId="2">
    <w:abstractNumId w:val="3"/>
  </w:num>
  <w:num w:numId="3">
    <w:abstractNumId w:val="8"/>
  </w:num>
  <w:num w:numId="4">
    <w:abstractNumId w:val="2"/>
  </w:num>
  <w:num w:numId="5">
    <w:abstractNumId w:val="10"/>
  </w:num>
  <w:num w:numId="6">
    <w:abstractNumId w:val="6"/>
  </w:num>
  <w:num w:numId="7">
    <w:abstractNumId w:val="7"/>
  </w:num>
  <w:num w:numId="8">
    <w:abstractNumId w:val="7"/>
    <w:lvlOverride w:ilvl="0">
      <w:startOverride w:val="1"/>
    </w:lvlOverride>
  </w:num>
  <w:num w:numId="9">
    <w:abstractNumId w:val="7"/>
    <w:lvlOverride w:ilvl="0">
      <w:startOverride w:val="1"/>
    </w:lvlOverride>
  </w:num>
  <w:num w:numId="10">
    <w:abstractNumId w:val="7"/>
    <w:lvlOverride w:ilvl="0">
      <w:startOverride w:val="1"/>
    </w:lvlOverride>
  </w:num>
  <w:num w:numId="11">
    <w:abstractNumId w:val="6"/>
    <w:lvlOverride w:ilvl="0">
      <w:startOverride w:val="1"/>
    </w:lvlOverride>
  </w:num>
  <w:num w:numId="12">
    <w:abstractNumId w:val="7"/>
    <w:lvlOverride w:ilvl="0">
      <w:startOverride w:val="1"/>
    </w:lvlOverride>
  </w:num>
  <w:num w:numId="13">
    <w:abstractNumId w:val="6"/>
    <w:lvlOverride w:ilvl="0">
      <w:startOverride w:val="1"/>
    </w:lvlOverride>
  </w:num>
  <w:num w:numId="14">
    <w:abstractNumId w:val="7"/>
    <w:lvlOverride w:ilvl="0">
      <w:startOverride w:val="1"/>
    </w:lvlOverride>
  </w:num>
  <w:num w:numId="15">
    <w:abstractNumId w:val="5"/>
  </w:num>
  <w:num w:numId="16">
    <w:abstractNumId w:val="4"/>
  </w:num>
  <w:num w:numId="17">
    <w:abstractNumId w:val="1"/>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9"/>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638FC"/>
    <w:rsid w:val="0008612A"/>
    <w:rsid w:val="000B0B3C"/>
    <w:rsid w:val="000B5D48"/>
    <w:rsid w:val="00111007"/>
    <w:rsid w:val="00126209"/>
    <w:rsid w:val="00126F92"/>
    <w:rsid w:val="001838CF"/>
    <w:rsid w:val="001A3E86"/>
    <w:rsid w:val="001B2570"/>
    <w:rsid w:val="001E30F6"/>
    <w:rsid w:val="0020767F"/>
    <w:rsid w:val="00217F42"/>
    <w:rsid w:val="00235F5C"/>
    <w:rsid w:val="0026143C"/>
    <w:rsid w:val="00264ED1"/>
    <w:rsid w:val="002743D8"/>
    <w:rsid w:val="00276566"/>
    <w:rsid w:val="002A1A18"/>
    <w:rsid w:val="002A5895"/>
    <w:rsid w:val="002B4922"/>
    <w:rsid w:val="002C2D19"/>
    <w:rsid w:val="002C5B1F"/>
    <w:rsid w:val="002D10FA"/>
    <w:rsid w:val="002D4C55"/>
    <w:rsid w:val="002E1E7D"/>
    <w:rsid w:val="003047CD"/>
    <w:rsid w:val="0031665B"/>
    <w:rsid w:val="00382B57"/>
    <w:rsid w:val="00393801"/>
    <w:rsid w:val="003B659E"/>
    <w:rsid w:val="003D7537"/>
    <w:rsid w:val="00415270"/>
    <w:rsid w:val="00423B88"/>
    <w:rsid w:val="0043750A"/>
    <w:rsid w:val="0044294F"/>
    <w:rsid w:val="004429BB"/>
    <w:rsid w:val="00453032"/>
    <w:rsid w:val="004931BC"/>
    <w:rsid w:val="004A69FC"/>
    <w:rsid w:val="004C2AAA"/>
    <w:rsid w:val="004E5E66"/>
    <w:rsid w:val="004F6F44"/>
    <w:rsid w:val="00503B4D"/>
    <w:rsid w:val="00504EE9"/>
    <w:rsid w:val="0050650D"/>
    <w:rsid w:val="00516134"/>
    <w:rsid w:val="0054442C"/>
    <w:rsid w:val="00550285"/>
    <w:rsid w:val="005836F8"/>
    <w:rsid w:val="005D1BB6"/>
    <w:rsid w:val="005E61A8"/>
    <w:rsid w:val="005F6419"/>
    <w:rsid w:val="00617400"/>
    <w:rsid w:val="00654C4F"/>
    <w:rsid w:val="00660508"/>
    <w:rsid w:val="00664950"/>
    <w:rsid w:val="00683220"/>
    <w:rsid w:val="00687FA0"/>
    <w:rsid w:val="006B7010"/>
    <w:rsid w:val="007145FF"/>
    <w:rsid w:val="00751515"/>
    <w:rsid w:val="00751843"/>
    <w:rsid w:val="00754806"/>
    <w:rsid w:val="00760B82"/>
    <w:rsid w:val="00764018"/>
    <w:rsid w:val="00785232"/>
    <w:rsid w:val="00794085"/>
    <w:rsid w:val="007A025E"/>
    <w:rsid w:val="007B1F78"/>
    <w:rsid w:val="007C3ED0"/>
    <w:rsid w:val="00806A76"/>
    <w:rsid w:val="00810DF1"/>
    <w:rsid w:val="00811C9D"/>
    <w:rsid w:val="00816C80"/>
    <w:rsid w:val="00824B92"/>
    <w:rsid w:val="00841BCD"/>
    <w:rsid w:val="00863688"/>
    <w:rsid w:val="008650F3"/>
    <w:rsid w:val="008803DD"/>
    <w:rsid w:val="00881DDF"/>
    <w:rsid w:val="008826C1"/>
    <w:rsid w:val="008E7FE2"/>
    <w:rsid w:val="009042BD"/>
    <w:rsid w:val="00911751"/>
    <w:rsid w:val="009167B7"/>
    <w:rsid w:val="009352CA"/>
    <w:rsid w:val="00942F2D"/>
    <w:rsid w:val="00966D3C"/>
    <w:rsid w:val="00977E1D"/>
    <w:rsid w:val="00990EBB"/>
    <w:rsid w:val="00996CD4"/>
    <w:rsid w:val="009C7A4B"/>
    <w:rsid w:val="009E13F7"/>
    <w:rsid w:val="00A147DB"/>
    <w:rsid w:val="00A22B78"/>
    <w:rsid w:val="00A25AE5"/>
    <w:rsid w:val="00A31A22"/>
    <w:rsid w:val="00A36853"/>
    <w:rsid w:val="00AA1B0E"/>
    <w:rsid w:val="00AA7844"/>
    <w:rsid w:val="00AC5CA7"/>
    <w:rsid w:val="00AD5F1A"/>
    <w:rsid w:val="00B32E4D"/>
    <w:rsid w:val="00B71526"/>
    <w:rsid w:val="00B8632F"/>
    <w:rsid w:val="00B8745E"/>
    <w:rsid w:val="00BA6E48"/>
    <w:rsid w:val="00BB7D4E"/>
    <w:rsid w:val="00BF2218"/>
    <w:rsid w:val="00C73A63"/>
    <w:rsid w:val="00C86ACA"/>
    <w:rsid w:val="00CA3CAC"/>
    <w:rsid w:val="00CD7492"/>
    <w:rsid w:val="00CE3A6B"/>
    <w:rsid w:val="00CF2076"/>
    <w:rsid w:val="00D00211"/>
    <w:rsid w:val="00D05142"/>
    <w:rsid w:val="00D06309"/>
    <w:rsid w:val="00D14F6E"/>
    <w:rsid w:val="00D351EA"/>
    <w:rsid w:val="00D43403"/>
    <w:rsid w:val="00D45A9D"/>
    <w:rsid w:val="00D46252"/>
    <w:rsid w:val="00D61A3A"/>
    <w:rsid w:val="00D62E71"/>
    <w:rsid w:val="00D719C8"/>
    <w:rsid w:val="00D740CA"/>
    <w:rsid w:val="00D85728"/>
    <w:rsid w:val="00D869EB"/>
    <w:rsid w:val="00D9178E"/>
    <w:rsid w:val="00DC2AA3"/>
    <w:rsid w:val="00DE205F"/>
    <w:rsid w:val="00DE59B9"/>
    <w:rsid w:val="00DF2997"/>
    <w:rsid w:val="00E01E0D"/>
    <w:rsid w:val="00E01E55"/>
    <w:rsid w:val="00E13AB4"/>
    <w:rsid w:val="00E44A36"/>
    <w:rsid w:val="00E57EFE"/>
    <w:rsid w:val="00E92C17"/>
    <w:rsid w:val="00E962F8"/>
    <w:rsid w:val="00EB7CA9"/>
    <w:rsid w:val="00EC4487"/>
    <w:rsid w:val="00EC7BC3"/>
    <w:rsid w:val="00ED7600"/>
    <w:rsid w:val="00F1362C"/>
    <w:rsid w:val="00F462D4"/>
    <w:rsid w:val="00F824F5"/>
    <w:rsid w:val="00FC29B9"/>
    <w:rsid w:val="00FC6FD3"/>
    <w:rsid w:val="00FD4375"/>
    <w:rsid w:val="00FD65EC"/>
    <w:rsid w:val="00FD6A04"/>
    <w:rsid w:val="00FF70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63DAD3"/>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D61A3A"/>
    <w:pPr>
      <w:keepNext/>
      <w:keepLines/>
      <w:spacing w:before="40" w:after="0"/>
      <w:outlineLvl w:val="2"/>
    </w:pPr>
    <w:rPr>
      <w:rFonts w:ascii="Arial" w:eastAsiaTheme="majorEastAsia" w:hAnsi="Arial" w:cstheme="majorBidi"/>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08612A"/>
    <w:rPr>
      <w:lang w:val="en-US"/>
    </w:rPr>
  </w:style>
  <w:style w:type="paragraph" w:customStyle="1" w:styleId="RAN4H1">
    <w:name w:val="RAN4 H1"/>
    <w:basedOn w:val="Normal"/>
    <w:link w:val="RAN4H1Char"/>
    <w:qFormat/>
    <w:rsid w:val="0008612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cs="Times New Roman"/>
      <w:sz w:val="36"/>
      <w:szCs w:val="20"/>
      <w:lang w:val="en-GB"/>
    </w:rPr>
  </w:style>
  <w:style w:type="character" w:customStyle="1" w:styleId="RAN4H2Char">
    <w:name w:val="RAN4 H2 Char"/>
    <w:basedOn w:val="Heading2Char"/>
    <w:link w:val="RAN4H2"/>
    <w:rsid w:val="0008612A"/>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08612A"/>
    <w:rPr>
      <w:rFonts w:ascii="Arial" w:eastAsia="宋体"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393801"/>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393801"/>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TAH">
    <w:name w:val="TAH"/>
    <w:basedOn w:val="TAC"/>
    <w:link w:val="TAHCar"/>
    <w:rsid w:val="002743D8"/>
    <w:rPr>
      <w:b/>
    </w:rPr>
  </w:style>
  <w:style w:type="paragraph" w:customStyle="1" w:styleId="TAC">
    <w:name w:val="TAC"/>
    <w:basedOn w:val="Normal"/>
    <w:link w:val="TACChar"/>
    <w:rsid w:val="002743D8"/>
    <w:pPr>
      <w:keepNext/>
      <w:keepLines/>
      <w:spacing w:after="0" w:line="240" w:lineRule="auto"/>
      <w:jc w:val="center"/>
    </w:pPr>
    <w:rPr>
      <w:rFonts w:ascii="Arial" w:eastAsia="Times New Roman" w:hAnsi="Arial" w:cs="Times New Roman"/>
      <w:sz w:val="18"/>
      <w:szCs w:val="20"/>
      <w:lang w:val="en-GB" w:eastAsia="x-none"/>
    </w:rPr>
  </w:style>
  <w:style w:type="character" w:customStyle="1" w:styleId="TACChar">
    <w:name w:val="TAC Char"/>
    <w:link w:val="TAC"/>
    <w:rsid w:val="002743D8"/>
    <w:rPr>
      <w:rFonts w:ascii="Arial" w:eastAsia="Times New Roman" w:hAnsi="Arial" w:cs="Times New Roman"/>
      <w:sz w:val="18"/>
      <w:szCs w:val="20"/>
      <w:lang w:val="en-GB" w:eastAsia="x-none"/>
    </w:rPr>
  </w:style>
  <w:style w:type="character" w:customStyle="1" w:styleId="TAHCar">
    <w:name w:val="TAH Car"/>
    <w:link w:val="TAH"/>
    <w:rsid w:val="002743D8"/>
    <w:rPr>
      <w:rFonts w:ascii="Arial" w:eastAsia="Times New Roman" w:hAnsi="Arial" w:cs="Times New Roman"/>
      <w:b/>
      <w:sz w:val="18"/>
      <w:szCs w:val="20"/>
      <w:lang w:val="en-GB" w:eastAsia="x-none"/>
    </w:rPr>
  </w:style>
  <w:style w:type="character" w:customStyle="1" w:styleId="Heading3Char">
    <w:name w:val="Heading 3 Char"/>
    <w:basedOn w:val="DefaultParagraphFont"/>
    <w:link w:val="Heading3"/>
    <w:uiPriority w:val="9"/>
    <w:rsid w:val="00D61A3A"/>
    <w:rPr>
      <w:rFonts w:ascii="Arial" w:eastAsiaTheme="majorEastAsia" w:hAnsi="Arial" w:cstheme="majorBidi"/>
      <w:sz w:val="28"/>
      <w:szCs w:val="24"/>
    </w:rPr>
  </w:style>
  <w:style w:type="paragraph" w:styleId="Header">
    <w:name w:val="header"/>
    <w:basedOn w:val="Normal"/>
    <w:link w:val="HeaderChar"/>
    <w:semiHidden/>
    <w:rsid w:val="001A3E86"/>
    <w:pPr>
      <w:tabs>
        <w:tab w:val="center" w:pos="4153"/>
        <w:tab w:val="right" w:pos="8306"/>
      </w:tabs>
      <w:spacing w:after="0" w:line="240" w:lineRule="auto"/>
    </w:pPr>
    <w:rPr>
      <w:rFonts w:eastAsiaTheme="minorEastAsia" w:cs="Times New Roman"/>
      <w:szCs w:val="20"/>
      <w:lang w:val="en-GB"/>
    </w:rPr>
  </w:style>
  <w:style w:type="character" w:customStyle="1" w:styleId="HeaderChar">
    <w:name w:val="Header Char"/>
    <w:basedOn w:val="DefaultParagraphFont"/>
    <w:link w:val="Header"/>
    <w:semiHidden/>
    <w:rsid w:val="001A3E86"/>
    <w:rPr>
      <w:rFonts w:ascii="Times New Roman" w:eastAsiaTheme="minorEastAsia" w:hAnsi="Times New Roman" w:cs="Times New Roman"/>
      <w:sz w:val="20"/>
      <w:szCs w:val="20"/>
      <w:lang w:val="en-GB"/>
    </w:rPr>
  </w:style>
  <w:style w:type="character" w:styleId="CommentReference">
    <w:name w:val="annotation reference"/>
    <w:basedOn w:val="DefaultParagraphFont"/>
    <w:uiPriority w:val="99"/>
    <w:semiHidden/>
    <w:unhideWhenUsed/>
    <w:rsid w:val="00415270"/>
    <w:rPr>
      <w:sz w:val="16"/>
      <w:szCs w:val="16"/>
    </w:rPr>
  </w:style>
  <w:style w:type="paragraph" w:styleId="CommentText">
    <w:name w:val="annotation text"/>
    <w:basedOn w:val="Normal"/>
    <w:link w:val="CommentTextChar"/>
    <w:uiPriority w:val="99"/>
    <w:semiHidden/>
    <w:unhideWhenUsed/>
    <w:rsid w:val="00415270"/>
    <w:pPr>
      <w:spacing w:line="240" w:lineRule="auto"/>
    </w:pPr>
    <w:rPr>
      <w:szCs w:val="20"/>
    </w:rPr>
  </w:style>
  <w:style w:type="character" w:customStyle="1" w:styleId="CommentTextChar">
    <w:name w:val="Comment Text Char"/>
    <w:basedOn w:val="DefaultParagraphFont"/>
    <w:link w:val="CommentText"/>
    <w:uiPriority w:val="99"/>
    <w:semiHidden/>
    <w:rsid w:val="00415270"/>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415270"/>
    <w:rPr>
      <w:b/>
      <w:bCs/>
    </w:rPr>
  </w:style>
  <w:style w:type="character" w:customStyle="1" w:styleId="CommentSubjectChar">
    <w:name w:val="Comment Subject Char"/>
    <w:basedOn w:val="CommentTextChar"/>
    <w:link w:val="CommentSubject"/>
    <w:uiPriority w:val="99"/>
    <w:semiHidden/>
    <w:rsid w:val="00415270"/>
    <w:rPr>
      <w:rFonts w:ascii="Times New Roman" w:hAnsi="Times New Roman"/>
      <w:b/>
      <w:bCs/>
      <w:sz w:val="20"/>
      <w:szCs w:val="20"/>
    </w:rPr>
  </w:style>
  <w:style w:type="paragraph" w:styleId="BalloonText">
    <w:name w:val="Balloon Text"/>
    <w:basedOn w:val="Normal"/>
    <w:link w:val="BalloonTextChar"/>
    <w:uiPriority w:val="99"/>
    <w:semiHidden/>
    <w:unhideWhenUsed/>
    <w:rsid w:val="0041527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527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284283">
      <w:bodyDiv w:val="1"/>
      <w:marLeft w:val="0"/>
      <w:marRight w:val="0"/>
      <w:marTop w:val="0"/>
      <w:marBottom w:val="0"/>
      <w:divBdr>
        <w:top w:val="none" w:sz="0" w:space="0" w:color="auto"/>
        <w:left w:val="none" w:sz="0" w:space="0" w:color="auto"/>
        <w:bottom w:val="none" w:sz="0" w:space="0" w:color="auto"/>
        <w:right w:val="none" w:sz="0" w:space="0" w:color="auto"/>
      </w:divBdr>
      <w:divsChild>
        <w:div w:id="350765110">
          <w:marLeft w:val="0"/>
          <w:marRight w:val="0"/>
          <w:marTop w:val="0"/>
          <w:marBottom w:val="0"/>
          <w:divBdr>
            <w:top w:val="none" w:sz="0" w:space="0" w:color="auto"/>
            <w:left w:val="none" w:sz="0" w:space="0" w:color="auto"/>
            <w:bottom w:val="none" w:sz="0" w:space="0" w:color="auto"/>
            <w:right w:val="none" w:sz="0" w:space="0" w:color="auto"/>
          </w:divBdr>
        </w:div>
      </w:divsChild>
    </w:div>
    <w:div w:id="414790174">
      <w:bodyDiv w:val="1"/>
      <w:marLeft w:val="0"/>
      <w:marRight w:val="0"/>
      <w:marTop w:val="0"/>
      <w:marBottom w:val="0"/>
      <w:divBdr>
        <w:top w:val="none" w:sz="0" w:space="0" w:color="auto"/>
        <w:left w:val="none" w:sz="0" w:space="0" w:color="auto"/>
        <w:bottom w:val="none" w:sz="0" w:space="0" w:color="auto"/>
        <w:right w:val="none" w:sz="0" w:space="0" w:color="auto"/>
      </w:divBdr>
      <w:divsChild>
        <w:div w:id="125777394">
          <w:marLeft w:val="547"/>
          <w:marRight w:val="0"/>
          <w:marTop w:val="0"/>
          <w:marBottom w:val="0"/>
          <w:divBdr>
            <w:top w:val="none" w:sz="0" w:space="0" w:color="auto"/>
            <w:left w:val="none" w:sz="0" w:space="0" w:color="auto"/>
            <w:bottom w:val="none" w:sz="0" w:space="0" w:color="auto"/>
            <w:right w:val="none" w:sz="0" w:space="0" w:color="auto"/>
          </w:divBdr>
        </w:div>
      </w:divsChild>
    </w:div>
    <w:div w:id="598296059">
      <w:bodyDiv w:val="1"/>
      <w:marLeft w:val="0"/>
      <w:marRight w:val="0"/>
      <w:marTop w:val="0"/>
      <w:marBottom w:val="0"/>
      <w:divBdr>
        <w:top w:val="none" w:sz="0" w:space="0" w:color="auto"/>
        <w:left w:val="none" w:sz="0" w:space="0" w:color="auto"/>
        <w:bottom w:val="none" w:sz="0" w:space="0" w:color="auto"/>
        <w:right w:val="none" w:sz="0" w:space="0" w:color="auto"/>
      </w:divBdr>
      <w:divsChild>
        <w:div w:id="1525047687">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C2F483-04AC-44E0-9122-F90AF69A65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1265</Words>
  <Characters>7214</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Zhang, Li 7. (NSB - CN/Beijing)</cp:lastModifiedBy>
  <cp:revision>5</cp:revision>
  <dcterms:created xsi:type="dcterms:W3CDTF">2018-04-05T10:24:00Z</dcterms:created>
  <dcterms:modified xsi:type="dcterms:W3CDTF">2018-04-06T19:17:00Z</dcterms:modified>
</cp:coreProperties>
</file>