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F72B7D" w:rsidRPr="00F72B7D">
        <w:rPr>
          <w:rFonts w:ascii="Arial" w:eastAsia="宋体" w:hAnsi="Arial" w:cs="Times New Roman"/>
          <w:b/>
          <w:bCs/>
          <w:sz w:val="24"/>
          <w:szCs w:val="20"/>
          <w:lang w:val="en-GB" w:eastAsia="ja-JP"/>
        </w:rPr>
        <w:t>R4-1805066</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7193A" w:rsidRPr="0047193A">
        <w:rPr>
          <w:rFonts w:ascii="Arial" w:eastAsia="Calibri" w:hAnsi="Arial" w:cs="Arial"/>
          <w:b/>
          <w:bCs/>
          <w:sz w:val="24"/>
          <w:lang w:val="en-GB"/>
        </w:rPr>
        <w:t>On overlapping between MG and SMTC/RLM-RS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47193A">
        <w:rPr>
          <w:rFonts w:ascii="Arial" w:eastAsia="MS Mincho" w:hAnsi="Arial" w:cs="Arial"/>
          <w:b/>
          <w:bCs/>
          <w:sz w:val="24"/>
          <w:szCs w:val="20"/>
          <w:lang w:val="en-GB"/>
        </w:rPr>
        <w:t>3.3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47193A" w:rsidRPr="0047193A" w:rsidRDefault="0047193A" w:rsidP="0047193A">
      <w:pPr>
        <w:spacing w:before="120" w:after="120"/>
        <w:rPr>
          <w:lang w:val="en-GB"/>
        </w:rPr>
      </w:pPr>
      <w:r w:rsidRPr="0047193A">
        <w:rPr>
          <w:lang w:val="en-GB"/>
        </w:rPr>
        <w:t xml:space="preserve">In LTE intra-frequency measurement is performed without MG. For NR the case is different since UE may be in a BWP that does not contain cell defining SSB (CD-SSB), so RAN4 has defined intra-frequency with MG (to allow UE to re-tune to CD-SSB) and without MG. </w:t>
      </w:r>
    </w:p>
    <w:p w:rsidR="0047193A" w:rsidRPr="0047193A" w:rsidRDefault="0047193A" w:rsidP="0047193A">
      <w:pPr>
        <w:spacing w:before="120" w:after="120"/>
        <w:rPr>
          <w:lang w:val="en-GB"/>
        </w:rPr>
      </w:pPr>
      <w:r w:rsidRPr="0047193A">
        <w:rPr>
          <w:lang w:val="en-GB"/>
        </w:rPr>
        <w:t xml:space="preserve">In addition, RAN4 also discussed the intra-frequency without MG but with mixed numerology and/or Rx beamforming, and agreed that data interruption would occur during the symbols used for measurement (plus some margin).  </w:t>
      </w:r>
    </w:p>
    <w:p w:rsidR="0047193A" w:rsidRDefault="0047193A" w:rsidP="0047193A">
      <w:pPr>
        <w:spacing w:before="120" w:after="120"/>
        <w:rPr>
          <w:lang w:val="en-GB"/>
        </w:rPr>
      </w:pPr>
      <w:r w:rsidRPr="0047193A">
        <w:rPr>
          <w:lang w:val="en-GB"/>
        </w:rPr>
        <w:t>In RAN4</w:t>
      </w:r>
      <w:r>
        <w:rPr>
          <w:lang w:val="en-GB"/>
        </w:rPr>
        <w:t>#86</w:t>
      </w:r>
      <w:r w:rsidRPr="0047193A">
        <w:rPr>
          <w:lang w:val="en-GB"/>
        </w:rPr>
        <w:t>, a WF [1]</w:t>
      </w:r>
      <w:r>
        <w:rPr>
          <w:lang w:val="en-GB"/>
        </w:rPr>
        <w:t>, which</w:t>
      </w:r>
      <w:r w:rsidRPr="0047193A">
        <w:rPr>
          <w:lang w:val="en-GB"/>
        </w:rPr>
        <w:t xml:space="preserve"> </w:t>
      </w:r>
      <w:r>
        <w:rPr>
          <w:lang w:val="en-GB"/>
        </w:rPr>
        <w:t xml:space="preserve">summarizes </w:t>
      </w:r>
      <w:r w:rsidRPr="0047193A">
        <w:rPr>
          <w:lang w:val="en-GB"/>
        </w:rPr>
        <w:t xml:space="preserve">all possible </w:t>
      </w:r>
      <w:r>
        <w:rPr>
          <w:lang w:val="en-GB"/>
        </w:rPr>
        <w:t xml:space="preserve">intra-frequency measurement types and their </w:t>
      </w:r>
      <w:r w:rsidRPr="0047193A">
        <w:rPr>
          <w:lang w:val="en-GB"/>
        </w:rPr>
        <w:t xml:space="preserve">relationships </w:t>
      </w:r>
      <w:r>
        <w:rPr>
          <w:lang w:val="en-GB"/>
        </w:rPr>
        <w:t xml:space="preserve">with </w:t>
      </w:r>
      <w:r w:rsidRPr="0047193A">
        <w:rPr>
          <w:lang w:val="en-GB"/>
        </w:rPr>
        <w:t>MG</w:t>
      </w:r>
      <w:r>
        <w:rPr>
          <w:lang w:val="en-GB"/>
        </w:rPr>
        <w:t>,</w:t>
      </w:r>
      <w:r w:rsidRPr="0047193A">
        <w:rPr>
          <w:lang w:val="en-GB"/>
        </w:rPr>
        <w:t xml:space="preserve"> was agreed. </w:t>
      </w:r>
      <w:r>
        <w:rPr>
          <w:lang w:val="en-GB"/>
        </w:rPr>
        <w:t xml:space="preserve">Companies are encouraged to provide views on all scenarios, including </w:t>
      </w:r>
    </w:p>
    <w:p w:rsidR="0047193A" w:rsidRDefault="0047193A" w:rsidP="0047193A">
      <w:pPr>
        <w:pStyle w:val="ListParagraph"/>
        <w:numPr>
          <w:ilvl w:val="0"/>
          <w:numId w:val="19"/>
        </w:numPr>
        <w:spacing w:before="120" w:after="120"/>
        <w:rPr>
          <w:lang w:val="en-GB"/>
        </w:rPr>
      </w:pPr>
      <w:r>
        <w:rPr>
          <w:lang w:val="en-GB"/>
        </w:rPr>
        <w:t>Whether UE requirements are defined for the scenario</w:t>
      </w:r>
    </w:p>
    <w:p w:rsidR="0047193A" w:rsidRPr="0047193A" w:rsidRDefault="0047193A" w:rsidP="0047193A">
      <w:pPr>
        <w:pStyle w:val="ListParagraph"/>
        <w:numPr>
          <w:ilvl w:val="0"/>
          <w:numId w:val="19"/>
        </w:numPr>
        <w:spacing w:before="120" w:after="120"/>
        <w:rPr>
          <w:lang w:val="en-GB"/>
        </w:rPr>
      </w:pPr>
      <w:r>
        <w:rPr>
          <w:lang w:val="en-GB"/>
        </w:rPr>
        <w:t xml:space="preserve">If defined, the UE measurement behaviour and corresponding measurement requirements </w:t>
      </w:r>
    </w:p>
    <w:p w:rsidR="00B71526" w:rsidRPr="00E92C17" w:rsidRDefault="0047193A" w:rsidP="00E92C17">
      <w:pPr>
        <w:spacing w:before="120" w:after="120"/>
      </w:pPr>
      <w:r w:rsidRPr="0047193A">
        <w:rPr>
          <w:lang w:val="en-GB"/>
        </w:rPr>
        <w:t>In this paper, we will provide our views on UE requirements for different cases with overlapping between MG and SMTC/RLM-RS.</w:t>
      </w:r>
      <w:r w:rsidR="00E92C17">
        <w:t xml:space="preserve"> </w:t>
      </w:r>
    </w:p>
    <w:p w:rsidR="0008612A" w:rsidRDefault="003B659E" w:rsidP="00660508">
      <w:pPr>
        <w:pStyle w:val="RAN4H1"/>
      </w:pPr>
      <w:r>
        <w:t>2</w:t>
      </w:r>
      <w:r w:rsidRPr="00841BCD">
        <w:tab/>
      </w:r>
      <w:r>
        <w:t>Discussion</w:t>
      </w:r>
    </w:p>
    <w:p w:rsidR="0047193A" w:rsidRDefault="0047193A" w:rsidP="00A147DB">
      <w:pPr>
        <w:spacing w:before="120" w:after="120"/>
      </w:pPr>
      <w:r>
        <w:t>The scenarios listed in [1] are copied below.</w:t>
      </w:r>
    </w:p>
    <w:tbl>
      <w:tblPr>
        <w:tblStyle w:val="TableGrid"/>
        <w:tblW w:w="0" w:type="auto"/>
        <w:tblLook w:val="04A0" w:firstRow="1" w:lastRow="0" w:firstColumn="1" w:lastColumn="0" w:noHBand="0" w:noVBand="1"/>
      </w:tblPr>
      <w:tblGrid>
        <w:gridCol w:w="9617"/>
      </w:tblGrid>
      <w:tr w:rsidR="0047193A" w:rsidTr="0047193A">
        <w:tc>
          <w:tcPr>
            <w:tcW w:w="9617" w:type="dxa"/>
          </w:tcPr>
          <w:p w:rsidR="00B4285A" w:rsidRPr="0047193A" w:rsidRDefault="00795858" w:rsidP="0047193A">
            <w:pPr>
              <w:numPr>
                <w:ilvl w:val="1"/>
                <w:numId w:val="20"/>
              </w:numPr>
              <w:spacing w:before="120" w:after="120"/>
            </w:pPr>
            <w:r w:rsidRPr="0047193A">
              <w:t>All the scenarios for consideration</w:t>
            </w:r>
          </w:p>
          <w:p w:rsidR="00B4285A" w:rsidRPr="0047193A" w:rsidRDefault="00795858" w:rsidP="0047193A">
            <w:pPr>
              <w:numPr>
                <w:ilvl w:val="2"/>
                <w:numId w:val="20"/>
              </w:numPr>
              <w:spacing w:before="120" w:after="120"/>
            </w:pPr>
            <w:r w:rsidRPr="0047193A">
              <w:t>Fully overlapped scenarios:</w:t>
            </w:r>
          </w:p>
          <w:p w:rsidR="00B4285A" w:rsidRPr="0047193A" w:rsidRDefault="00795858" w:rsidP="0047193A">
            <w:pPr>
              <w:numPr>
                <w:ilvl w:val="3"/>
                <w:numId w:val="20"/>
              </w:numPr>
              <w:spacing w:before="120" w:after="120"/>
            </w:pPr>
            <w:r w:rsidRPr="0047193A">
              <w:t>Scenario 1a: Fully overlapped between MG and SMTC in type A</w:t>
            </w:r>
          </w:p>
          <w:p w:rsidR="00B4285A" w:rsidRPr="0047193A" w:rsidRDefault="00795858" w:rsidP="0047193A">
            <w:pPr>
              <w:numPr>
                <w:ilvl w:val="3"/>
                <w:numId w:val="20"/>
              </w:numPr>
              <w:spacing w:before="120" w:after="120"/>
            </w:pPr>
            <w:r w:rsidRPr="0047193A">
              <w:t>Scenario 1b:  Fully overlapped between MG and SMTC in type B</w:t>
            </w:r>
          </w:p>
          <w:p w:rsidR="00B4285A" w:rsidRPr="0047193A" w:rsidRDefault="00795858" w:rsidP="0047193A">
            <w:pPr>
              <w:numPr>
                <w:ilvl w:val="3"/>
                <w:numId w:val="20"/>
              </w:numPr>
              <w:spacing w:before="120" w:after="120"/>
            </w:pPr>
            <w:r w:rsidRPr="0047193A">
              <w:t>Scenario 1c: Fully overlapped between MG and RLM</w:t>
            </w:r>
          </w:p>
          <w:p w:rsidR="00B4285A" w:rsidRPr="0047193A" w:rsidRDefault="00795858" w:rsidP="0047193A">
            <w:pPr>
              <w:numPr>
                <w:ilvl w:val="2"/>
                <w:numId w:val="20"/>
              </w:numPr>
              <w:spacing w:before="120" w:after="120"/>
            </w:pPr>
            <w:r w:rsidRPr="0047193A">
              <w:t>Partial overlapped scenarios:</w:t>
            </w:r>
          </w:p>
          <w:p w:rsidR="00B4285A" w:rsidRPr="0047193A" w:rsidRDefault="00795858" w:rsidP="0047193A">
            <w:pPr>
              <w:numPr>
                <w:ilvl w:val="3"/>
                <w:numId w:val="20"/>
              </w:numPr>
              <w:spacing w:before="120" w:after="120"/>
            </w:pPr>
            <w:r w:rsidRPr="0047193A">
              <w:t>Scenario 2a: Partial overlapped between MG and SMTC in type A</w:t>
            </w:r>
          </w:p>
          <w:p w:rsidR="00B4285A" w:rsidRPr="0047193A" w:rsidRDefault="00795858" w:rsidP="0047193A">
            <w:pPr>
              <w:numPr>
                <w:ilvl w:val="3"/>
                <w:numId w:val="20"/>
              </w:numPr>
              <w:spacing w:before="120" w:after="120"/>
            </w:pPr>
            <w:r w:rsidRPr="0047193A">
              <w:t>Scenario 2b: Partial overlapped between MG and SMTC in type B</w:t>
            </w:r>
          </w:p>
          <w:p w:rsidR="00B4285A" w:rsidRPr="0047193A" w:rsidRDefault="00795858" w:rsidP="0047193A">
            <w:pPr>
              <w:numPr>
                <w:ilvl w:val="3"/>
                <w:numId w:val="20"/>
              </w:numPr>
              <w:spacing w:before="120" w:after="120"/>
            </w:pPr>
            <w:r w:rsidRPr="0047193A">
              <w:t>Scenario 2c: Partial overlapped between MG and RLM</w:t>
            </w:r>
          </w:p>
          <w:p w:rsidR="00B4285A" w:rsidRPr="0047193A" w:rsidRDefault="00795858" w:rsidP="0047193A">
            <w:pPr>
              <w:numPr>
                <w:ilvl w:val="2"/>
                <w:numId w:val="20"/>
              </w:numPr>
              <w:spacing w:before="120" w:after="120"/>
            </w:pPr>
            <w:r w:rsidRPr="0047193A">
              <w:t>Fully non-overlapped scenarios:</w:t>
            </w:r>
          </w:p>
          <w:p w:rsidR="00B4285A" w:rsidRPr="0047193A" w:rsidRDefault="00795858" w:rsidP="0047193A">
            <w:pPr>
              <w:numPr>
                <w:ilvl w:val="3"/>
                <w:numId w:val="20"/>
              </w:numPr>
              <w:spacing w:before="120" w:after="120"/>
            </w:pPr>
            <w:r w:rsidRPr="0047193A">
              <w:t>Scenario 3a: Fully non-overlapped between MG and SMTC in type A</w:t>
            </w:r>
          </w:p>
          <w:p w:rsidR="00B4285A" w:rsidRPr="0047193A" w:rsidRDefault="00795858" w:rsidP="0047193A">
            <w:pPr>
              <w:numPr>
                <w:ilvl w:val="3"/>
                <w:numId w:val="20"/>
              </w:numPr>
              <w:spacing w:before="120" w:after="120"/>
            </w:pPr>
            <w:r w:rsidRPr="0047193A">
              <w:t>Scenario 3b: Fully non-overlapped between MG and SMTC in type B</w:t>
            </w:r>
          </w:p>
          <w:p w:rsidR="0047193A" w:rsidRDefault="00795858" w:rsidP="00A147DB">
            <w:pPr>
              <w:numPr>
                <w:ilvl w:val="3"/>
                <w:numId w:val="20"/>
              </w:numPr>
              <w:spacing w:before="120" w:after="120"/>
            </w:pPr>
            <w:r w:rsidRPr="0047193A">
              <w:t>Scenario 3c: Fully non-overlapped between MG and RLM</w:t>
            </w:r>
          </w:p>
        </w:tc>
      </w:tr>
    </w:tbl>
    <w:p w:rsidR="0086276B" w:rsidRDefault="0047193A" w:rsidP="00A147DB">
      <w:pPr>
        <w:spacing w:before="120" w:after="120"/>
      </w:pPr>
      <w:r>
        <w:t xml:space="preserve">For scenario 1a, it has been discussed in RAN4 whether it should be excluded from UE requirements point of view. In our view, </w:t>
      </w:r>
      <w:r w:rsidR="0086276B">
        <w:t xml:space="preserve">UE requirements should be defined for </w:t>
      </w:r>
      <w:r>
        <w:t xml:space="preserve">this </w:t>
      </w:r>
      <w:r w:rsidR="0086276B">
        <w:t>scenario, because</w:t>
      </w:r>
    </w:p>
    <w:p w:rsidR="004E4010" w:rsidRDefault="0086276B" w:rsidP="0086276B">
      <w:pPr>
        <w:pStyle w:val="ListParagraph"/>
        <w:numPr>
          <w:ilvl w:val="0"/>
          <w:numId w:val="19"/>
        </w:numPr>
        <w:spacing w:before="120" w:after="120"/>
      </w:pPr>
      <w:r>
        <w:t xml:space="preserve">There are cases where network may want to configure full overlapping MG with type A. For example, </w:t>
      </w:r>
      <w:r w:rsidR="004E4010">
        <w:t xml:space="preserve">if network only configures partial overlapping for type A, when there is BWP switching (to/from BWP which does not contain CD-SSB), the measurement performance would be changing depending on which BWP UE is </w:t>
      </w:r>
      <w:r w:rsidR="004E4010">
        <w:lastRenderedPageBreak/>
        <w:t>scheduled on – the measurement would sometimes be performed in SMTC overlapping with MGs, and sometime in SMTC not overlapping with MGs. This may not be desirable.</w:t>
      </w:r>
    </w:p>
    <w:p w:rsidR="0047193A" w:rsidRDefault="004E4010" w:rsidP="0086276B">
      <w:pPr>
        <w:pStyle w:val="ListParagraph"/>
        <w:numPr>
          <w:ilvl w:val="0"/>
          <w:numId w:val="19"/>
        </w:numPr>
        <w:spacing w:before="120" w:after="120"/>
      </w:pPr>
      <w:r>
        <w:t xml:space="preserve">The MG sharing between intra- and inter-frequency measurements has anyway to be defined for type C measurement, </w:t>
      </w:r>
      <w:r w:rsidR="00894533">
        <w:t>so there is no additional effort</w:t>
      </w:r>
      <w:r>
        <w:t xml:space="preserve"> either in UE implementation or in RAN4 standardization to support measurement for this scenario.</w:t>
      </w:r>
    </w:p>
    <w:p w:rsidR="00894533" w:rsidRDefault="00894533" w:rsidP="00894533">
      <w:pPr>
        <w:spacing w:before="120" w:after="120"/>
      </w:pPr>
      <w:r>
        <w:t>For scenario 1b, there is very clear use case, i.e. network may want to restrict intra-frequency to MGs in order to reduce the interruption to the data, so UE requirements should also be defined for this scenario.</w:t>
      </w:r>
    </w:p>
    <w:p w:rsidR="0047193A" w:rsidRDefault="00894533" w:rsidP="00894533">
      <w:pPr>
        <w:pStyle w:val="RAN4proposal"/>
      </w:pPr>
      <w:bookmarkStart w:id="4" w:name="_Ref510831736"/>
      <w:r w:rsidRPr="00894533">
        <w:t>UE requirements should be defined for</w:t>
      </w:r>
      <w:r>
        <w:t xml:space="preserve"> scenario 1a and 1b.</w:t>
      </w:r>
      <w:bookmarkEnd w:id="4"/>
    </w:p>
    <w:p w:rsidR="0047193A" w:rsidRDefault="00894533" w:rsidP="00A147DB">
      <w:pPr>
        <w:spacing w:before="120" w:after="120"/>
      </w:pPr>
      <w:r>
        <w:t>For scenario 2a/2b/2c, the issue is where UE would perform intra-frequency measurement or RLM, and the options are</w:t>
      </w:r>
    </w:p>
    <w:p w:rsidR="00894533" w:rsidRDefault="00894533" w:rsidP="00894533">
      <w:pPr>
        <w:pStyle w:val="ListParagraph"/>
        <w:numPr>
          <w:ilvl w:val="0"/>
          <w:numId w:val="19"/>
        </w:numPr>
        <w:spacing w:before="120" w:after="120"/>
      </w:pPr>
      <w:r>
        <w:t>Within MGs only</w:t>
      </w:r>
    </w:p>
    <w:p w:rsidR="00894533" w:rsidRDefault="00894533" w:rsidP="00894533">
      <w:pPr>
        <w:pStyle w:val="ListParagraph"/>
        <w:numPr>
          <w:ilvl w:val="0"/>
          <w:numId w:val="19"/>
        </w:numPr>
        <w:spacing w:before="120" w:after="120"/>
      </w:pPr>
      <w:r>
        <w:t>Both within and outside MGs</w:t>
      </w:r>
    </w:p>
    <w:p w:rsidR="00894533" w:rsidRDefault="00894533" w:rsidP="00894533">
      <w:pPr>
        <w:pStyle w:val="ListParagraph"/>
        <w:numPr>
          <w:ilvl w:val="0"/>
          <w:numId w:val="19"/>
        </w:numPr>
        <w:spacing w:before="120" w:after="120"/>
      </w:pPr>
      <w:r>
        <w:t>Outside MGs only</w:t>
      </w:r>
    </w:p>
    <w:p w:rsidR="006C185F" w:rsidRDefault="00894533" w:rsidP="00894533">
      <w:pPr>
        <w:spacing w:before="120" w:after="120"/>
      </w:pPr>
      <w:r>
        <w:t xml:space="preserve">In our view, </w:t>
      </w:r>
      <w:r w:rsidR="006C185F">
        <w:t xml:space="preserve">in partial overlapping scenarios, UE should always perform </w:t>
      </w:r>
      <w:r w:rsidR="006C185F" w:rsidRPr="006C185F">
        <w:t>intra-frequency measurement or RLM</w:t>
      </w:r>
      <w:r w:rsidR="006C185F">
        <w:t xml:space="preserve"> in SMTC or RLM-RS occasions outside MGs. </w:t>
      </w:r>
    </w:p>
    <w:p w:rsidR="00894533" w:rsidRDefault="006C185F" w:rsidP="006C185F">
      <w:pPr>
        <w:pStyle w:val="ListParagraph"/>
        <w:numPr>
          <w:ilvl w:val="0"/>
          <w:numId w:val="19"/>
        </w:numPr>
        <w:spacing w:before="120" w:after="120"/>
      </w:pPr>
      <w:r>
        <w:t xml:space="preserve">First, if network configures partial overlapping, it means network is expecting UE to utilize the </w:t>
      </w:r>
      <w:r w:rsidRPr="006C185F">
        <w:t xml:space="preserve">SMTC or RLM-RS occasions outside MGs </w:t>
      </w:r>
      <w:r>
        <w:t xml:space="preserve">occasions, otherwise network could just configure full overlapping. This is also the case for type B measurement, i.e. if network considers it more important to reduce the data interruption, it could just configure scenario 1b. Therefore, measurement within MGs only is not a reasonable UE behavior. </w:t>
      </w:r>
    </w:p>
    <w:p w:rsidR="006C185F" w:rsidRDefault="006C185F" w:rsidP="006C185F">
      <w:pPr>
        <w:pStyle w:val="ListParagraph"/>
        <w:numPr>
          <w:ilvl w:val="0"/>
          <w:numId w:val="19"/>
        </w:numPr>
        <w:spacing w:before="120" w:after="120"/>
      </w:pPr>
      <w:r>
        <w:t>Second, if UE performed intra-frequency measurement or RLM both within and outside MGs, it means the MGs are shared with type C or type D measurements. From measurement performance point of view, it is similar to if network configures a larger MGRP.</w:t>
      </w:r>
    </w:p>
    <w:p w:rsidR="006C185F" w:rsidRDefault="006C185F" w:rsidP="006C185F">
      <w:pPr>
        <w:pStyle w:val="RAN4proposal"/>
      </w:pPr>
      <w:bookmarkStart w:id="5" w:name="_Ref510831737"/>
      <w:r w:rsidRPr="006C185F">
        <w:t>For scenario 2a/2b/2c</w:t>
      </w:r>
      <w:r>
        <w:t xml:space="preserve">, </w:t>
      </w:r>
      <w:r w:rsidRPr="006C185F">
        <w:t>UE should always perform intra-frequency measurement or RLM in SMTC or RLM-RS occasions outside MGs</w:t>
      </w:r>
      <w:r>
        <w:t>.</w:t>
      </w:r>
      <w:bookmarkEnd w:id="5"/>
    </w:p>
    <w:p w:rsidR="00B25C3E" w:rsidRDefault="00B25C3E" w:rsidP="00A147DB">
      <w:pPr>
        <w:spacing w:before="120" w:after="120"/>
      </w:pPr>
      <w:r>
        <w:t xml:space="preserve">For scenarios 3a/3b/3c, the UE behavior is quite clear. There are concerns from some companies on the </w:t>
      </w:r>
      <w:r w:rsidR="00B854C5">
        <w:t>impact to scheduling availability in scenario 3b, since both MG and type B SMTC are not schedulable. In our view, this is up to network to configure reasonable period and offset for MG, SMTC and RLM-RS. For example, if the MGRP is 20ms, and network configures scenario 3b, it means very little opportunity for data, but it is network’s choice. We don’t see the need to exclude scenario 3b for UE requirements as it does not save anything.</w:t>
      </w:r>
    </w:p>
    <w:p w:rsidR="00B854C5" w:rsidRDefault="00B854C5" w:rsidP="00B854C5">
      <w:pPr>
        <w:pStyle w:val="RAN4proposal"/>
      </w:pPr>
      <w:bookmarkStart w:id="6" w:name="_Ref510831738"/>
      <w:r w:rsidRPr="00894533">
        <w:t>UE requirements should be defined for</w:t>
      </w:r>
      <w:r>
        <w:t xml:space="preserve"> scenario 3a3b/3c.</w:t>
      </w:r>
      <w:bookmarkEnd w:id="6"/>
    </w:p>
    <w:p w:rsidR="00B854C5" w:rsidRDefault="00B854C5" w:rsidP="00A147DB">
      <w:pPr>
        <w:spacing w:before="120" w:after="120"/>
      </w:pPr>
      <w:r>
        <w:t xml:space="preserve">Another open issue in [1] is </w:t>
      </w:r>
    </w:p>
    <w:tbl>
      <w:tblPr>
        <w:tblStyle w:val="TableGrid"/>
        <w:tblW w:w="0" w:type="auto"/>
        <w:tblLook w:val="04A0" w:firstRow="1" w:lastRow="0" w:firstColumn="1" w:lastColumn="0" w:noHBand="0" w:noVBand="1"/>
      </w:tblPr>
      <w:tblGrid>
        <w:gridCol w:w="9617"/>
      </w:tblGrid>
      <w:tr w:rsidR="00B854C5" w:rsidTr="00B854C5">
        <w:tc>
          <w:tcPr>
            <w:tcW w:w="9617" w:type="dxa"/>
          </w:tcPr>
          <w:p w:rsidR="00B854C5" w:rsidRDefault="00795858" w:rsidP="00A147DB">
            <w:pPr>
              <w:numPr>
                <w:ilvl w:val="1"/>
                <w:numId w:val="21"/>
              </w:numPr>
              <w:spacing w:before="120" w:after="120"/>
            </w:pPr>
            <w:r w:rsidRPr="00B854C5">
              <w:t xml:space="preserve">FFS: which of UE activities (RLM/type A/type B/type C/type D) the gap sharing table (between intra-frequency and inter-frequency measurements) will be applied to? </w:t>
            </w:r>
          </w:p>
        </w:tc>
      </w:tr>
    </w:tbl>
    <w:p w:rsidR="00B854C5" w:rsidRDefault="00B854C5" w:rsidP="00A147DB">
      <w:pPr>
        <w:spacing w:before="120" w:after="120"/>
      </w:pPr>
      <w:r>
        <w:t>In our view, RLM is never performed in MGs since scenario 1a is excluded, so the gap sharing is not applicable to RLM. For type A and B, in case of partial overlapping or fully non-overlapping, the measurement is never performed in MGs</w:t>
      </w:r>
      <w:r w:rsidR="00CF0F1C">
        <w:t>. Therefore the gap sharing between intra- and inter-frequency is applied for</w:t>
      </w:r>
    </w:p>
    <w:p w:rsidR="00CF0F1C" w:rsidRDefault="00CF0F1C" w:rsidP="00CF0F1C">
      <w:pPr>
        <w:pStyle w:val="ListParagraph"/>
        <w:numPr>
          <w:ilvl w:val="0"/>
          <w:numId w:val="19"/>
        </w:numPr>
        <w:spacing w:before="120" w:after="120"/>
      </w:pPr>
      <w:r>
        <w:t>Between type A/B and type D in scenario 1a/1b</w:t>
      </w:r>
    </w:p>
    <w:p w:rsidR="00CF0F1C" w:rsidRDefault="00CF0F1C" w:rsidP="00CF0F1C">
      <w:pPr>
        <w:pStyle w:val="ListParagraph"/>
        <w:numPr>
          <w:ilvl w:val="0"/>
          <w:numId w:val="19"/>
        </w:numPr>
        <w:spacing w:before="120" w:after="120"/>
      </w:pPr>
      <w:r>
        <w:t>Between type C and type D</w:t>
      </w:r>
    </w:p>
    <w:p w:rsidR="00CF0F1C" w:rsidRDefault="00CF0F1C" w:rsidP="00CF0F1C">
      <w:pPr>
        <w:pStyle w:val="RAN4proposal"/>
      </w:pPr>
      <w:bookmarkStart w:id="7" w:name="_Ref510831740"/>
      <w:r>
        <w:t>gap sharing between intra- and inter-frequency is applied for</w:t>
      </w:r>
      <w:bookmarkEnd w:id="7"/>
    </w:p>
    <w:p w:rsidR="00CF0F1C" w:rsidRPr="00CF0F1C" w:rsidRDefault="00CF0F1C" w:rsidP="00CF0F1C">
      <w:pPr>
        <w:spacing w:before="120" w:after="120"/>
        <w:rPr>
          <w:b/>
        </w:rPr>
      </w:pPr>
      <w:r w:rsidRPr="00CF0F1C">
        <w:rPr>
          <w:b/>
        </w:rPr>
        <w:t>-</w:t>
      </w:r>
      <w:r w:rsidRPr="00CF0F1C">
        <w:rPr>
          <w:b/>
        </w:rPr>
        <w:tab/>
        <w:t>Between type A/B and type D in scenario 1a/1b</w:t>
      </w:r>
    </w:p>
    <w:p w:rsidR="00CF0F1C" w:rsidRPr="00CF0F1C" w:rsidRDefault="00CF0F1C" w:rsidP="00CF0F1C">
      <w:pPr>
        <w:spacing w:before="120" w:after="120"/>
        <w:rPr>
          <w:b/>
        </w:rPr>
      </w:pPr>
      <w:r w:rsidRPr="00CF0F1C">
        <w:rPr>
          <w:b/>
        </w:rPr>
        <w:t>-</w:t>
      </w:r>
      <w:r w:rsidRPr="00CF0F1C">
        <w:rPr>
          <w:b/>
        </w:rPr>
        <w:tab/>
        <w:t>Between type C and type D</w:t>
      </w:r>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t xml:space="preserve">views on </w:t>
      </w:r>
      <w:r w:rsidR="00CF0F1C" w:rsidRPr="00CF0F1C">
        <w:t>UE requirements for different cases with overlapping between MG and SMTC/RLM-RS</w:t>
      </w:r>
      <w:r w:rsidRPr="00516134">
        <w:t>.</w:t>
      </w:r>
    </w:p>
    <w:p w:rsidR="00CF0F1C" w:rsidRPr="00CF0F1C" w:rsidRDefault="00CF0F1C" w:rsidP="00516134">
      <w:pPr>
        <w:rPr>
          <w:b/>
        </w:rPr>
      </w:pPr>
      <w:r w:rsidRPr="00CF0F1C">
        <w:rPr>
          <w:b/>
        </w:rPr>
        <w:lastRenderedPageBreak/>
        <w:fldChar w:fldCharType="begin"/>
      </w:r>
      <w:r w:rsidRPr="00CF0F1C">
        <w:rPr>
          <w:b/>
        </w:rPr>
        <w:instrText xml:space="preserve"> REF _Ref510831736 \r \h </w:instrText>
      </w:r>
      <w:r>
        <w:rPr>
          <w:b/>
        </w:rPr>
        <w:instrText xml:space="preserve"> \* MERGEFORMAT </w:instrText>
      </w:r>
      <w:r w:rsidRPr="00CF0F1C">
        <w:rPr>
          <w:b/>
        </w:rPr>
      </w:r>
      <w:r w:rsidRPr="00CF0F1C">
        <w:rPr>
          <w:b/>
        </w:rPr>
        <w:fldChar w:fldCharType="separate"/>
      </w:r>
      <w:r w:rsidRPr="00CF0F1C">
        <w:rPr>
          <w:b/>
        </w:rPr>
        <w:t>Proposal 1:</w:t>
      </w:r>
      <w:r w:rsidRPr="00CF0F1C">
        <w:rPr>
          <w:b/>
        </w:rPr>
        <w:fldChar w:fldCharType="end"/>
      </w:r>
      <w:r w:rsidRPr="00CF0F1C">
        <w:rPr>
          <w:b/>
        </w:rPr>
        <w:t xml:space="preserve"> </w:t>
      </w:r>
      <w:r w:rsidRPr="00CF0F1C">
        <w:rPr>
          <w:b/>
        </w:rPr>
        <w:fldChar w:fldCharType="begin"/>
      </w:r>
      <w:r w:rsidRPr="00CF0F1C">
        <w:rPr>
          <w:b/>
        </w:rPr>
        <w:instrText xml:space="preserve"> REF _Ref510831736 \h </w:instrText>
      </w:r>
      <w:r>
        <w:rPr>
          <w:b/>
        </w:rPr>
        <w:instrText xml:space="preserve"> \* MERGEFORMAT </w:instrText>
      </w:r>
      <w:r w:rsidRPr="00CF0F1C">
        <w:rPr>
          <w:b/>
        </w:rPr>
      </w:r>
      <w:r w:rsidRPr="00CF0F1C">
        <w:rPr>
          <w:b/>
        </w:rPr>
        <w:fldChar w:fldCharType="separate"/>
      </w:r>
      <w:r w:rsidRPr="00CF0F1C">
        <w:rPr>
          <w:b/>
        </w:rPr>
        <w:t>UE requirements should be defined for scenario 1a and 1b.</w:t>
      </w:r>
      <w:r w:rsidRPr="00CF0F1C">
        <w:rPr>
          <w:b/>
        </w:rPr>
        <w:fldChar w:fldCharType="end"/>
      </w:r>
    </w:p>
    <w:p w:rsidR="00CF0F1C" w:rsidRPr="00CF0F1C" w:rsidRDefault="00CF0F1C" w:rsidP="00516134">
      <w:pPr>
        <w:rPr>
          <w:b/>
        </w:rPr>
      </w:pPr>
      <w:r w:rsidRPr="00CF0F1C">
        <w:rPr>
          <w:b/>
        </w:rPr>
        <w:fldChar w:fldCharType="begin"/>
      </w:r>
      <w:r w:rsidRPr="00CF0F1C">
        <w:rPr>
          <w:b/>
        </w:rPr>
        <w:instrText xml:space="preserve"> REF _Ref510831737 \r \h </w:instrText>
      </w:r>
      <w:r>
        <w:rPr>
          <w:b/>
        </w:rPr>
        <w:instrText xml:space="preserve"> \* MERGEFORMAT </w:instrText>
      </w:r>
      <w:r w:rsidRPr="00CF0F1C">
        <w:rPr>
          <w:b/>
        </w:rPr>
      </w:r>
      <w:r w:rsidRPr="00CF0F1C">
        <w:rPr>
          <w:b/>
        </w:rPr>
        <w:fldChar w:fldCharType="separate"/>
      </w:r>
      <w:r w:rsidRPr="00CF0F1C">
        <w:rPr>
          <w:b/>
        </w:rPr>
        <w:t>Proposal 2:</w:t>
      </w:r>
      <w:r w:rsidRPr="00CF0F1C">
        <w:rPr>
          <w:b/>
        </w:rPr>
        <w:fldChar w:fldCharType="end"/>
      </w:r>
      <w:r w:rsidRPr="00CF0F1C">
        <w:rPr>
          <w:b/>
        </w:rPr>
        <w:t xml:space="preserve"> </w:t>
      </w:r>
      <w:r w:rsidRPr="00CF0F1C">
        <w:rPr>
          <w:b/>
        </w:rPr>
        <w:fldChar w:fldCharType="begin"/>
      </w:r>
      <w:r w:rsidRPr="00CF0F1C">
        <w:rPr>
          <w:b/>
        </w:rPr>
        <w:instrText xml:space="preserve"> REF _Ref510831737 \h </w:instrText>
      </w:r>
      <w:r>
        <w:rPr>
          <w:b/>
        </w:rPr>
        <w:instrText xml:space="preserve"> \* MERGEFORMAT </w:instrText>
      </w:r>
      <w:r w:rsidRPr="00CF0F1C">
        <w:rPr>
          <w:b/>
        </w:rPr>
      </w:r>
      <w:r w:rsidRPr="00CF0F1C">
        <w:rPr>
          <w:b/>
        </w:rPr>
        <w:fldChar w:fldCharType="separate"/>
      </w:r>
      <w:r w:rsidRPr="00CF0F1C">
        <w:rPr>
          <w:b/>
        </w:rPr>
        <w:t>For scenario 2a/2b/2c, UE should always perform intra-frequency measurement or RLM in SMTC or RLM-RS occasions outside MGs.</w:t>
      </w:r>
      <w:r w:rsidRPr="00CF0F1C">
        <w:rPr>
          <w:b/>
        </w:rPr>
        <w:fldChar w:fldCharType="end"/>
      </w:r>
    </w:p>
    <w:p w:rsidR="00CF0F1C" w:rsidRPr="00CF0F1C" w:rsidRDefault="00CF0F1C" w:rsidP="00516134">
      <w:pPr>
        <w:rPr>
          <w:b/>
        </w:rPr>
      </w:pPr>
      <w:r w:rsidRPr="00CF0F1C">
        <w:rPr>
          <w:b/>
        </w:rPr>
        <w:fldChar w:fldCharType="begin"/>
      </w:r>
      <w:r w:rsidRPr="00CF0F1C">
        <w:rPr>
          <w:b/>
        </w:rPr>
        <w:instrText xml:space="preserve"> REF _Ref510831738 \r \h </w:instrText>
      </w:r>
      <w:r>
        <w:rPr>
          <w:b/>
        </w:rPr>
        <w:instrText xml:space="preserve"> \* MERGEFORMAT </w:instrText>
      </w:r>
      <w:r w:rsidRPr="00CF0F1C">
        <w:rPr>
          <w:b/>
        </w:rPr>
      </w:r>
      <w:r w:rsidRPr="00CF0F1C">
        <w:rPr>
          <w:b/>
        </w:rPr>
        <w:fldChar w:fldCharType="separate"/>
      </w:r>
      <w:r w:rsidRPr="00CF0F1C">
        <w:rPr>
          <w:b/>
        </w:rPr>
        <w:t>Proposal 3:</w:t>
      </w:r>
      <w:r w:rsidRPr="00CF0F1C">
        <w:rPr>
          <w:b/>
        </w:rPr>
        <w:fldChar w:fldCharType="end"/>
      </w:r>
      <w:r w:rsidRPr="00CF0F1C">
        <w:rPr>
          <w:b/>
        </w:rPr>
        <w:t xml:space="preserve"> </w:t>
      </w:r>
      <w:r w:rsidRPr="00CF0F1C">
        <w:rPr>
          <w:b/>
        </w:rPr>
        <w:fldChar w:fldCharType="begin"/>
      </w:r>
      <w:r w:rsidRPr="00CF0F1C">
        <w:rPr>
          <w:b/>
        </w:rPr>
        <w:instrText xml:space="preserve"> REF _Ref510831738 \h </w:instrText>
      </w:r>
      <w:r>
        <w:rPr>
          <w:b/>
        </w:rPr>
        <w:instrText xml:space="preserve"> \* MERGEFORMAT </w:instrText>
      </w:r>
      <w:r w:rsidRPr="00CF0F1C">
        <w:rPr>
          <w:b/>
        </w:rPr>
      </w:r>
      <w:r w:rsidRPr="00CF0F1C">
        <w:rPr>
          <w:b/>
        </w:rPr>
        <w:fldChar w:fldCharType="separate"/>
      </w:r>
      <w:r w:rsidRPr="00CF0F1C">
        <w:rPr>
          <w:b/>
        </w:rPr>
        <w:t>UE requirements should be defined for scenario 3a3b/3c.</w:t>
      </w:r>
      <w:r w:rsidRPr="00CF0F1C">
        <w:rPr>
          <w:b/>
        </w:rPr>
        <w:fldChar w:fldCharType="end"/>
      </w:r>
    </w:p>
    <w:p w:rsidR="00CF0F1C" w:rsidRPr="00CF0F1C" w:rsidRDefault="00CF0F1C" w:rsidP="00516134">
      <w:pPr>
        <w:rPr>
          <w:b/>
        </w:rPr>
      </w:pPr>
      <w:r w:rsidRPr="00CF0F1C">
        <w:rPr>
          <w:b/>
        </w:rPr>
        <w:fldChar w:fldCharType="begin"/>
      </w:r>
      <w:r w:rsidRPr="00CF0F1C">
        <w:rPr>
          <w:b/>
        </w:rPr>
        <w:instrText xml:space="preserve"> REF _Ref510831740 \r \h </w:instrText>
      </w:r>
      <w:r>
        <w:rPr>
          <w:b/>
        </w:rPr>
        <w:instrText xml:space="preserve"> \* MERGEFORMAT </w:instrText>
      </w:r>
      <w:r w:rsidRPr="00CF0F1C">
        <w:rPr>
          <w:b/>
        </w:rPr>
      </w:r>
      <w:r w:rsidRPr="00CF0F1C">
        <w:rPr>
          <w:b/>
        </w:rPr>
        <w:fldChar w:fldCharType="separate"/>
      </w:r>
      <w:r w:rsidRPr="00CF0F1C">
        <w:rPr>
          <w:b/>
        </w:rPr>
        <w:t>Proposal 4:</w:t>
      </w:r>
      <w:r w:rsidRPr="00CF0F1C">
        <w:rPr>
          <w:b/>
        </w:rPr>
        <w:fldChar w:fldCharType="end"/>
      </w:r>
      <w:r w:rsidRPr="00CF0F1C">
        <w:rPr>
          <w:b/>
        </w:rPr>
        <w:t xml:space="preserve"> </w:t>
      </w:r>
      <w:r w:rsidRPr="00CF0F1C">
        <w:rPr>
          <w:b/>
        </w:rPr>
        <w:fldChar w:fldCharType="begin"/>
      </w:r>
      <w:r w:rsidRPr="00CF0F1C">
        <w:rPr>
          <w:b/>
        </w:rPr>
        <w:instrText xml:space="preserve"> REF _Ref510831740 \h </w:instrText>
      </w:r>
      <w:r>
        <w:rPr>
          <w:b/>
        </w:rPr>
        <w:instrText xml:space="preserve"> \* MERGEFORMAT </w:instrText>
      </w:r>
      <w:r w:rsidRPr="00CF0F1C">
        <w:rPr>
          <w:b/>
        </w:rPr>
      </w:r>
      <w:r w:rsidRPr="00CF0F1C">
        <w:rPr>
          <w:b/>
        </w:rPr>
        <w:fldChar w:fldCharType="separate"/>
      </w:r>
      <w:r w:rsidRPr="00CF0F1C">
        <w:rPr>
          <w:b/>
        </w:rPr>
        <w:t>gap sharing between intra- and inter-frequency is applied for</w:t>
      </w:r>
      <w:r w:rsidRPr="00CF0F1C">
        <w:rPr>
          <w:b/>
        </w:rPr>
        <w:fldChar w:fldCharType="end"/>
      </w:r>
    </w:p>
    <w:p w:rsidR="00CF0F1C" w:rsidRPr="00CF0F1C" w:rsidRDefault="00CF0F1C" w:rsidP="00CF0F1C">
      <w:pPr>
        <w:spacing w:before="120" w:after="120"/>
        <w:rPr>
          <w:b/>
        </w:rPr>
      </w:pPr>
      <w:r w:rsidRPr="00CF0F1C">
        <w:rPr>
          <w:b/>
        </w:rPr>
        <w:t>-</w:t>
      </w:r>
      <w:r w:rsidRPr="00CF0F1C">
        <w:rPr>
          <w:b/>
        </w:rPr>
        <w:tab/>
        <w:t>Between type A/B and type D in scenario 1a/1b</w:t>
      </w:r>
    </w:p>
    <w:p w:rsidR="00CF0F1C" w:rsidRPr="00CF0F1C" w:rsidRDefault="00CF0F1C" w:rsidP="00CF0F1C">
      <w:pPr>
        <w:spacing w:before="120" w:after="120"/>
        <w:rPr>
          <w:b/>
        </w:rPr>
      </w:pPr>
      <w:r w:rsidRPr="00CF0F1C">
        <w:rPr>
          <w:b/>
        </w:rPr>
        <w:t>-</w:t>
      </w:r>
      <w:r w:rsidRPr="00CF0F1C">
        <w:rPr>
          <w:b/>
        </w:rPr>
        <w:tab/>
        <w:t>Between type C and type D</w:t>
      </w:r>
    </w:p>
    <w:p w:rsidR="00504EE9" w:rsidRPr="00863688" w:rsidRDefault="003B659E" w:rsidP="00863688">
      <w:pPr>
        <w:pStyle w:val="RAN4H1"/>
      </w:pPr>
      <w:r w:rsidRPr="0095295C">
        <w:t>References</w:t>
      </w:r>
    </w:p>
    <w:p w:rsidR="00687FA0" w:rsidRPr="0047193A" w:rsidRDefault="0047193A" w:rsidP="0096483B">
      <w:pPr>
        <w:numPr>
          <w:ilvl w:val="0"/>
          <w:numId w:val="1"/>
        </w:numPr>
        <w:overflowPunct w:val="0"/>
        <w:autoSpaceDE w:val="0"/>
        <w:autoSpaceDN w:val="0"/>
        <w:adjustRightInd w:val="0"/>
        <w:spacing w:after="120" w:line="240" w:lineRule="auto"/>
        <w:ind w:right="-22"/>
        <w:jc w:val="both"/>
        <w:textAlignment w:val="baseline"/>
        <w:rPr>
          <w:lang w:val="en-GB"/>
        </w:rPr>
      </w:pPr>
      <w:r>
        <w:rPr>
          <w:rFonts w:eastAsia="Times New Roman" w:cs="Times New Roman"/>
          <w:szCs w:val="20"/>
          <w:lang w:val="en-GB"/>
        </w:rPr>
        <w:t xml:space="preserve">R4-1801829, </w:t>
      </w:r>
      <w:r w:rsidRPr="0047193A">
        <w:rPr>
          <w:rFonts w:eastAsia="Times New Roman" w:cs="Times New Roman"/>
          <w:szCs w:val="20"/>
        </w:rPr>
        <w:t>Wayforward on UE measurement gap for NR</w:t>
      </w:r>
      <w:r>
        <w:rPr>
          <w:rFonts w:eastAsia="Times New Roman" w:cs="Times New Roman"/>
          <w:szCs w:val="20"/>
        </w:rPr>
        <w:t xml:space="preserve">, </w:t>
      </w:r>
      <w:r w:rsidRPr="0047193A">
        <w:rPr>
          <w:rFonts w:eastAsia="Times New Roman" w:cs="Times New Roman"/>
          <w:szCs w:val="20"/>
        </w:rPr>
        <w:t>Intel, Samsung, Nokia, Nokia Shanghai Bell, Huawei, HiSilicon, CMCC</w:t>
      </w:r>
    </w:p>
    <w:sectPr w:rsidR="00687FA0" w:rsidRPr="004719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68B" w:rsidRDefault="00F7268B" w:rsidP="00001C9B">
      <w:pPr>
        <w:spacing w:after="0" w:line="240" w:lineRule="auto"/>
      </w:pPr>
      <w:r>
        <w:separator/>
      </w:r>
    </w:p>
  </w:endnote>
  <w:endnote w:type="continuationSeparator" w:id="0">
    <w:p w:rsidR="00F7268B" w:rsidRDefault="00F7268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68B" w:rsidRDefault="00F7268B" w:rsidP="00001C9B">
      <w:pPr>
        <w:spacing w:after="0" w:line="240" w:lineRule="auto"/>
      </w:pPr>
      <w:r>
        <w:separator/>
      </w:r>
    </w:p>
  </w:footnote>
  <w:footnote w:type="continuationSeparator" w:id="0">
    <w:p w:rsidR="00F7268B" w:rsidRDefault="00F7268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E77FE"/>
    <w:multiLevelType w:val="hybridMultilevel"/>
    <w:tmpl w:val="4C8E60B2"/>
    <w:lvl w:ilvl="0" w:tplc="4A949A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E66BE6"/>
    <w:multiLevelType w:val="hybridMultilevel"/>
    <w:tmpl w:val="5A665D62"/>
    <w:lvl w:ilvl="0" w:tplc="01D6D56A">
      <w:start w:val="1"/>
      <w:numFmt w:val="bullet"/>
      <w:lvlText w:val=""/>
      <w:lvlJc w:val="left"/>
      <w:pPr>
        <w:tabs>
          <w:tab w:val="num" w:pos="720"/>
        </w:tabs>
        <w:ind w:left="720" w:hanging="360"/>
      </w:pPr>
      <w:rPr>
        <w:rFonts w:ascii="Wingdings" w:hAnsi="Wingdings" w:hint="default"/>
      </w:rPr>
    </w:lvl>
    <w:lvl w:ilvl="1" w:tplc="F2BCDC3E">
      <w:start w:val="1"/>
      <w:numFmt w:val="bullet"/>
      <w:lvlText w:val=""/>
      <w:lvlJc w:val="left"/>
      <w:pPr>
        <w:tabs>
          <w:tab w:val="num" w:pos="1440"/>
        </w:tabs>
        <w:ind w:left="1440" w:hanging="360"/>
      </w:pPr>
      <w:rPr>
        <w:rFonts w:ascii="Wingdings" w:hAnsi="Wingdings" w:hint="default"/>
      </w:rPr>
    </w:lvl>
    <w:lvl w:ilvl="2" w:tplc="F036042A" w:tentative="1">
      <w:start w:val="1"/>
      <w:numFmt w:val="bullet"/>
      <w:lvlText w:val=""/>
      <w:lvlJc w:val="left"/>
      <w:pPr>
        <w:tabs>
          <w:tab w:val="num" w:pos="2160"/>
        </w:tabs>
        <w:ind w:left="2160" w:hanging="360"/>
      </w:pPr>
      <w:rPr>
        <w:rFonts w:ascii="Wingdings" w:hAnsi="Wingdings" w:hint="default"/>
      </w:rPr>
    </w:lvl>
    <w:lvl w:ilvl="3" w:tplc="2732F93C" w:tentative="1">
      <w:start w:val="1"/>
      <w:numFmt w:val="bullet"/>
      <w:lvlText w:val=""/>
      <w:lvlJc w:val="left"/>
      <w:pPr>
        <w:tabs>
          <w:tab w:val="num" w:pos="2880"/>
        </w:tabs>
        <w:ind w:left="2880" w:hanging="360"/>
      </w:pPr>
      <w:rPr>
        <w:rFonts w:ascii="Wingdings" w:hAnsi="Wingdings" w:hint="default"/>
      </w:rPr>
    </w:lvl>
    <w:lvl w:ilvl="4" w:tplc="3B00E4F8" w:tentative="1">
      <w:start w:val="1"/>
      <w:numFmt w:val="bullet"/>
      <w:lvlText w:val=""/>
      <w:lvlJc w:val="left"/>
      <w:pPr>
        <w:tabs>
          <w:tab w:val="num" w:pos="3600"/>
        </w:tabs>
        <w:ind w:left="3600" w:hanging="360"/>
      </w:pPr>
      <w:rPr>
        <w:rFonts w:ascii="Wingdings" w:hAnsi="Wingdings" w:hint="default"/>
      </w:rPr>
    </w:lvl>
    <w:lvl w:ilvl="5" w:tplc="B79436C0" w:tentative="1">
      <w:start w:val="1"/>
      <w:numFmt w:val="bullet"/>
      <w:lvlText w:val=""/>
      <w:lvlJc w:val="left"/>
      <w:pPr>
        <w:tabs>
          <w:tab w:val="num" w:pos="4320"/>
        </w:tabs>
        <w:ind w:left="4320" w:hanging="360"/>
      </w:pPr>
      <w:rPr>
        <w:rFonts w:ascii="Wingdings" w:hAnsi="Wingdings" w:hint="default"/>
      </w:rPr>
    </w:lvl>
    <w:lvl w:ilvl="6" w:tplc="CF688048" w:tentative="1">
      <w:start w:val="1"/>
      <w:numFmt w:val="bullet"/>
      <w:lvlText w:val=""/>
      <w:lvlJc w:val="left"/>
      <w:pPr>
        <w:tabs>
          <w:tab w:val="num" w:pos="5040"/>
        </w:tabs>
        <w:ind w:left="5040" w:hanging="360"/>
      </w:pPr>
      <w:rPr>
        <w:rFonts w:ascii="Wingdings" w:hAnsi="Wingdings" w:hint="default"/>
      </w:rPr>
    </w:lvl>
    <w:lvl w:ilvl="7" w:tplc="B0821D60" w:tentative="1">
      <w:start w:val="1"/>
      <w:numFmt w:val="bullet"/>
      <w:lvlText w:val=""/>
      <w:lvlJc w:val="left"/>
      <w:pPr>
        <w:tabs>
          <w:tab w:val="num" w:pos="5760"/>
        </w:tabs>
        <w:ind w:left="5760" w:hanging="360"/>
      </w:pPr>
      <w:rPr>
        <w:rFonts w:ascii="Wingdings" w:hAnsi="Wingdings" w:hint="default"/>
      </w:rPr>
    </w:lvl>
    <w:lvl w:ilvl="8" w:tplc="4484FD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AC2B7F"/>
    <w:multiLevelType w:val="hybridMultilevel"/>
    <w:tmpl w:val="D4B849C6"/>
    <w:lvl w:ilvl="0" w:tplc="872AF0FC">
      <w:start w:val="1"/>
      <w:numFmt w:val="bullet"/>
      <w:lvlText w:val="•"/>
      <w:lvlJc w:val="left"/>
      <w:pPr>
        <w:tabs>
          <w:tab w:val="num" w:pos="720"/>
        </w:tabs>
        <w:ind w:left="720" w:hanging="360"/>
      </w:pPr>
      <w:rPr>
        <w:rFonts w:ascii="Arial" w:hAnsi="Arial" w:hint="default"/>
      </w:rPr>
    </w:lvl>
    <w:lvl w:ilvl="1" w:tplc="B61240E4">
      <w:start w:val="1"/>
      <w:numFmt w:val="bullet"/>
      <w:lvlText w:val="•"/>
      <w:lvlJc w:val="left"/>
      <w:pPr>
        <w:tabs>
          <w:tab w:val="num" w:pos="1440"/>
        </w:tabs>
        <w:ind w:left="1440" w:hanging="360"/>
      </w:pPr>
      <w:rPr>
        <w:rFonts w:ascii="Arial" w:hAnsi="Arial" w:hint="default"/>
      </w:rPr>
    </w:lvl>
    <w:lvl w:ilvl="2" w:tplc="C846CB46">
      <w:numFmt w:val="bullet"/>
      <w:lvlText w:val=""/>
      <w:lvlJc w:val="left"/>
      <w:pPr>
        <w:tabs>
          <w:tab w:val="num" w:pos="2160"/>
        </w:tabs>
        <w:ind w:left="2160" w:hanging="360"/>
      </w:pPr>
      <w:rPr>
        <w:rFonts w:ascii="Wingdings" w:hAnsi="Wingdings" w:hint="default"/>
      </w:rPr>
    </w:lvl>
    <w:lvl w:ilvl="3" w:tplc="DAFCB9BA">
      <w:numFmt w:val="bullet"/>
      <w:lvlText w:val="•"/>
      <w:lvlJc w:val="left"/>
      <w:pPr>
        <w:tabs>
          <w:tab w:val="num" w:pos="2880"/>
        </w:tabs>
        <w:ind w:left="2880" w:hanging="360"/>
      </w:pPr>
      <w:rPr>
        <w:rFonts w:ascii="Arial" w:hAnsi="Arial" w:hint="default"/>
      </w:rPr>
    </w:lvl>
    <w:lvl w:ilvl="4" w:tplc="962EF5EA" w:tentative="1">
      <w:start w:val="1"/>
      <w:numFmt w:val="bullet"/>
      <w:lvlText w:val="•"/>
      <w:lvlJc w:val="left"/>
      <w:pPr>
        <w:tabs>
          <w:tab w:val="num" w:pos="3600"/>
        </w:tabs>
        <w:ind w:left="3600" w:hanging="360"/>
      </w:pPr>
      <w:rPr>
        <w:rFonts w:ascii="Arial" w:hAnsi="Arial" w:hint="default"/>
      </w:rPr>
    </w:lvl>
    <w:lvl w:ilvl="5" w:tplc="BCFE12AA" w:tentative="1">
      <w:start w:val="1"/>
      <w:numFmt w:val="bullet"/>
      <w:lvlText w:val="•"/>
      <w:lvlJc w:val="left"/>
      <w:pPr>
        <w:tabs>
          <w:tab w:val="num" w:pos="4320"/>
        </w:tabs>
        <w:ind w:left="4320" w:hanging="360"/>
      </w:pPr>
      <w:rPr>
        <w:rFonts w:ascii="Arial" w:hAnsi="Arial" w:hint="default"/>
      </w:rPr>
    </w:lvl>
    <w:lvl w:ilvl="6" w:tplc="68C00FB8" w:tentative="1">
      <w:start w:val="1"/>
      <w:numFmt w:val="bullet"/>
      <w:lvlText w:val="•"/>
      <w:lvlJc w:val="left"/>
      <w:pPr>
        <w:tabs>
          <w:tab w:val="num" w:pos="5040"/>
        </w:tabs>
        <w:ind w:left="5040" w:hanging="360"/>
      </w:pPr>
      <w:rPr>
        <w:rFonts w:ascii="Arial" w:hAnsi="Arial" w:hint="default"/>
      </w:rPr>
    </w:lvl>
    <w:lvl w:ilvl="7" w:tplc="442CD1A6" w:tentative="1">
      <w:start w:val="1"/>
      <w:numFmt w:val="bullet"/>
      <w:lvlText w:val="•"/>
      <w:lvlJc w:val="left"/>
      <w:pPr>
        <w:tabs>
          <w:tab w:val="num" w:pos="5760"/>
        </w:tabs>
        <w:ind w:left="5760" w:hanging="360"/>
      </w:pPr>
      <w:rPr>
        <w:rFonts w:ascii="Arial" w:hAnsi="Arial" w:hint="default"/>
      </w:rPr>
    </w:lvl>
    <w:lvl w:ilvl="8" w:tplc="87BC9B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
  </w:num>
  <w:num w:numId="3">
    <w:abstractNumId w:val="11"/>
  </w:num>
  <w:num w:numId="4">
    <w:abstractNumId w:val="3"/>
  </w:num>
  <w:num w:numId="5">
    <w:abstractNumId w:val="13"/>
  </w:num>
  <w:num w:numId="6">
    <w:abstractNumId w:val="8"/>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8"/>
    <w:lvlOverride w:ilvl="0">
      <w:startOverride w:val="1"/>
    </w:lvlOverride>
  </w:num>
  <w:num w:numId="12">
    <w:abstractNumId w:val="10"/>
    <w:lvlOverride w:ilvl="0">
      <w:startOverride w:val="1"/>
    </w:lvlOverride>
  </w:num>
  <w:num w:numId="13">
    <w:abstractNumId w:val="8"/>
    <w:lvlOverride w:ilvl="0">
      <w:startOverride w:val="1"/>
    </w:lvlOverride>
  </w:num>
  <w:num w:numId="14">
    <w:abstractNumId w:val="10"/>
    <w:lvlOverride w:ilvl="0">
      <w:startOverride w:val="1"/>
    </w:lvlOverride>
  </w:num>
  <w:num w:numId="15">
    <w:abstractNumId w:val="7"/>
  </w:num>
  <w:num w:numId="16">
    <w:abstractNumId w:val="6"/>
  </w:num>
  <w:num w:numId="17">
    <w:abstractNumId w:val="2"/>
  </w:num>
  <w:num w:numId="18">
    <w:abstractNumId w:val="12"/>
  </w:num>
  <w:num w:numId="19">
    <w:abstractNumId w:val="1"/>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8612A"/>
    <w:rsid w:val="000B0B3C"/>
    <w:rsid w:val="000B5D48"/>
    <w:rsid w:val="00111007"/>
    <w:rsid w:val="00126209"/>
    <w:rsid w:val="00126F92"/>
    <w:rsid w:val="001838CF"/>
    <w:rsid w:val="001A3E86"/>
    <w:rsid w:val="001E30F6"/>
    <w:rsid w:val="0020767F"/>
    <w:rsid w:val="00217F42"/>
    <w:rsid w:val="00235F5C"/>
    <w:rsid w:val="0026143C"/>
    <w:rsid w:val="00264ED1"/>
    <w:rsid w:val="002743D8"/>
    <w:rsid w:val="00276566"/>
    <w:rsid w:val="002B4922"/>
    <w:rsid w:val="002C2D19"/>
    <w:rsid w:val="002C5B1F"/>
    <w:rsid w:val="002D10FA"/>
    <w:rsid w:val="002D197A"/>
    <w:rsid w:val="002D4C55"/>
    <w:rsid w:val="002E1E7D"/>
    <w:rsid w:val="003047CD"/>
    <w:rsid w:val="0031665B"/>
    <w:rsid w:val="00382B57"/>
    <w:rsid w:val="00393801"/>
    <w:rsid w:val="003B659E"/>
    <w:rsid w:val="003D7537"/>
    <w:rsid w:val="0043750A"/>
    <w:rsid w:val="0044294F"/>
    <w:rsid w:val="004429BB"/>
    <w:rsid w:val="00453032"/>
    <w:rsid w:val="0047193A"/>
    <w:rsid w:val="004931BC"/>
    <w:rsid w:val="004A69FC"/>
    <w:rsid w:val="004C2AAA"/>
    <w:rsid w:val="004E4010"/>
    <w:rsid w:val="004E5E66"/>
    <w:rsid w:val="004F6F44"/>
    <w:rsid w:val="00503B4D"/>
    <w:rsid w:val="00504EE9"/>
    <w:rsid w:val="0050650D"/>
    <w:rsid w:val="00516134"/>
    <w:rsid w:val="0054442C"/>
    <w:rsid w:val="00550285"/>
    <w:rsid w:val="005836F8"/>
    <w:rsid w:val="005D1BB6"/>
    <w:rsid w:val="005E61A8"/>
    <w:rsid w:val="005F6419"/>
    <w:rsid w:val="00617400"/>
    <w:rsid w:val="00660508"/>
    <w:rsid w:val="00664950"/>
    <w:rsid w:val="00683220"/>
    <w:rsid w:val="00687FA0"/>
    <w:rsid w:val="006B7010"/>
    <w:rsid w:val="006C185F"/>
    <w:rsid w:val="007145FF"/>
    <w:rsid w:val="00751515"/>
    <w:rsid w:val="00751843"/>
    <w:rsid w:val="00754806"/>
    <w:rsid w:val="00760B82"/>
    <w:rsid w:val="00764018"/>
    <w:rsid w:val="00785232"/>
    <w:rsid w:val="00794085"/>
    <w:rsid w:val="00795858"/>
    <w:rsid w:val="007A025E"/>
    <w:rsid w:val="007B1F78"/>
    <w:rsid w:val="007C3ED0"/>
    <w:rsid w:val="00806A76"/>
    <w:rsid w:val="00810DF1"/>
    <w:rsid w:val="00811C9D"/>
    <w:rsid w:val="00816C80"/>
    <w:rsid w:val="00824B92"/>
    <w:rsid w:val="00841BCD"/>
    <w:rsid w:val="0086276B"/>
    <w:rsid w:val="00863688"/>
    <w:rsid w:val="008650F3"/>
    <w:rsid w:val="008803DD"/>
    <w:rsid w:val="00881DDF"/>
    <w:rsid w:val="008826C1"/>
    <w:rsid w:val="00894533"/>
    <w:rsid w:val="008E7FE2"/>
    <w:rsid w:val="009042BD"/>
    <w:rsid w:val="00911751"/>
    <w:rsid w:val="009167B7"/>
    <w:rsid w:val="00942F2D"/>
    <w:rsid w:val="00966D3C"/>
    <w:rsid w:val="00977E1D"/>
    <w:rsid w:val="00990EBB"/>
    <w:rsid w:val="00996CD4"/>
    <w:rsid w:val="009C7A4B"/>
    <w:rsid w:val="009E13F7"/>
    <w:rsid w:val="00A147DB"/>
    <w:rsid w:val="00A22B78"/>
    <w:rsid w:val="00A25AE5"/>
    <w:rsid w:val="00A31A22"/>
    <w:rsid w:val="00A36853"/>
    <w:rsid w:val="00AA1B0E"/>
    <w:rsid w:val="00AA7844"/>
    <w:rsid w:val="00AC5CA7"/>
    <w:rsid w:val="00AD5F1A"/>
    <w:rsid w:val="00B25C3E"/>
    <w:rsid w:val="00B32E4D"/>
    <w:rsid w:val="00B4285A"/>
    <w:rsid w:val="00B71526"/>
    <w:rsid w:val="00B854C5"/>
    <w:rsid w:val="00B8632F"/>
    <w:rsid w:val="00B8745E"/>
    <w:rsid w:val="00BA6E48"/>
    <w:rsid w:val="00BB7D4E"/>
    <w:rsid w:val="00BF2218"/>
    <w:rsid w:val="00C86ACA"/>
    <w:rsid w:val="00CA3CAC"/>
    <w:rsid w:val="00CD7492"/>
    <w:rsid w:val="00CE3A6B"/>
    <w:rsid w:val="00CF0F1C"/>
    <w:rsid w:val="00CF2076"/>
    <w:rsid w:val="00D00211"/>
    <w:rsid w:val="00D05142"/>
    <w:rsid w:val="00D06309"/>
    <w:rsid w:val="00D14F6E"/>
    <w:rsid w:val="00D351EA"/>
    <w:rsid w:val="00D43403"/>
    <w:rsid w:val="00D45A9D"/>
    <w:rsid w:val="00D46252"/>
    <w:rsid w:val="00D61A3A"/>
    <w:rsid w:val="00D62E71"/>
    <w:rsid w:val="00D719C8"/>
    <w:rsid w:val="00D740CA"/>
    <w:rsid w:val="00D85728"/>
    <w:rsid w:val="00D869EB"/>
    <w:rsid w:val="00D9178E"/>
    <w:rsid w:val="00DE205F"/>
    <w:rsid w:val="00DE59B9"/>
    <w:rsid w:val="00DF2997"/>
    <w:rsid w:val="00E01E0D"/>
    <w:rsid w:val="00E01E55"/>
    <w:rsid w:val="00E13AB4"/>
    <w:rsid w:val="00E44A36"/>
    <w:rsid w:val="00E57EFE"/>
    <w:rsid w:val="00E92C17"/>
    <w:rsid w:val="00E962F8"/>
    <w:rsid w:val="00EB7CA9"/>
    <w:rsid w:val="00EC4487"/>
    <w:rsid w:val="00EC7BC3"/>
    <w:rsid w:val="00ED7600"/>
    <w:rsid w:val="00F1362C"/>
    <w:rsid w:val="00F462D4"/>
    <w:rsid w:val="00F7268B"/>
    <w:rsid w:val="00F72B7D"/>
    <w:rsid w:val="00F824F5"/>
    <w:rsid w:val="00FC29B9"/>
    <w:rsid w:val="00FC6FD3"/>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F1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936520276">
      <w:bodyDiv w:val="1"/>
      <w:marLeft w:val="0"/>
      <w:marRight w:val="0"/>
      <w:marTop w:val="0"/>
      <w:marBottom w:val="0"/>
      <w:divBdr>
        <w:top w:val="none" w:sz="0" w:space="0" w:color="auto"/>
        <w:left w:val="none" w:sz="0" w:space="0" w:color="auto"/>
        <w:bottom w:val="none" w:sz="0" w:space="0" w:color="auto"/>
        <w:right w:val="none" w:sz="0" w:space="0" w:color="auto"/>
      </w:divBdr>
      <w:divsChild>
        <w:div w:id="1977561633">
          <w:marLeft w:val="446"/>
          <w:marRight w:val="0"/>
          <w:marTop w:val="0"/>
          <w:marBottom w:val="0"/>
          <w:divBdr>
            <w:top w:val="none" w:sz="0" w:space="0" w:color="auto"/>
            <w:left w:val="none" w:sz="0" w:space="0" w:color="auto"/>
            <w:bottom w:val="none" w:sz="0" w:space="0" w:color="auto"/>
            <w:right w:val="none" w:sz="0" w:space="0" w:color="auto"/>
          </w:divBdr>
        </w:div>
      </w:divsChild>
    </w:div>
    <w:div w:id="1975720155">
      <w:bodyDiv w:val="1"/>
      <w:marLeft w:val="0"/>
      <w:marRight w:val="0"/>
      <w:marTop w:val="0"/>
      <w:marBottom w:val="0"/>
      <w:divBdr>
        <w:top w:val="none" w:sz="0" w:space="0" w:color="auto"/>
        <w:left w:val="none" w:sz="0" w:space="0" w:color="auto"/>
        <w:bottom w:val="none" w:sz="0" w:space="0" w:color="auto"/>
        <w:right w:val="none" w:sz="0" w:space="0" w:color="auto"/>
      </w:divBdr>
      <w:divsChild>
        <w:div w:id="715355683">
          <w:marLeft w:val="446"/>
          <w:marRight w:val="0"/>
          <w:marTop w:val="0"/>
          <w:marBottom w:val="0"/>
          <w:divBdr>
            <w:top w:val="none" w:sz="0" w:space="0" w:color="auto"/>
            <w:left w:val="none" w:sz="0" w:space="0" w:color="auto"/>
            <w:bottom w:val="none" w:sz="0" w:space="0" w:color="auto"/>
            <w:right w:val="none" w:sz="0" w:space="0" w:color="auto"/>
          </w:divBdr>
        </w:div>
        <w:div w:id="885410270">
          <w:marLeft w:val="1166"/>
          <w:marRight w:val="0"/>
          <w:marTop w:val="0"/>
          <w:marBottom w:val="0"/>
          <w:divBdr>
            <w:top w:val="none" w:sz="0" w:space="0" w:color="auto"/>
            <w:left w:val="none" w:sz="0" w:space="0" w:color="auto"/>
            <w:bottom w:val="none" w:sz="0" w:space="0" w:color="auto"/>
            <w:right w:val="none" w:sz="0" w:space="0" w:color="auto"/>
          </w:divBdr>
        </w:div>
        <w:div w:id="1761220287">
          <w:marLeft w:val="1886"/>
          <w:marRight w:val="0"/>
          <w:marTop w:val="0"/>
          <w:marBottom w:val="0"/>
          <w:divBdr>
            <w:top w:val="none" w:sz="0" w:space="0" w:color="auto"/>
            <w:left w:val="none" w:sz="0" w:space="0" w:color="auto"/>
            <w:bottom w:val="none" w:sz="0" w:space="0" w:color="auto"/>
            <w:right w:val="none" w:sz="0" w:space="0" w:color="auto"/>
          </w:divBdr>
        </w:div>
        <w:div w:id="920329049">
          <w:marLeft w:val="1886"/>
          <w:marRight w:val="0"/>
          <w:marTop w:val="0"/>
          <w:marBottom w:val="0"/>
          <w:divBdr>
            <w:top w:val="none" w:sz="0" w:space="0" w:color="auto"/>
            <w:left w:val="none" w:sz="0" w:space="0" w:color="auto"/>
            <w:bottom w:val="none" w:sz="0" w:space="0" w:color="auto"/>
            <w:right w:val="none" w:sz="0" w:space="0" w:color="auto"/>
          </w:divBdr>
        </w:div>
        <w:div w:id="2124306047">
          <w:marLeft w:val="1886"/>
          <w:marRight w:val="0"/>
          <w:marTop w:val="0"/>
          <w:marBottom w:val="0"/>
          <w:divBdr>
            <w:top w:val="none" w:sz="0" w:space="0" w:color="auto"/>
            <w:left w:val="none" w:sz="0" w:space="0" w:color="auto"/>
            <w:bottom w:val="none" w:sz="0" w:space="0" w:color="auto"/>
            <w:right w:val="none" w:sz="0" w:space="0" w:color="auto"/>
          </w:divBdr>
        </w:div>
        <w:div w:id="1259750098">
          <w:marLeft w:val="1166"/>
          <w:marRight w:val="0"/>
          <w:marTop w:val="0"/>
          <w:marBottom w:val="0"/>
          <w:divBdr>
            <w:top w:val="none" w:sz="0" w:space="0" w:color="auto"/>
            <w:left w:val="none" w:sz="0" w:space="0" w:color="auto"/>
            <w:bottom w:val="none" w:sz="0" w:space="0" w:color="auto"/>
            <w:right w:val="none" w:sz="0" w:space="0" w:color="auto"/>
          </w:divBdr>
        </w:div>
        <w:div w:id="698359485">
          <w:marLeft w:val="1886"/>
          <w:marRight w:val="0"/>
          <w:marTop w:val="0"/>
          <w:marBottom w:val="0"/>
          <w:divBdr>
            <w:top w:val="none" w:sz="0" w:space="0" w:color="auto"/>
            <w:left w:val="none" w:sz="0" w:space="0" w:color="auto"/>
            <w:bottom w:val="none" w:sz="0" w:space="0" w:color="auto"/>
            <w:right w:val="none" w:sz="0" w:space="0" w:color="auto"/>
          </w:divBdr>
        </w:div>
        <w:div w:id="887378278">
          <w:marLeft w:val="1886"/>
          <w:marRight w:val="0"/>
          <w:marTop w:val="0"/>
          <w:marBottom w:val="0"/>
          <w:divBdr>
            <w:top w:val="none" w:sz="0" w:space="0" w:color="auto"/>
            <w:left w:val="none" w:sz="0" w:space="0" w:color="auto"/>
            <w:bottom w:val="none" w:sz="0" w:space="0" w:color="auto"/>
            <w:right w:val="none" w:sz="0" w:space="0" w:color="auto"/>
          </w:divBdr>
        </w:div>
        <w:div w:id="1384211124">
          <w:marLeft w:val="1886"/>
          <w:marRight w:val="0"/>
          <w:marTop w:val="0"/>
          <w:marBottom w:val="0"/>
          <w:divBdr>
            <w:top w:val="none" w:sz="0" w:space="0" w:color="auto"/>
            <w:left w:val="none" w:sz="0" w:space="0" w:color="auto"/>
            <w:bottom w:val="none" w:sz="0" w:space="0" w:color="auto"/>
            <w:right w:val="none" w:sz="0" w:space="0" w:color="auto"/>
          </w:divBdr>
        </w:div>
        <w:div w:id="507251197">
          <w:marLeft w:val="1166"/>
          <w:marRight w:val="0"/>
          <w:marTop w:val="0"/>
          <w:marBottom w:val="0"/>
          <w:divBdr>
            <w:top w:val="none" w:sz="0" w:space="0" w:color="auto"/>
            <w:left w:val="none" w:sz="0" w:space="0" w:color="auto"/>
            <w:bottom w:val="none" w:sz="0" w:space="0" w:color="auto"/>
            <w:right w:val="none" w:sz="0" w:space="0" w:color="auto"/>
          </w:divBdr>
        </w:div>
        <w:div w:id="1270546667">
          <w:marLeft w:val="1886"/>
          <w:marRight w:val="0"/>
          <w:marTop w:val="0"/>
          <w:marBottom w:val="0"/>
          <w:divBdr>
            <w:top w:val="none" w:sz="0" w:space="0" w:color="auto"/>
            <w:left w:val="none" w:sz="0" w:space="0" w:color="auto"/>
            <w:bottom w:val="none" w:sz="0" w:space="0" w:color="auto"/>
            <w:right w:val="none" w:sz="0" w:space="0" w:color="auto"/>
          </w:divBdr>
        </w:div>
        <w:div w:id="35275443">
          <w:marLeft w:val="1886"/>
          <w:marRight w:val="0"/>
          <w:marTop w:val="0"/>
          <w:marBottom w:val="0"/>
          <w:divBdr>
            <w:top w:val="none" w:sz="0" w:space="0" w:color="auto"/>
            <w:left w:val="none" w:sz="0" w:space="0" w:color="auto"/>
            <w:bottom w:val="none" w:sz="0" w:space="0" w:color="auto"/>
            <w:right w:val="none" w:sz="0" w:space="0" w:color="auto"/>
          </w:divBdr>
        </w:div>
        <w:div w:id="657922329">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ABABF-EC6B-4B8A-B5D9-94781C76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3004</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25</cp:revision>
  <dcterms:created xsi:type="dcterms:W3CDTF">2018-03-26T10:33:00Z</dcterms:created>
  <dcterms:modified xsi:type="dcterms:W3CDTF">2018-04-06T19:16:00Z</dcterms:modified>
</cp:coreProperties>
</file>